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다항·이항 로짓 분석을 수행하였으며, 기술 클러스터와 네트워크 분석을 병행하여 공정 단계 간 기술융합의 특성과 동태적 변화를 파악하였다.</w:t>
      </w:r>
    </w:p>
    <w:p>
      <w:pPr>
        <w:pStyle w:val="BodyText"/>
      </w:pPr>
      <w:r>
        <w:t xml:space="preserve">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pPr>
        <w:pStyle w:val="BodyText"/>
      </w:pPr>
      <w:r>
        <w:t xml:space="preserve">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pPr>
        <w:pStyle w:val="BodyText"/>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µm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pPr>
        <w:pStyle w:val="BodyText"/>
      </w:pPr>
      <w:r>
        <w:t xml:space="preserve">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Bröring, 2022), 정보통신과 가전(Hacklin et al., 2009), 식품과 제약(Bröring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상·하류 기업 간의 특허 인용을 분석한 Karvonen과 Kässi(2012)가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pPr>
        <w:pStyle w:val="BodyText"/>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기호를 함께 부여받은 출원은 공정 단계의 경계를 넘는 특허인 통합형으로, 접합·인터커넥트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pPr>
        <w:pStyle w:val="BodyText"/>
      </w:pPr>
      <w:r>
        <w:t xml:space="preserve">구체적인 연구 질문(RQ1–RQ3)은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핵심–주변 관계와 기술 순환의 관점에서 이해할 수 있는 실증적 근거를 제시한다.</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시작한다(제3.2절). Kodama가 제시한 기술융합의 경우와 마찬가지로, 하이브리드 본딩이 구현하는 10 µm 이하의 연결 간격 역시 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것(제4.5절)은 이러한 관점에 근거한 것이다.</w:t>
      </w:r>
    </w:p>
    <w:p>
      <w:pPr>
        <w:pStyle w:val="BodyText"/>
      </w:pPr>
      <w:r>
        <w:rPr>
          <w:highlight w:val="yellow"/>
        </w:rPr>
        <w:t xml:space="preserve">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pPr>
        <w:pStyle w:val="BodyText"/>
      </w:pPr>
      <w:r>
        <w:t xml:space="preserve">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Bröring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w:t>
      </w:r>
      <w:r>
        <w:t xml:space="preserve"> </w:t>
      </w:r>
      <w:r>
        <w:rPr>
          <w:highlight w:val="yellow"/>
        </w:rPr>
        <w:t xml:space="preserve">Sick과 Bröring(2022)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w:t>
      </w:r>
      <w:r>
        <w:t xml:space="preserve"> </w:t>
      </w:r>
      <w:r>
        <w:t xml:space="preserve">이하에서는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w:t>
      </w:r>
      <w:r>
        <w:t xml:space="preserve"> </w:t>
      </w:r>
      <w:r>
        <w:rPr>
          <w:highlight w:val="yellow"/>
        </w:rPr>
        <w:t xml:space="preserve">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제2.1절에서 언급하였듯이 Hacklin et al.(2009)도 혁신 순환 모형에 기초하여 융합의 과정을 설명한 바 있다.</w:t>
      </w:r>
      <w:r>
        <w:t xml:space="preserve"> </w:t>
      </w:r>
      <w:r>
        <w:t xml:space="preserve">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w:t>
      </w:r>
      <w:r>
        <w:t xml:space="preserve"> </w:t>
      </w:r>
      <w:r>
        <w:rPr>
          <w:highlight w:val="yellow"/>
        </w:rPr>
        <w:t xml:space="preserve">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pPr>
        <w:pStyle w:val="BodyText"/>
      </w:pPr>
      <w:r>
        <w:t xml:space="preserve">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pPr>
        <w:pStyle w:val="BodyText"/>
      </w:pPr>
      <w:r>
        <w:rPr>
          <w:highlight w:val="yellow"/>
        </w:rPr>
        <w:t xml:space="preserve">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추정하였다(제4.5절). 특허 자료로 기술 수명주기의 단계를 추적할 수 있음을 보인 Lee et al.(2017)의 연구는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w:t>
      </w:r>
      <w:r>
        <w:t xml:space="preserve"> </w:t>
      </w:r>
      <w:r>
        <w:rPr>
          <w:highlight w:val="yellow"/>
        </w:rPr>
        <w:t xml:space="preserve">Henderson과 Clark(1990)에 따르면 지배적 설계가 확립된 후 구성요소를 서로 연결하는 아키텍처 지식은 조직의 의사소통 경로와 문제 해결 방식에 내재되어 당연한 전제로 받아들여진다.</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w:t>
      </w:r>
      <w:r>
        <w:t xml:space="preserve"> </w:t>
      </w:r>
      <w:r>
        <w:t xml:space="preserve">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제4.4절의 기술 클러스터와 기술 네트워크 분석으로 식별한다.</w:t>
      </w:r>
    </w:p>
    <w:p>
      <w:pPr>
        <w:pStyle w:val="BodyText"/>
      </w:pPr>
      <w:r>
        <w:rPr>
          <w:highlight w:val="yellow"/>
        </w:rPr>
        <w:t xml:space="preserve">셋째 연구 질문의 이론적 근거는 이상의 논의에서 찾을 수 있다.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 두 흐름 가운데 전자에 속하지만, 분석 단위는 다르다. 공동분류를 분야 수준으로 집계하지 않고, 개별 특허를 접합·인터커넥트 기호(H01L24)만 부여된 접합 단독형, 제조공정 기호(H01L21)만 부여된 공정 단독형, 두 기호가 함께 부여된 통합형의 세 가지 공동분류 유형으로 구분하며, 그중 공정 단계의 경계를 넘는 특허는 통합형이다.</w:t>
      </w:r>
      <w:r>
        <w:t xml:space="preserve"> </w:t>
      </w:r>
      <w:r>
        <w:rPr>
          <w:highlight w:val="yellow"/>
        </w:rPr>
        <w:t xml:space="preserve">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있다(제2.3절). 유형의 비중을 한 시점의 분포만으로 해석하기 어렵고 출원 시기에 따른 구성의 변화와 함께 해석해야 하는 까닭이다.</w:t>
      </w:r>
      <w:r>
        <w:t xml:space="preserve"> </w:t>
      </w:r>
      <w:r>
        <w:t xml:space="preserve">유형이 개별 특허 단위로 정의되므로 표준적인 이산선택 모형을 적용할 수 있고, 집계 지수에서라면 평균화되어 사라졌을 특허 간 차이도 보존된다. 제2.1절에서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highlight w:val="yellow"/>
        </w:rPr>
        <w:t xml:space="preserve">여기서 분류 기호의 수는 한 발명이 포괄하는 기술 요소의 폭으로, 공정 단계 간 융합의 맥락에 놓고 보면 한 발명이 두 영역에 걸쳐 얼마나 다양한 요소를 결합하였는지를 가리킨다.</w:t>
      </w:r>
    </w:p>
    <w:p>
      <w:pPr>
        <w:pStyle w:val="BodyText"/>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w:t>
      </w:r>
      <w:r>
        <w:t xml:space="preserve"> </w:t>
      </w:r>
      <w:r>
        <w:rPr>
          <w:highlight w:val="yellow"/>
        </w:rPr>
        <w:t xml:space="preserve">경계를 넘는 발명이 어떠한 특성을 지니는지, 즉 융합의 형태를 분석할 근거가 여기에 있다.</w:t>
      </w:r>
      <w:r>
        <w:t xml:space="preserve"> </w:t>
      </w:r>
      <w:r>
        <w:t xml:space="preserve">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제5.4절에서 유형 최소치 조정 CPC 범위를 이용하여 탐색적으로 검토한다.</w:t>
      </w:r>
      <w:r>
        <w:t xml:space="preserve"> </w:t>
      </w:r>
      <w:r>
        <w:rPr>
          <w:b/>
          <w:bCs/>
        </w:rPr>
        <w:t xml:space="preserve">이상의 논의에 따라 본 연구는 공정 단계 간 융합의 수준과 더불어 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 전에, 분석 대상인 하이브리드 본딩이 어떠한 기술적 특성을 지니는지(제3.1절), 그리고 제조공정과 접합 기술이 어떻게 상호의존하며 관련 산업은 어떠한 동향을 보이는지(제3.2절)를 먼저 살펴본다.</w:t>
      </w:r>
    </w:p>
    <w:bookmarkStart w:id="20"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µm 이하로 줄일 수 있고, 연구 단계에서는 1 µm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t xml:space="preserve">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속한다(제4.1절, 표 2). 그림 1에 대응시켜 보면 기반 공정은 주로 제조공정 클래스(H01L21)에, 접합 형태와 인터커넥트 구성은 주로 접합·인터커넥트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배리어·시드 증착, 구리 도금, 화학적 기계연마가 차례로 진행되는데,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기술적·산업적으로 두 공정 단계에 걸쳐 있어 공정 단계 간 기술융합을 분석하기에 적합한 사례라 할 수 있으며, 제4절에서는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t xml:space="preserve">분석 자료는 유럽특허청의 PATSTAT Global 2025년판에서 추출하였다(European Patent Office, 2025). 검색은 두 단계로 진행하였다. 1차로 CPC 분류 H01L21(반도체 제조공정) 또는 H01L24(반도체 접합·인터커넥트 기술) 계열의 기호를 하나 이상 보유한 출원을 후보로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출원을 선별하였다(표 2). 최종 표본은 출원–CPC 쌍 5,277건, 출원 기준으로는 1968–2024년에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재추정한 결과는 제5.4절에 제시하였는데,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내용을 보고 부여하므로 청구항의 문구와 늘 일치하지는 않는다. 이하에서 어떤 출원이 특정 기술을 ‘포함한다’거나 특정 기술로 ‘분류된다’고 표현한 것은 해당 클래스의 기호가 그 출원에 부여되어 있다는 뜻이며, 법적 청구범위에 관한 진술은 아니다.</w:t>
      </w:r>
    </w:p>
    <w:bookmarkEnd w:id="27"/>
    <w:bookmarkStart w:id="31" w:name="분석변수의-정의"/>
    <w:p>
      <w:pPr>
        <w:pStyle w:val="Heading3"/>
      </w:pPr>
      <w:r>
        <w:t xml:space="preserve">4.3 분석변수의 정의</w:t>
      </w:r>
    </w:p>
    <w:p>
      <w:pPr>
        <w:pStyle w:val="FirstParagraph"/>
      </w:pPr>
      <w:r>
        <w:t xml:space="preserve">분석에 사용하는 변수는 위의 조작적 정의에 따라 표 4와 같이 정의하였다. 기술범위(breadth)는 출원에 부여된 H01L21·H01L24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 I[H01L21 보유] −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1968–2014년을 하나의 시기로 묶은 뒤 그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pPr>
        <w:pStyle w:val="BodyText"/>
      </w:pPr>
      <w:r>
        <w:rPr>
          <w:b/>
          <w:bCs/>
        </w:rPr>
        <w:t xml:space="preserve">기술 클러스터.</w:t>
      </w:r>
      <w:r>
        <w:t xml:space="preserve"> </w:t>
      </w:r>
      <w:r>
        <w:t xml:space="preserve">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 구별되는 하이브리드 본딩의 특징은 금속–금속 직접 접합과 절연막–절연막 직접 접합이 한 출원에 함께 부여되는 조합에 있다.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열에 ○로 표시한 네 기호는 회귀분석에 사용하는 H01L21·H01L24 기호 레코드에 포함된 기호로, 출원 수가 회귀 자료에서 다시 집계한 값과 같다. —로 표시한 인덱싱 코드(H01L2224)와 소자 조립체 클래스(H01L25)는 같은 출원의 전체 CPC 기호를 별도로 집계한 값이다.</w:t>
      </w:r>
    </w:p>
    <w:p>
      <w:pPr>
        <w:pStyle w:val="BodyText"/>
      </w:pPr>
      <w:r>
        <w:rPr>
          <w:b/>
          <w:bCs/>
        </w:rPr>
        <w:t xml:space="preserve">기술 네트워크.</w:t>
      </w:r>
      <w:r>
        <w:t xml:space="preserve"> </w:t>
      </w:r>
      <w:r>
        <w:t xml:space="preserve">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같은 H01L21·H01L24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제4.3절의 유형 최소치 조정 CPC 범위(breadth_adj)로 점검하였으나, 이 지표 역시 유형 정보를 이용한 것이어서 탐색적 강건성 분석에만 사용하였다.</w:t>
      </w:r>
    </w:p>
    <w:p>
      <w:pPr>
        <w:pStyle w:val="BodyText"/>
      </w:pPr>
      <w:r>
        <w:rPr>
          <w:b/>
          <w:bCs/>
        </w:rPr>
        <w:t xml:space="preserve">핵심 기술 모형: 이항 로짓.</w:t>
      </w:r>
      <w:r>
        <w:t xml:space="preserve"> </w:t>
      </w:r>
      <w:r>
        <w:t xml:space="preserve">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최근으로 올수록 핵심 기술을 포함한 출원의 통합형 우위가 감소하였다면, 2014년 이전의 승산비는 1보다 크고 θ_t는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제5.4절에 제시하였다.</w:t>
      </w:r>
    </w:p>
    <w:p>
      <w:pPr>
        <w:pStyle w:val="BodyText"/>
      </w:pPr>
      <w:r>
        <w:rPr>
          <w:b/>
          <w:bCs/>
        </w:rPr>
        <w:t xml:space="preserve">융합의 보조 지표.</w:t>
      </w:r>
      <w:r>
        <w:t xml:space="preserve"> </w:t>
      </w:r>
      <w:r>
        <w:t xml:space="preserve">융합 중심의 이동을 개별 기호보다 넓은 수준에서 확인하고자 두 가지 지표를 시기별로 산출하였다. 첫 번째 지표는 제4.2절의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pPr>
        <w:pStyle w:val="BodyText"/>
      </w:pPr>
      <w:r>
        <w:rPr>
          <w:b/>
          <w:bCs/>
        </w:rPr>
        <w:t xml:space="preserve">예측확률.</w:t>
      </w:r>
      <w:r>
        <w:t xml:space="preserve"> </w:t>
      </w:r>
      <w:r>
        <w:t xml:space="preserve">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제시하였다(제5.1절, 제5.2절). 핵심 기술 모형에 대해서는 시기별·핵심 기술 보유 여부별 통합형 비중을 함께 보고하였다(제5.3절).</w:t>
      </w:r>
    </w:p>
    <w:p>
      <w:pPr>
        <w:pStyle w:val="BodyText"/>
      </w:pPr>
      <w:r>
        <w:rPr>
          <w:b/>
          <w:bCs/>
        </w:rPr>
        <w:t xml:space="preserve">강건성과 해석 원칙.</w:t>
      </w:r>
      <w:r>
        <w:t xml:space="preserve"> </w:t>
      </w:r>
      <w:r>
        <w:t xml:space="preserve">강건성은 결과에 영향을 줄 수 있는 요인별로 대안 표본과 정의를 적용하여 검토하였다. 전구 기술을 포함한 광의 표본에 대한 의존 여부는</w:t>
      </w:r>
      <w:r>
        <w:t xml:space="preserve"> </w:t>
      </w:r>
      <w:r>
        <w:rPr>
          <w:i/>
          <w:iCs/>
        </w:rPr>
        <w:t xml:space="preserve">hybrid bonding</w:t>
      </w:r>
      <w:r>
        <w:t xml:space="preserve"> </w:t>
      </w:r>
      <w:r>
        <w:t xml:space="preserve">표본으로, 검색어의 다른 의미로 인한 왜곡 여부는 무관 용법 제외 표본으로, H01L21의 경계 설정에 대한 민감도는 좁은 제조공정 정의로, 반복·유사 발명의 영향은 동일 제목 중복 제거 표본으로 확인하였다. 핵심 기술 모형에는 핵심 기호를 제외한 접합 기호 수를 통제한 모형과 핵심 기술을 가장 강한 쌍(24/08, 24/80)으로 한정한 정의를 추가하였으나,</w:t>
      </w:r>
      <w:r>
        <w:t xml:space="preserve"> </w:t>
      </w:r>
      <w:r>
        <w:rPr>
          <w:i/>
          <w:iCs/>
        </w:rPr>
        <w:t xml:space="preserve">hybrid bonding</w:t>
      </w:r>
      <w:r>
        <w:t xml:space="preserve"> </w:t>
      </w:r>
      <w:r>
        <w:t xml:space="preserve">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표본·정의, 군집 표준오차 전반에서 계수의 방향, 효과 크기, 유의성이 일관되는지를 종합적으로 판단하였다. p ≥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bookmarkEnd w:id="36"/>
    <w:bookmarkEnd w:id="37"/>
    <w:bookmarkStart w:id="48" w:name="결과"/>
    <w:p>
      <w:pPr>
        <w:pStyle w:val="Heading2"/>
      </w:pPr>
      <w:r>
        <w:t xml:space="preserve">5. 결과</w:t>
      </w:r>
    </w:p>
    <w:p>
      <w:pPr>
        <w:pStyle w:val="FirstParagraph"/>
      </w:pPr>
      <w:r>
        <w:t xml:space="preserve">분석 결과는 세 연구 질문의 순서대로 제5.1–5.3절에 제시하였으며, 결과의 강건성은 제5.4절에서 검증하였다.</w:t>
      </w:r>
    </w:p>
    <w:bookmarkStart w:id="41" w:name="기술융합의-수준과-유형-rq1"/>
    <w:p>
      <w:pPr>
        <w:pStyle w:val="Heading3"/>
      </w:pPr>
      <w:r>
        <w:t xml:space="preserve">5.1 기술융합의 수준과 유형 (RQ1)</w:t>
      </w:r>
    </w:p>
    <w:p>
      <w:pPr>
        <w:pStyle w:val="FirstParagraph"/>
      </w:pPr>
      <w:r>
        <w:t xml:space="preserve">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달하였다(제5.4절). 하이브리드 본딩 관련 특허에서 두 공정의 융합은 예외적인 현상이 아니었다.</w:t>
      </w:r>
    </w:p>
    <w:p>
      <w:pPr>
        <w:pStyle w:val="BodyText"/>
      </w:pPr>
      <w:r>
        <w:t xml:space="preserve">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 큰 차이를 보였다. 표 10과 그림 6은 출원 집중도를 고려하여 구분한 세 시기의 유형 분포이다. 1968–2014년에는 47년간의 출원(179건)이 이후 5년간의 출원(209건)보다 적을 정도로 출원이 드물었으므로 이 기간을 하나의 시기로 묶었으며, 2015년 이후는 5년 단위로 2015–2019년과 2020–2024년으로 나누었다. 공정 단독형의 비중은 2014년 이전 43.6%에서 2015–2019년 14.8%, 2020–2024년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2015–2019년에는 두 공정의 기술을 하나의 발명에 함께 포함한 통합형이 62.2%로 정점에 이르렀으며, 2020–2024년에는 통합형의 비중이 낮아지는 가운데 접합 단독형(45.4%)이 통합형(44.3%)과 비슷한 수준까지 증가하였다. 이하에서는 세 국면을 각각 형성기, 확산기, 재편기라 한다.</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2015–2019년에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표준오차와 나머지 계수, 유형 최소치 조정 CPC 범위(breadth_adj)의 탐색적 결과는 부록 A에 제시하였다.</w:t>
      </w:r>
    </w:p>
    <w:p>
      <w:pPr>
        <w:pStyle w:val="BodyText"/>
      </w:pPr>
      <w:r>
        <w:rPr>
          <w:b/>
          <w:bCs/>
        </w:rPr>
        <w:t xml:space="preserve">관측치의 독립성.</w:t>
      </w:r>
      <w:r>
        <w:t xml:space="preserve"> </w:t>
      </w:r>
      <w:r>
        <w:t xml:space="preserve">제목이 같은 출원을 하나의 군집으로 묶어 표준오차를 다시 계산하여도 표 13의 두 계수는 모두 1% 수준에서 유의하였으며, 유의성을 잃은 계수는 범위 → 공정 단독형(RRR 0.905, p = 0.29) 하나뿐이었다.</w:t>
      </w:r>
    </w:p>
    <w:p>
      <w:pPr>
        <w:pStyle w:val="BodyText"/>
      </w:pPr>
      <w:r>
        <w:rPr>
          <w:b/>
          <w:bCs/>
        </w:rPr>
        <w:t xml:space="preserve">범위의 기계적 부분.</w:t>
      </w:r>
      <w:r>
        <w:t xml:space="preserve"> </w:t>
      </w:r>
      <w:r>
        <w:t xml:space="preserve">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제4.3절)로 재추정한 결과 통합형의 RRR은 1.403에서 1.262로 감소하였으나 방향은 그대로 유지되었다(부록 A). 유형의 최소 구성을 제외한 추가적인 CPC 다양성 역시 통합형과 관련되어 있다는 의미이다.</w:t>
      </w:r>
    </w:p>
    <w:p>
      <w:pPr>
        <w:pStyle w:val="BodyText"/>
      </w:pPr>
      <w:r>
        <w:rPr>
          <w:b/>
          <w:bCs/>
        </w:rPr>
        <w:t xml:space="preserve">동일 제목 중복.</w:t>
      </w:r>
      <w:r>
        <w:t xml:space="preserve"> </w:t>
      </w:r>
      <w:r>
        <w:t xml:space="preserve">같은 제목의 출원 가운데 가장 이른 출원 1건만을 남기면 표본은 473건으로 줄어들지만, 이 표본에서도 기술범위와 출원연도의 핵심 계수는 모두 1% 수준에서 유의하였다.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‘어떠한 발명이 융합을 포함하는가’라는 질문(제2.1절)에 대한 하나의 답이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핵심–주변 관계와 기술 순환의 관점에서 설명하는 실증적 근거로 활용될 수 있다.</w:t>
      </w:r>
    </w:p>
    <w:bookmarkEnd w:id="49"/>
    <w:bookmarkStart w:id="50" w:name="실무적정책적-함의"/>
    <w:p>
      <w:pPr>
        <w:pStyle w:val="Heading3"/>
      </w:pPr>
      <w:r>
        <w:t xml:space="preserve">6.2 실무적·정책적 함의</w:t>
      </w:r>
    </w:p>
    <w:p>
      <w:pPr>
        <w:pStyle w:val="FirstParagraph"/>
      </w:pPr>
      <w:r>
        <w:t xml:space="preserve">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pPr>
        <w:pStyle w:val="BodyText"/>
      </w:pPr>
      <w:r>
        <w:t xml:space="preserve">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bookmarkEnd w:id="50"/>
    <w:bookmarkStart w:id="51" w:name="한계와-향후-연구"/>
    <w:p>
      <w:pPr>
        <w:pStyle w:val="Heading3"/>
      </w:pPr>
      <w:r>
        <w:t xml:space="preserve">6.3 한계와 향후 연구</w:t>
      </w:r>
    </w:p>
    <w:p>
      <w:pPr>
        <w:pStyle w:val="FirstParagraph"/>
      </w:pPr>
      <w:r>
        <w:t xml:space="preserve">본 연구에는 다음과 같은 한계가 있다. 첫째는 구성타당성에 관한 것이다. H01L21–H01L24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pPr>
        <w:pStyle w:val="BodyText"/>
      </w:pPr>
      <w:r>
        <w:t xml:space="preserve">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형성–확산–재편의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bookmarkEnd w:id="51"/>
    <w:bookmarkEnd w:id="52"/>
    <w:bookmarkStart w:id="53" w:name="결론"/>
    <w:p>
      <w:pPr>
        <w:pStyle w:val="Heading2"/>
      </w:pPr>
      <w:r>
        <w:t xml:space="preserve">7. 결론</w:t>
      </w:r>
    </w:p>
    <w:p>
      <w:pPr>
        <w:pStyle w:val="FirstParagraph"/>
      </w:pPr>
      <w:r>
        <w:t xml:space="preserve">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지지·봉지 공정으로 바뀌었으며, 접합과 결합하는 제조공정의 중심은 웨이퍼 제조공정에서 공정 장치와 패키징 단계 공정으로 이동하였다.</w:t>
      </w:r>
    </w:p>
    <w:p>
      <w:pPr>
        <w:pStyle w:val="BodyText"/>
      </w:pPr>
      <w:r>
        <w:t xml:space="preserve">공정 단계 간 융합은 한 방향으로 축적된 과정이라기보다 핵심 기술 설계의 고착화와 함께 융합의 중심이 핵심에서 주변으로 이동한 동태적 과정이었다고 결론지을 수 있다.</w:t>
      </w:r>
    </w:p>
    <w:p>
      <w:pPr>
        <w:pStyle w:val="BodyText"/>
      </w:pPr>
      <w:r>
        <w:t xml:space="preserve">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핵심–주변 관계와 기술 순환의 관점에서 실증되었다.</w:t>
      </w:r>
      <w:r>
        <w:t xml:space="preserve"> </w:t>
      </w:r>
      <w:r>
        <w:rPr>
          <w:highlight w:val="yellow"/>
        </w:rPr>
        <w:t xml:space="preserve">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2026-10-14T11:13:48Z</dcterms:created>
  <dcterms:modified xsi:type="dcterms:W3CDTF">2026-10-14T11:13:48Z</dcterms:modified>
</cp:coreProperties>
</file>

<file path=docProps/custom.xml><?xml version="1.0" encoding="utf-8"?>
<Properties xmlns="http://schemas.openxmlformats.org/officeDocument/2006/custom-properties" xmlns:vt="http://schemas.openxmlformats.org/officeDocument/2006/docPropsVTypes"/>
</file>