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JIK 투고본 v88: 분량 판단과 영문 검토 내역 (v87 대비)</w:t>
      </w:r>
    </w:p>
    <w:bookmarkStart w:id="9" w:name="분량은-적절한가"/>
    <w:p>
      <w:pPr>
        <w:pStyle w:val="Heading2"/>
      </w:pPr>
      <w:r>
        <w:t xml:space="preserve">1. 분량은 적절한가</w:t>
      </w:r>
    </w:p>
    <w:p>
      <w:pPr>
        <w:pStyle w:val="Compact"/>
        <w:numPr>
          <w:ilvl w:val="0"/>
          <w:numId w:val="1001"/>
        </w:numPr>
      </w:pPr>
      <w:r>
        <w:t xml:space="preserve">JIK 저자 안내문에서 확인되는 분량 규정은 초록 250단어뿐이며, 본문 단어 수나 쪽수 제한은 찾지 못했다. 원고에는 본문·참고문헌·표·그림을 모두 넣고, 그림은 별도 파일로도 제출한다.</w:t>
      </w:r>
    </w:p>
    <w:p>
      <w:pPr>
        <w:pStyle w:val="Compact"/>
        <w:numPr>
          <w:ilvl w:val="0"/>
          <w:numId w:val="1001"/>
        </w:numPr>
      </w:pPr>
      <w:r>
        <w:t xml:space="preserve">v88 영문 원고: 본문 서술 약 8,000단어(초록 포함, 표·캡션 제외), 표·캡션 포함 약 10,300단어, 참고문헌 약 1,400단어, 줄 간격 넓힌 심사용 원고 30쪽(보충자료 4쪽 별도). 본문 표 7개, 그림 5개.</w:t>
      </w:r>
    </w:p>
    <w:p>
      <w:pPr>
        <w:pStyle w:val="Compact"/>
        <w:numPr>
          <w:ilvl w:val="0"/>
          <w:numId w:val="1001"/>
        </w:numPr>
      </w:pPr>
      <w:r>
        <w:t xml:space="preserve">판단: 혁신·특허 실증 논문으로는 보통 범위에 든다. 강건성 분석과 측정 한계 설명을 더 줄이면 오히려 심사에서 설명 부족을 지적받을 위험이 커지므로, 분량은 여기서 더 줄이지 않는 것이 좋다.</w:t>
      </w:r>
    </w:p>
    <w:bookmarkEnd w:id="9"/>
    <w:bookmarkStart w:id="10" w:name="저널-방향성-점검-jik-심사-기준"/>
    <w:p>
      <w:pPr>
        <w:pStyle w:val="Heading2"/>
      </w:pPr>
      <w:r>
        <w:t xml:space="preserve">2. 저널 방향성 점검 (JIK 심사 기준)</w:t>
      </w:r>
    </w:p>
    <w:p>
      <w:pPr>
        <w:pStyle w:val="FirstParagraph"/>
      </w:pPr>
      <w:r>
        <w:t xml:space="preserve">JIK는 혁신이 지식을 낳고 지식이 새 혁신을 이끄는 관계를 다루며, 혁신·지식과 관련 없는 원고는 데스크 리젝트한다. 원고에 요구하는 것: (1) 혁신에 대한 명시적 초점, (2) 지식에 대한 미래 지향적 시사점, (3) 혁신과 지식 효과의 연결, (4) 맥락에 따른 차이와 더 넓은 독자에게 주는 교훈.</w:t>
      </w:r>
    </w:p>
    <w:tbl>
      <w:tblPr>
        <w:tblStyle w:val="Table"/>
        <w:tblW w:type="dxa" w:w="9069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511"/>
        <w:gridCol w:w="2930"/>
        <w:gridCol w:w="3628"/>
      </w:tblGrid>
      <w:tr>
        <w:trPr>
          <w:tblHeader w:val="on"/>
          <w:cantSplit/>
        </w:trPr>
        <w:tc>
          <w:tcPr>
            <w:tcW w:type="dxa" w:w="251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기준</w:t>
            </w:r>
          </w:p>
        </w:tc>
        <w:tc>
          <w:tcPr>
            <w:tcW w:type="dxa" w:w="2930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v87 상태</w:t>
            </w:r>
          </w:p>
        </w:tc>
        <w:tc>
          <w:tcPr>
            <w:tcW w:type="dxa" w:w="362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v88에서 보완한 것(국·영 함께)</w:t>
            </w:r>
          </w:p>
        </w:tc>
      </w:tr>
      <w:tr>
        <w:trPr>
          <w:cantSplit/>
        </w:trPr>
        <w:tc>
          <w:tcPr>
            <w:tcW w:type="dxa" w:w="251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혁신 초점</w:t>
            </w:r>
          </w:p>
        </w:tc>
        <w:tc>
          <w:tcPr>
            <w:tcW w:type="dxa" w:w="293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충족(기술융합, 하이브리드 본딩 혁신)</w:t>
            </w:r>
          </w:p>
        </w:tc>
        <w:tc>
          <w:tcPr>
            <w:tcW w:type="dxa" w:w="362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1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혁신–지식 연결</w:t>
            </w:r>
          </w:p>
        </w:tc>
        <w:tc>
          <w:tcPr>
            <w:tcW w:type="dxa" w:w="293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충족(지식 통합 틀, 지식 경계)</w:t>
            </w:r>
          </w:p>
        </w:tc>
        <w:tc>
          <w:tcPr>
            <w:tcW w:type="dxa" w:w="362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결론 마지막 문장: 혁신이 성숙하면 기업의 과제가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“지식을 통합할지”</w:t>
            </w:r>
            <w:r>
              <w:rPr>
                <w:sz w:val="18"/>
                <w:szCs w:val="18"/>
              </w:rPr>
              <w:t xml:space="preserve"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“어디에서 통합할지”</w:t>
            </w:r>
            <w:r>
              <w:rPr>
                <w:sz w:val="18"/>
                <w:szCs w:val="18"/>
              </w:rPr>
              <w:t xml:space="preserve">로 옮겨 간다</w:t>
            </w:r>
          </w:p>
        </w:tc>
      </w:tr>
      <w:tr>
        <w:trPr>
          <w:cantSplit/>
        </w:trPr>
        <w:tc>
          <w:tcPr>
            <w:tcW w:type="dxa" w:w="251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지식에 대한 시사점</w:t>
            </w:r>
          </w:p>
        </w:tc>
        <w:tc>
          <w:tcPr>
            <w:tcW w:type="dxa" w:w="293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6.2에 반도체·한국 메모리 산업 시사점만</w:t>
            </w:r>
          </w:p>
        </w:tc>
        <w:tc>
          <w:tcPr>
            <w:tcW w:type="dxa" w:w="362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초록 끝에 시사점 한 구절(250단어 유지): 기업은 인접 단계 지식을 통합할지뿐 아니라 어디에서 통합할지를 살펴야 함</w:t>
            </w:r>
          </w:p>
        </w:tc>
      </w:tr>
      <w:tr>
        <w:trPr>
          <w:cantSplit/>
        </w:trPr>
        <w:tc>
          <w:tcPr>
            <w:tcW w:type="dxa" w:w="251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더 넓은 독자에 대한 교훈</w:t>
            </w:r>
          </w:p>
        </w:tc>
        <w:tc>
          <w:tcPr>
            <w:tcW w:type="dxa" w:w="293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향후 연구에서 다른 산업 적용만 언급</w:t>
            </w:r>
          </w:p>
        </w:tc>
        <w:tc>
          <w:tcPr>
            <w:tcW w:type="dxa" w:w="362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서론 끝: 하류 단계가 상류 공정 역량에 의존하게 되는 다른 산업의 경영자·정책 입안자에게 주는 의미; 6.2 끝: 하이브리드 본딩 밖에서도 성립한다면 통합해야 할 지식은 고정되어 있지 않고(설계가 불확정일 때는 핵심 인터페이스, 확립 후에는 구현 공정) 어떤 인접 역량을 구축·조달·유지할지 판단에 쓰일 수 있음</w:t>
            </w:r>
          </w:p>
        </w:tc>
      </w:tr>
      <w:tr>
        <w:trPr>
          <w:cantSplit/>
        </w:trPr>
        <w:tc>
          <w:tcPr>
            <w:tcW w:type="dxa" w:w="2511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맥락에 따른 차이</w:t>
            </w:r>
          </w:p>
        </w:tc>
        <w:tc>
          <w:tcPr>
            <w:tcW w:type="dxa" w:w="293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없음</w:t>
            </w:r>
          </w:p>
        </w:tc>
        <w:tc>
          <w:tcPr>
            <w:tcW w:type="dxa" w:w="362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향후 연구: 출원인 자료를 결합하면 국면이 기업과 국가 맥락에 따라 다르게 전개되는지 검토 가능</w:t>
            </w:r>
          </w:p>
        </w:tc>
      </w:tr>
    </w:tbl>
    <w:bookmarkEnd w:id="10"/>
    <w:bookmarkStart w:id="11" w:name="영문-어투문맥-검토-별도-검토-에이전트-직접-대조-약-45곳"/>
    <w:p>
      <w:pPr>
        <w:pStyle w:val="Heading2"/>
      </w:pPr>
      <w:r>
        <w:t xml:space="preserve">3. 영문 어투·문맥 검토 (별도 검토 에이전트 + 직접 대조, 약 45곳)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번역투 정리:</w:t>
      </w:r>
      <w:r>
        <w:t xml:space="preserve"> </w:t>
      </w:r>
      <w:r>
        <w:t xml:space="preserve">“that is”</w:t>
      </w:r>
      <w:r>
        <w:t xml:space="preserve">,</w:t>
      </w:r>
      <w:r>
        <w:t xml:space="preserve"> </w:t>
      </w:r>
      <w:r>
        <w:t xml:space="preserve">“it matters”</w:t>
      </w:r>
      <w:r>
        <w:t xml:space="preserve">,</w:t>
      </w:r>
      <w:r>
        <w:t xml:space="preserve"> </w:t>
      </w:r>
      <w:r>
        <w:t xml:space="preserve">“In terms of”</w:t>
      </w:r>
      <w:r>
        <w:t xml:space="preserve"> </w:t>
      </w:r>
      <w:r>
        <w:t xml:space="preserve">같은 직역 표현, 긴 명사구 주어(</w:t>
      </w:r>
      <w:r>
        <w:t xml:space="preserve">“the findings that … held”</w:t>
      </w:r>
      <w:r>
        <w:t xml:space="preserve">), 분사 구문이 매달린 문장을 자연스러운 학술 영어로 바꿈.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긴 문장 나누기:</w:t>
      </w:r>
      <w:r>
        <w:t xml:space="preserve"> </w:t>
      </w:r>
      <w:r>
        <w:t xml:space="preserve">50–90단어 문장 약 15개를 두세 문장으로 나눔(2.1–2.4, 3.2, 4.1, 4.4, 5.3, 5.4, 6.1).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표현의 강도(헤징):</w:t>
      </w:r>
      <w:r>
        <w:t xml:space="preserve"> </w:t>
      </w:r>
      <w:r>
        <w:t xml:space="preserve">관찰 자료에 맞게 단정 표현을 완화. 예: 6.1</w:t>
      </w:r>
      <w:r>
        <w:t xml:space="preserve"> </w:t>
      </w:r>
      <w:r>
        <w:t xml:space="preserve">“relocates”</w:t>
      </w:r>
      <w:r>
        <w:t xml:space="preserve"> </w:t>
      </w:r>
      <w:r>
        <w:t xml:space="preserve">→</w:t>
      </w:r>
      <w:r>
        <w:t xml:space="preserve"> </w:t>
      </w:r>
      <w:r>
        <w:t xml:space="preserve">“appears to have relocated”</w:t>
      </w:r>
      <w:r>
        <w:t xml:space="preserve">, 6.2</w:t>
      </w:r>
      <w:r>
        <w:t xml:space="preserve"> </w:t>
      </w:r>
      <w:r>
        <w:t xml:space="preserve">“are not sufficient”</w:t>
      </w:r>
      <w:r>
        <w:t xml:space="preserve"> </w:t>
      </w:r>
      <w:r>
        <w:t xml:space="preserve">→</w:t>
      </w:r>
      <w:r>
        <w:t xml:space="preserve"> </w:t>
      </w:r>
      <w:r>
        <w:t xml:space="preserve">“may not be sufficient”</w:t>
      </w:r>
      <w:r>
        <w:t xml:space="preserve">,</w:t>
      </w:r>
      <w:r>
        <w:t xml:space="preserve"> </w:t>
      </w:r>
      <w:r>
        <w:t xml:space="preserve">“firms need to”</w:t>
      </w:r>
      <w:r>
        <w:t xml:space="preserve"> </w:t>
      </w:r>
      <w:r>
        <w:t xml:space="preserve">→</w:t>
      </w:r>
      <w:r>
        <w:t xml:space="preserve"> </w:t>
      </w:r>
      <w:r>
        <w:t xml:space="preserve">“firms may need to”</w:t>
      </w:r>
      <w:r>
        <w:t xml:space="preserve">, 결론</w:t>
      </w:r>
      <w:r>
        <w:t xml:space="preserve"> </w:t>
      </w:r>
      <w:r>
        <w:t xml:space="preserve">“did not disappear”</w:t>
      </w:r>
      <w:r>
        <w:t xml:space="preserve"> </w:t>
      </w:r>
      <w:r>
        <w:t xml:space="preserve">→</w:t>
      </w:r>
      <w:r>
        <w:t xml:space="preserve"> </w:t>
      </w:r>
      <w:r>
        <w:t xml:space="preserve">“appears not to have disappeared”</w:t>
      </w:r>
      <w:r>
        <w:t xml:space="preserve">. 국문도 같은 강도로(</w:t>
      </w:r>
      <w:r>
        <w:t xml:space="preserve">“…것으로 보인다”</w:t>
      </w:r>
      <w:r>
        <w:t xml:space="preserve">,</w:t>
      </w:r>
      <w:r>
        <w:t xml:space="preserve"> </w:t>
      </w:r>
      <w:r>
        <w:t xml:space="preserve">“…할 수 있다”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용어 통일:</w:t>
      </w:r>
    </w:p>
    <w:p>
      <w:pPr>
        <w:pStyle w:val="Compact"/>
        <w:numPr>
          <w:ilvl w:val="1"/>
          <w:numId w:val="1003"/>
        </w:numPr>
      </w:pPr>
      <w:r>
        <w:t xml:space="preserve">“boundary-spanning patents”</w:t>
      </w:r>
      <w:r>
        <w:t xml:space="preserve"> </w:t>
      </w:r>
      <w:r>
        <w:t xml:space="preserve">→</w:t>
      </w:r>
      <w:r>
        <w:t xml:space="preserve"> </w:t>
      </w:r>
      <w:r>
        <w:t xml:space="preserve">“integrated applications/inventions”</w:t>
      </w:r>
      <w:r>
        <w:t xml:space="preserve">(정의된 유형 이름 사용).</w:t>
      </w:r>
    </w:p>
    <w:p>
      <w:pPr>
        <w:pStyle w:val="Compact"/>
        <w:numPr>
          <w:ilvl w:val="1"/>
          <w:numId w:val="1003"/>
        </w:numPr>
      </w:pPr>
      <w:r>
        <w:t xml:space="preserve">특허출원은</w:t>
      </w:r>
      <w:r>
        <w:t xml:space="preserve"> </w:t>
      </w:r>
      <w:r>
        <w:t xml:space="preserve">“applications”</w:t>
      </w:r>
      <w:r>
        <w:t xml:space="preserve">, 최종 용도는</w:t>
      </w:r>
      <w:r>
        <w:t xml:space="preserve"> </w:t>
      </w:r>
      <w:r>
        <w:t xml:space="preserve">“end-use applications”</w:t>
      </w:r>
      <w:r>
        <w:t xml:space="preserve">로 구분.</w:t>
      </w:r>
    </w:p>
    <w:p>
      <w:pPr>
        <w:pStyle w:val="Compact"/>
        <w:numPr>
          <w:ilvl w:val="1"/>
          <w:numId w:val="1003"/>
        </w:numPr>
      </w:pPr>
      <w:r>
        <w:t xml:space="preserve">RQ3의 위치는</w:t>
      </w:r>
      <w:r>
        <w:t xml:space="preserve"> </w:t>
      </w:r>
      <w:r>
        <w:t xml:space="preserve">“locus”</w:t>
      </w:r>
      <w:r>
        <w:t xml:space="preserve">로 통일. 6.1, 결론, 초록에서</w:t>
      </w:r>
      <w:r>
        <w:t xml:space="preserve"> </w:t>
      </w:r>
      <w:r>
        <w:t xml:space="preserve">“center of the fabrication processes”</w:t>
      </w:r>
      <w:r>
        <w:t xml:space="preserve">를</w:t>
      </w:r>
      <w:r>
        <w:t xml:space="preserve"> </w:t>
      </w:r>
      <w:r>
        <w:t xml:space="preserve">“locus of knowledge integration”</w:t>
      </w:r>
      <w:r>
        <w:t xml:space="preserve">으로 바꾸고, 국문도</w:t>
      </w:r>
      <w:r>
        <w:t xml:space="preserve"> </w:t>
      </w:r>
      <w:r>
        <w:t xml:space="preserve">“제조공정의 중심”</w:t>
      </w:r>
      <w:r>
        <w:t xml:space="preserve"> </w:t>
      </w:r>
      <w:r>
        <w:t xml:space="preserve">→</w:t>
      </w:r>
      <w:r>
        <w:t xml:space="preserve"> </w:t>
      </w:r>
      <w:r>
        <w:t xml:space="preserve">“지식 통합이 일어나는 위치”</w:t>
      </w:r>
      <w:r>
        <w:t xml:space="preserve">로 맞춤.</w:t>
      </w:r>
    </w:p>
    <w:p>
      <w:pPr>
        <w:pStyle w:val="Compact"/>
        <w:numPr>
          <w:ilvl w:val="1"/>
          <w:numId w:val="1003"/>
        </w:numPr>
      </w:pPr>
      <w:r>
        <w:t xml:space="preserve">출원의 무게중심(center of gravity)은 그대로 둠.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정확성:</w:t>
      </w:r>
      <w:r>
        <w:t xml:space="preserve"> </w:t>
      </w:r>
      <w:r>
        <w:t xml:space="preserve">초록의</w:t>
      </w:r>
      <w:r>
        <w:t xml:space="preserve"> </w:t>
      </w:r>
      <w:r>
        <w:t xml:space="preserve">“process-only applications dominated”</w:t>
      </w:r>
      <w:r>
        <w:t xml:space="preserve">를</w:t>
      </w:r>
      <w:r>
        <w:t xml:space="preserve"> </w:t>
      </w:r>
      <w:r>
        <w:t xml:space="preserve">“were most common”</w:t>
      </w:r>
      <w:r>
        <w:t xml:space="preserve">으로 고침(43.6%는 과반이 아님). 5.1은</w:t>
      </w:r>
      <w:r>
        <w:t xml:space="preserve"> </w:t>
      </w:r>
      <w:r>
        <w:t xml:space="preserve">“기호를 함께 보유”</w:t>
      </w:r>
      <w:r>
        <w:t xml:space="preserve">로 측정 표현에 맞춤. 5.4의</w:t>
      </w:r>
      <w:r>
        <w:t xml:space="preserve"> </w:t>
      </w:r>
      <w:r>
        <w:t xml:space="preserve">“unchanged (from 11.071 to 8.768)”</w:t>
      </w:r>
      <w:r>
        <w:t xml:space="preserve">처럼 앞뒤가 어긋나 보이던 문장도 고침.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시제:</w:t>
      </w:r>
      <w:r>
        <w:t xml:space="preserve"> </w:t>
      </w:r>
      <w:r>
        <w:t xml:space="preserve">발견은 과거형, 표가 보여 주는 것과 일반 진술은 현재형으로 정리.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하이라이트:</w:t>
      </w:r>
      <w:r>
        <w:t xml:space="preserve"> </w:t>
      </w:r>
      <w:r>
        <w:t xml:space="preserve">2번</w:t>
      </w:r>
      <w:r>
        <w:t xml:space="preserve"> </w:t>
      </w:r>
      <w:r>
        <w:t xml:space="preserve">“integrated”</w:t>
      </w:r>
      <w:r>
        <w:t xml:space="preserve"> </w:t>
      </w:r>
      <w:r>
        <w:t xml:space="preserve">→</w:t>
      </w:r>
      <w:r>
        <w:t xml:space="preserve"> </w:t>
      </w:r>
      <w:r>
        <w:t xml:space="preserve">“combined”</w:t>
      </w:r>
      <w:r>
        <w:t xml:space="preserve">(유형 이름과의 혼동 방지), 3번</w:t>
      </w:r>
      <w:r>
        <w:t xml:space="preserve"> </w:t>
      </w:r>
      <w:r>
        <w:t xml:space="preserve">“moved”</w:t>
      </w:r>
      <w:r>
        <w:t xml:space="preserve"> </w:t>
      </w:r>
      <w:r>
        <w:t xml:space="preserve">→</w:t>
      </w:r>
      <w:r>
        <w:t xml:space="preserve"> </w:t>
      </w:r>
      <w:r>
        <w:t xml:space="preserve">“passed”</w:t>
      </w:r>
      <w:r>
        <w:t xml:space="preserve">, 5번</w:t>
      </w:r>
      <w:r>
        <w:t xml:space="preserve"> </w:t>
      </w:r>
      <w:r>
        <w:t xml:space="preserve">“shifted”</w:t>
      </w:r>
      <w:r>
        <w:t xml:space="preserve"> </w:t>
      </w:r>
      <w:r>
        <w:t xml:space="preserve">→</w:t>
      </w:r>
      <w:r>
        <w:t xml:space="preserve"> </w:t>
      </w:r>
      <w:r>
        <w:t xml:space="preserve">“relocated”</w:t>
      </w:r>
      <w:r>
        <w:t xml:space="preserve">. 모두 85자 이내.</w:t>
      </w:r>
    </w:p>
    <w:p>
      <w:pPr>
        <w:pStyle w:val="Compact"/>
        <w:numPr>
          <w:ilvl w:val="0"/>
          <w:numId w:val="1002"/>
        </w:numPr>
      </w:pPr>
      <w:r>
        <w:t xml:space="preserve">반영하지 않은 것:</w:t>
      </w:r>
    </w:p>
    <w:p>
      <w:pPr>
        <w:pStyle w:val="Compact"/>
        <w:numPr>
          <w:ilvl w:val="1"/>
          <w:numId w:val="1004"/>
        </w:numPr>
      </w:pPr>
      <w:r>
        <w:t xml:space="preserve">2.2</w:t>
      </w:r>
      <w:r>
        <w:t xml:space="preserve"> </w:t>
      </w:r>
      <w:r>
        <w:t xml:space="preserve">“Hybrid bonding is a case in point”</w:t>
      </w:r>
      <w:r>
        <w:t xml:space="preserve">로 줄이자는 제안. 앞선 검토에서 지시 대상을 분명히 하려고 고친 문장이라 유지함.</w:t>
      </w:r>
    </w:p>
    <w:p>
      <w:pPr>
        <w:pStyle w:val="Compact"/>
        <w:numPr>
          <w:ilvl w:val="1"/>
          <w:numId w:val="1004"/>
        </w:numPr>
      </w:pPr>
      <w:r>
        <w:t xml:space="preserve">하이라이트 1번의</w:t>
      </w:r>
      <w:r>
        <w:t xml:space="preserve"> </w:t>
      </w:r>
      <w:r>
        <w:t xml:space="preserve">“front- and back-end”</w:t>
      </w:r>
      <w:r>
        <w:t xml:space="preserve">. 3.2와 일치하므로 유지함.</w:t>
      </w:r>
    </w:p>
    <w:bookmarkEnd w:id="11"/>
    <w:bookmarkStart w:id="12" w:name="투고-준비물"/>
    <w:p>
      <w:pPr>
        <w:pStyle w:val="Heading2"/>
      </w:pPr>
      <w:r>
        <w:t xml:space="preserve">4. 투고 준비물</w:t>
      </w:r>
    </w:p>
    <w:p>
      <w:pPr>
        <w:pStyle w:val="Compact"/>
        <w:numPr>
          <w:ilvl w:val="0"/>
          <w:numId w:val="1005"/>
        </w:numPr>
      </w:pPr>
      <w:r>
        <w:t xml:space="preserve">그림 1–5를 별도 파일로 저장:</w:t>
      </w:r>
      <w:r>
        <w:t xml:space="preserve"> </w:t>
      </w:r>
      <w:r>
        <w:rPr>
          <w:rStyle w:val="VerbatimChar"/>
        </w:rPr>
        <w:t xml:space="preserve">figures_v88_en_JIK/Figure_1.tif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Figure_5.tif</w:t>
      </w:r>
      <w:r>
        <w:t xml:space="preserve">(300 dpi, LZW 압축 TIFF).</w:t>
      </w:r>
    </w:p>
    <w:p>
      <w:pPr>
        <w:pStyle w:val="Compact"/>
        <w:numPr>
          <w:ilvl w:val="0"/>
          <w:numId w:val="1005"/>
        </w:numPr>
      </w:pPr>
      <w:r>
        <w:t xml:space="preserve">보충자료 파일(</w:t>
      </w:r>
      <w:r>
        <w:rPr>
          <w:rStyle w:val="VerbatimChar"/>
        </w:rPr>
        <w:t xml:space="preserve">supplementary_v88_en_JIK.docx</w:t>
      </w:r>
      <w:r>
        <w:t xml:space="preserve">)은 그대로 첨부.</w:t>
      </w:r>
    </w:p>
    <w:p>
      <w:pPr>
        <w:pStyle w:val="Compact"/>
        <w:numPr>
          <w:ilvl w:val="0"/>
          <w:numId w:val="1005"/>
        </w:numPr>
      </w:pPr>
      <w:r>
        <w:t xml:space="preserve">저자 확인 필요(노란색): 감사의 글, 연구비, 이해상충, CRediT, 데이터 가용성, 생성형 AI 사용 선언.</w:t>
      </w:r>
    </w:p>
    <w:bookmarkEnd w:id="12"/>
    <w:bookmarkStart w:id="13" w:name="확인한-것"/>
    <w:p>
      <w:pPr>
        <w:pStyle w:val="Heading2"/>
      </w:pPr>
      <w:r>
        <w:t xml:space="preserve">5. 확인한 것</w:t>
      </w:r>
    </w:p>
    <w:p>
      <w:pPr>
        <w:pStyle w:val="Compact"/>
        <w:numPr>
          <w:ilvl w:val="0"/>
          <w:numId w:val="1006"/>
        </w:numPr>
      </w:pPr>
      <w:r>
        <w:t xml:space="preserve">수치·인용·표·그림 번호 감사 모두 통과(빌드 4개 FAILS 0), 국문·영문 수치 집합 동일, 영문 초록 250단어, 하이라이트 80–85자.</w:t>
      </w:r>
    </w:p>
    <w:p>
      <w:pPr>
        <w:pStyle w:val="Compact"/>
        <w:numPr>
          <w:ilvl w:val="0"/>
          <w:numId w:val="1006"/>
        </w:numPr>
      </w:pPr>
      <w:r>
        <w:t xml:space="preserve">분석과 수치는 v87과 같음(새 분석 없음).</w:t>
      </w:r>
    </w:p>
    <w:bookmarkEnd w:id="13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2026-10-15T11:53:34Z</dcterms:created>
  <dcterms:modified xsi:type="dcterms:W3CDTF">2026-10-15T11:53:34Z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