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c568aa807c87545f8509b17765e18450ecaf04f"/>
    <w:p>
      <w:pPr>
        <w:pStyle w:val="Heading1"/>
      </w:pPr>
      <w:r>
        <w:t xml:space="preserve">반도체 하이브리드 본딩 특허에 나타난 공정단계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후공정의 접합 기술인데도 표면 평탄화, 표면 처리 같은 전공정의 제조공정 기술 없이는 성능이 나오지 않는다. 이 논문은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조립 단독형, 제조공정 기술 분류(H01L21)만 있으면 공정 단독형, 둘이 함께 있으면 통합형으로 나누었고, 두 클래스의 공동분류를 공정 간 융합의 대리측정치로 썼다. 통합형은 전체의 45.8%로 가장 많았고 보수적 정의에서도 37.2%였다. 융합의 전개는 세 국면으로 나타났다. 2014년 이전의 형성기에는 공정 단독형이 43.6%로 가장 많았고, 2015–2019년의 확산기에는 통합형이 62.2%로 정점에 이르렀으며, 2020–2024년의 재편기에는 통합형이 44.3%로 낮아지고 조립 단독형이 늘었다. 회귀분석에서 세부 기술을 더 다양하게 포함한 출원일수록 통합형일 가능성이 높았고(상대위험비 1.40), 이 연관은 세 국면 모두에서 유지되었다. 최근 출원일수록 공정 단독형으로 분류될 상대적 가능성은 낮아져 융합의 무게중심이 접합 쪽으로 옮겨 갔다. 기술 클러스터와 기술 네트워크 분석으로 찾은 하이브리드 본딩의 핵심 기술, 곧 접합 패드끼리 범프 없이 직접 연결하는 접합 기호 네 개를 담은 출원은 형성기에 제조공정 분류를 함께 가질 승산이 그렇지 않은 출원의 11.1배였지만, 그 차이는 확산기에 2.5배로 줄었고 재편기에는 사라졌다. 재편기의 융합은 핵심 기술이 아니라 임시 지지 기판, 봉지 같은 다이 취급 공정과의 결합에서 나타났다. 공정 단계 간 융합은 한 방향으로 쌓이기보다, 핵심 기술의 설계가 굳어 가면서 융합이 일어나는 자리가 핵심에서 주변으로 옮겨 가는 방식으로 전개되었다.</w:t>
      </w:r>
    </w:p>
    <w:p>
      <w:pPr>
        <w:pStyle w:val="BodyText"/>
      </w:pPr>
      <w:r>
        <w:rPr>
          <w:b/>
          <w:bCs/>
        </w:rPr>
        <w:t xml:space="preserve">주제어:</w:t>
      </w:r>
      <w:r>
        <w:t xml:space="preserve"> </w:t>
      </w:r>
      <w:r>
        <w:t xml:space="preserve">기술융합; 공정단계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been separate worlds in semiconductor manufacturing for decades. Hybrid bonding belongs to the back end, but it does not work without front-end capabilities, surface planarisation and surface treatment above all. This paper asks whether the two bodies of technology are combined within single patents and how that convergence has unfolded over time, using 928 hybrid-bonding-related applications drawn from EPO PATSTAT. Each application is labelled assembly-only when it carries only H01L24 symbols (bonding technology), process-only when it carries only H01L21 symbols (fabrication processes), and integrated when it carries both; co-classification in the two classes serves as a proxy for cross-stage convergence. Integrated applications are the largest group at 45.8%, and 37.2% under a narrower definition. Convergence unfolds in three phases. In the formation phase before 2015, process-only applications are the most common at 43.6%; in the diffusion phase of 2015–2019, the integrated share peaks at 62.2%; in the reconfiguration phase of 2020–2024, it falls to 44.3% while assembly-only applications grow. Applications spanning more diverse technical elements are more likely to be integrated (relative-risk ratio 1.40), in every phase, and process-only classification becomes relatively less likely for more recent filings, so the centre of gravity of convergence moves towards bonding. A technology cluster and network analysis identifies the core of hybrid bonding: four bonding symbols for connecting bonding areas directly, without bumps. Applications containing this core were 11.1 times as likely, in odds, to also carry fabrication-process symbols in the formation phase; the ratio fell to 2.5 in the diffusion phase and disappeared in the reconfiguration phase, when convergence appeared instead in combinations with die-handling processes such as temporary carriers and encapsulation. Cross-stage convergence did not simply accumulate: as the core design settled, the place where convergence occurs moved from the core of the technology to its periphery.</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하지만 첨단 패키징의 등장으로 인해 이 인터페이스의 변화가 생기고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요소를 하나씩 짚어 보면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기술경계의 융합을 개별특허의 수준에서 확인할 수 있는지, 그리고 시간이 지나면서 어떤 양태로 전개되는지가 이 논문의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서로 다른 산업이나 기술 분야가 겹치는 경우에 관심을 두었지, 한 산업 안에서 가치사슬의 단계를 가로지르는 융합은 좀처럼 다루어지지 않았고, 융합을 단계적 과정으로 보는 이론(Hacklin et al., 2010)에 비해 융합의 내용이 시간에 따라 어떻게 바뀌는지를 본 실증도 적다. 가치사슬 상·하류 기업 간의 특허 인용을 분석한 Karvonen과 Kässi(2012)가 그나마 가까운 선례이지만, 하나의 기술이 공정 단계의 경계를 넘는지를 특허 단위에서 검정한 것은 아니었다. 누가 무엇을 만들고 가치를 가져가는가를 정하는 틀(Jacobides et al., 2006)에 변화를 가져오는 것은 바로 공정 단계의 경계를 허무는 이러한 발명이다.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조립 단독형, 제조공정 기호만 있으면 공정 단독형이다. 공동분류로 융합을 포착하는 것 자체는 Curran과 Leker(2011), Kwon et al.(2020) 등이 써 온 표준적인 방법이다. 이 논문이 새로 하는 일은 그 방법을 두 산업 사이가 아니라 한 산업을 가로지르는 경계에 적용하고, 분야 수준의 지수로 집계하는 대신 개별 특허의 유형으로 재구성하는 것이다. 이 논문이 답하려는 질문은 세 가지다. 첫째, 하이브리드 본딩 특허에서 제조공정과 접합 기술의 융합은 얼마나 일반적이며 시기에 따라 어떻게 전개되었는가. 둘째, 어떤 특허가 두 공정의 경계를 넘으며, 융합의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조립 단독형이 늘었다. 세 국면 모두에서 세부 기술을 더 다양하게 포함한 출원이 경계를 넘었고, 공정 단독형은 최근으로 올수록 드물어졌다. 기술 클러스터와 기술 네트워크로 찾은 핵심 기술, 곧 접합 패드끼리 직접 연결하는 기술을 담은 출원은 형성기에 통합형인 경우가 훨씬 많았지만 재편기에는 그 차이가 사라졌고, 제조공정과의 결합은 그 대신 다이 취급 공정에서 늘었다. 융합은 한 방향으로 쌓인 것이 아니라 핵심에서 주변으로 자리를 옮겨 간 것이다. 이 논문의 기여는 세 갈래로 나뉜다. 개념적으로는 산업 간 사례에 머물던 융합 이론을 산업 내 공정 단계 간 사례로 넓히고, 융합을 정도의 증감이 아니라 내용과 자리가 바뀌는 과정으로 기술한다. 이를 통해 Langlois와 Steinmueller(1999), Kapoor와 Adner(2012), Kapoor(2013)의 반도체 산업 아키텍처 문헌, 그리고 지배적 설계에 관한 기술 순환 문헌(Anderson and Tushman, 1990)의 논의를 개별 공정 영역의 특허 자료로 살핀다.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그리고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말고도 또 다른 경계가 있다. 한 산업 안에서 가치사슬의 단계를 가르는 경계다. 반도체 산업이 좋은 사례인 것은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이런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Lee et al., 2015; Jeong et al., 2015; Kwon et al., 2020). 분류가 발명을 뒤늦게 따라간다는 문제를 피하려고 특허 텍스트를 이용하는 연구도 있다(Preschitschek et al., 2013; Zhu and Motohashi, 2022).</w:t>
      </w:r>
    </w:p>
    <w:p>
      <w:pPr>
        <w:pStyle w:val="BodyText"/>
      </w:pPr>
      <w:r>
        <w:t xml:space="preserve">공동분류를 신호로 쓴다는 점에서 본 연구는 첫째 흐름에 속한다. 다른 점은 분석 단위다. 공동분류를 분야 수준으로 집계하는 대신 개별 특허를 세 가지 공동분류 유형으로 나누는데, 접합·인터커넥트 기호(H01L24)만 부여된 조립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살아남는다. 한 가지 단서는 필요하다.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설명변수와 핵심 기술의 식별은 두 갈래의 특허 연구에 기댄다. 하나는 특허 범위 연구다. Lerner(1994)는 특허가 걸치는 분류의 수로 범위를 재고 범위가 경제적 가치를 가짐을 보였으며, 반도체에서는 특허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가설로 검정한다.</w:t>
      </w:r>
    </w:p>
    <w:bookmarkEnd w:id="17"/>
    <w:bookmarkStart w:id="18" w:name="가설"/>
    <w:p>
      <w:pPr>
        <w:pStyle w:val="Heading3"/>
      </w:pPr>
      <w:r>
        <w:t xml:space="preserve">2.4 가설</w:t>
      </w:r>
    </w:p>
    <w:p>
      <w:pPr>
        <w:pStyle w:val="FirstParagraph"/>
      </w:pPr>
      <w:r>
        <w:t xml:space="preserve">융합은 한 번에 일어나는 사건이 아니라 단계를 밟는 과정이다(Hacklin et al., 2010). 여기에 새 기술이 여러 설계가 경쟁하는 격동기를 거쳐 지배적 설계로 수렴한다는 기술 순환 모형(Anderson and Tushman, 1990)을 겹치면, 공정 단계 사이의 융합도 시기에 따라 다른 양태를 보일 것으로 예상할 수 있다. 기술이 형성되는 시기에는 직접 접합을 가능하게 하는 공정 발명이 나오며, 기술이 확산되면 공정 지식이 접합 발명과 함께 융합되는 일이 늘어난다. 하나의 설계방식이 주류가 되면 두 공정의 결합은 응용에 필요한 주변 공정으로 옮겨 간다. 이 예상에서 세 가지 가설을 세운다. H1은 어떤 특허가 경계를 넘는가, H2는 융합의 무게중심이 제조공정 쪽에서 접합 쪽으로 옮겨 가는가, H3은 융합이 일어나는 자리가 핵심 기술에서 주변으로 옮겨 가는가를 묻는다.</w:t>
      </w:r>
    </w:p>
    <w:p>
      <w:pPr>
        <w:pStyle w:val="BodyText"/>
      </w:pPr>
      <w:r>
        <w:rPr>
          <w:b/>
          <w:bCs/>
        </w:rPr>
        <w:t xml:space="preserve">기술적 다양성.</w:t>
      </w:r>
      <w:r>
        <w:t xml:space="preserve"> </w:t>
      </w:r>
      <w:r>
        <w:t xml:space="preserve">Kodama(1992)의 융합도 Rosenberg(1963)의 수렴도 둘 이상의 기술 영역에 걸치는 발명을 뜻하며, 이는 두 클래스 안에서 더 다양한 세부 기술 요소를 포함하는 출원일수록 두 영역의 기호가 함께 부여될 가능성이 높아야 한다.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그래서 공정 발명으로 분류되었다. 적용 범위가 이미지센서와 3D NAND의 웨이퍼 단위 접합에서 고대역폭 메모리와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조립 단독형으로 분류될 상대적 가능성은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시기에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굳고,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굳고 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굳어 간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접합·연결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절차는 다음과 같다. 후보 출원은 H01L21 또는 H01L24 계열 CPC 기호를 하나 이상 가진 출원으로 한정하였다. 그 결과 출원–CPC 쌍 5,277건, 출원 단위로 1968–2024년에 출원된 928건이 된다.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모든 기호는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분석단위는 PATSTAT의 개별 특허출원이다. 같은 발명이 여러 출원청에 제출된 경우 각 출원은 별도의 관측치로 포함되며, 계량분석의 관측단위는 특허출원이다.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하나의 근사 중복군으로 보고 각 제목군에서 가장 이른 출원 1건만 남긴 결과를 제5.4절에 보고한다. 928건은 473개의 고유 제목으로 이루어지며, 이 중 149개 제목은 둘 이상의 출원청에 출원되었다. 제목은 공식 패밀리 식별자가 아니므로 이 분석은 정확한 패밀리 제거가 아니라 다국가 중복 가능성에 대한 근사 조정이다.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조립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조립 단계 공정 403건(24.6%)이다. 조립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접합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조립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조립 단독형(H01L24 기호만), 통합형(둘 다), 공정 단독형(H01L21 기호만)으로 나누며, 두 클래스의 기호가 함께 부여된 출원을 이하 통합형 또는 공동분류형이라 부르고 이것이 경계 넘기의 측정치다. 제조공정 분류 여부(has_process)는 H01L21 기호를 하나라도 가지면 1인 지표로, 통합형과 공정 단독형을 합한 것이다. 핵심 기술 보유(core)는 제4.4절에서 식별한 핵심 접합 기호 네 개(24/03, 24/05, 24/08, 24/80) 가운데 하나 이상을 가지면 1이다. 출원연도(yc)는 표본의 첫 출원(1968년)부터 지난 햇수이고, 출원 시기(period)는 출원이 드문 1968–2014년을 한 시기로 묶고 이후를 2015–2019년과 2020–2024년으로 나눈 세 범주다. 출원청(ccode)은 출원이 제출된 특허청 또는 출원 경로로 8개 수준이다. 출원청마다 출원 시기와 기술 구성이 다르므로 모든 모형에 통제변수로 넣되, 출원청 사이의 차이는 이 논문의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기업의 전략이 아닌 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2023–2024년의 감소에는 출원 뒤 공개까지 걸리는 시차가 영향을 미쳤을 가능성이 크다. 유형별로는 통합형 425건(45.8%), 조립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방법이다(Sternitzke et al., 2008; Breschi et al., 2003).</w:t>
      </w:r>
    </w:p>
    <w:p>
      <w:pPr>
        <w:pStyle w:val="BodyText"/>
      </w:pPr>
      <w:r>
        <w:rPr>
          <w:b/>
          <w:bCs/>
        </w:rPr>
        <w:t xml:space="preserve">기술 클러스터.</w:t>
      </w:r>
      <w:r>
        <w:t xml:space="preserve"> </w:t>
      </w:r>
      <w:r>
        <w:t xml:space="preserve">표 4는 928건에 부여된 전체 CPC 기호 가운데 출원 200건 이상에 부여된 11개다. 기호의 뜻은 CPC의 공식 정의를 요약한 것이다.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표 5는 한 출원에 함께 부여된 기호 쌍 가운데 함께 부여된 출원이 가장 많은 열 쌍이다. 가장 강한 연결은 도전성 표면의 직접 접합과 절연성 표면의 직접 접합의 쌍(460건)으로, 금속과 절연막을 한 번에 붙이는 하이브리드 본딩의 원리가 그대로 연결 강도로 나타난다. 그 밖의 아홉 쌍도 모두 24/08, 24/80, 2224/80895, 2224/80896, 2224/08145의 다섯 기호 사이의 쌍이다. 하이브리드 본딩의 핵심은 서로 촘촘히 얽힌 소수의 접합 기호에 모여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다섯째로 많은 기호인 층 형태 커넥터를 이용한 연결(24/83)은 164건으로 차이가 크다. CPC 체계에서 이 네 기호는 범프·층·와이어 같은 별도의 커넥터 없이 접합 패드 자체를 맞붙이는 갈래에 속한다. 접합 패드의 제조와 구조(24/03, 24/05, 24/08)가 그 대상이고,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 763건 가운데 620건(81.3%)이 핵심 기술을 담는다. 그 비중은 2014년 이전 53.5%에서 2015–2019년 78.7%, 2020–2024년 88.0%로 높아져, 발명이 점점 이 핵심 기술로 모여들었다. 핵심 기술과 함께 부여되는 제조공정 기호도 시기에 따라 달랐다. 핵심 기술을 담은 통합형 출원에서 가장 흔한 H01L21 기호는 2015–2019년에는 반도체 몸체끼리의 접합(21/187, 22건)과 기판 관통 배선(21/76898, 21건)이었고, 2020–2024년에는 임시 지지 기판을 이용한 취급(21/6835, 48건)과 봉지 공정용 임시 기판(21/568, 43건)이었다.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분석단위는 출원 식별자별로 집계된 특허출원이며, 모든 모형에 출원청 더미를 통제변수로 넣는다. 제조공정 분류 보유 모형과 공동분류 유형 모형(928건)의 설명변수는 출원연도(yc)와 기술범위(breadth)이고,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조립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조립 단독형 338건이 0이다. 종속변수가 두 상태뿐이므로 확률을 0과 1 사이로 제한하는 이항 로짓(log[P/(1 − P)] = β₀ + β₁·breadth + β₂·yc + Σγ_k·ccode_k)으로 추정하고 승산비(OR)로 보고한다. OR은 확률이 아니라 오즈의 배율이다. OR이 1.5이면 제조공정 분류를 가질 오즈가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조립 단독형을 기준범주로 두면, 접합 기호만 있는 출원에 견주어 제조공정 분류가 함께 나타나는 통합형과 접합 분류 없이 제조공정만 나타나는 공정 단독형을 각각 비교할 수 있다. 기준범주를 바꾸어도 예측확률과 적합도는 같고 계수의 비교 방향만 달라진다. 결과는 통합형 대 조립 단독형, 공정 단독형 대 조립 단독형의 상대위험비(RRR)로 보고한다. RRR이 1.4이면 설명변수가 1단위 늘 때 해당 유형 대 조립 단독형의 상대확률비가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그래서 H3은 H01L24 기호를 가진 출원 763건(통합형 425건, 조립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계산한다. 출원연도를 선형으로 넣지 않고 세 시기로 나눈 것은 기술 순환의 단계를 근사하기 위해서다. 핵심 기호를 뺀 접합 기호 수를 통제한 결과는 제5.4절에 있다.</w:t>
      </w:r>
    </w:p>
    <w:p>
      <w:pPr>
        <w:pStyle w:val="BodyText"/>
      </w:pPr>
      <w:r>
        <w:rPr>
          <w:b/>
          <w:bCs/>
        </w:rPr>
        <w:t xml:space="preserve">예측확률.</w:t>
      </w:r>
      <w:r>
        <w:t xml:space="preserve"> </w:t>
      </w:r>
      <w:r>
        <w:t xml:space="preserve">OR과 RRR은 비율 척도여서 실제 확률 변화의 크기를 보여주기 어렵다. 그래서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 제목에</w:t>
      </w:r>
      <w:r>
        <w:t xml:space="preserve"> </w:t>
      </w:r>
      <w:r>
        <w:rPr>
          <w:i/>
          <w:iCs/>
        </w:rPr>
        <w:t xml:space="preserve">hybrid bonding</w:t>
      </w:r>
      <w:r>
        <w:t xml:space="preserve">이 있는 핵심 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 제목에</w:t>
      </w:r>
      <w:r>
        <w:t xml:space="preserve"> </w:t>
      </w:r>
      <w:r>
        <w:rPr>
          <w:i/>
          <w:iCs/>
        </w:rPr>
        <w:t xml:space="preserve">hybrid bonding</w:t>
      </w:r>
      <w:r>
        <w:t xml:space="preserve">이 있는 핵심 표본은 2020년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방식이며, 동일 제목은 공식 특허 패밀리를 완전히 대체하지는 못한다. IIA 검정 대신 공정 단독형을 제외하고 통합형 대 조립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조립 단계 공정을 제조공정으로 세지 않는 보수적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출원이 드문 1968–2014년을 한 시기로 묶고, 이후는 2015–2019년과 2020–2024년으로 나누었다. 공정 단독형의 비중은 2014년 이전 43.6%에서 2015–2019년 14.8%, 2020–2024년 10.4%로 계속 줄었다. 통합형은 31.3%에서 62.2%로 크게 늘었다가 44.3%로 낮아졌고, 조립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조립 단독형이 가장 많은 유형이 되었다. 이하에서는 세 국면을 각각 형성기, 확산기, 재편기라 부른다. 같은 세 시기에 접합 출원 가운데 핵심 기술을 담은 비중은 53.5%, 78.7%, 88.0%로 높아졌다(제4.4절). 융합이 오르내리는 동안 발명은 하나의 핵심 설계로 모여들었다.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시기별 분포에서 본 제조공정 분류의 감소는 이 모형에서도 나타난다. 세부 분류가 하나 늘 때마다 제조공정 기호를 가질 승산이 약 27% 높아진다(OR 1.267, p &lt; 0.01). 출원연도의 승산비는 1보다 작아(연간 OR 0.946, p &lt; 0.01), 최근 출원일수록 제조공정 기호를 가질 승산이 낮다. 모형의 판별력을 나타내는 ROC 곡선 하면적은 0.707로, Hosmer et al.(2013)의 기준에서 받아들일 만한 수준의 하한에 해당한다. 표 8의 이항 로짓은 제조공정 분류의 전반적 보유 여부를 확인하는 보완분석이다.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융합의-무게중심-이동"/>
    <w:p>
      <w:pPr>
        <w:pStyle w:val="Heading3"/>
      </w:pPr>
      <w:r>
        <w:t xml:space="preserve">5.2 경계를 넘는 특허와 융합의 무게중심 이동</w:t>
      </w:r>
    </w:p>
    <w:p>
      <w:pPr>
        <w:pStyle w:val="FirstParagraph"/>
      </w:pPr>
      <w:r>
        <w:t xml:space="preserve">표 9는 조립 단독형을 기준으로 통합형과 공정 단독형의 상대위험비를 보고하는 다항 로짓이다. 이것이 경계 넘기에 대한 본 검정이다. 그림 7은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융합의 국면과 상관없는 특징이다. H1은 통합형 특허가 선택된 CPC 영역 안에서 더 다양한 세부 기술을 포함한다는 구성적 특징으로서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7 오른쪽). 표 8에서 본 제조공정 분류의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융합의 무게중심은 홀로 서는 제조공정 발명에서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조립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bl>
    <w:bookmarkEnd w:id="46"/>
    <w:bookmarkStart w:id="47" w:name="융합-위치의-이동-핵심-기술과-공동분류-유형"/>
    <w:p>
      <w:pPr>
        <w:pStyle w:val="Heading3"/>
      </w:pPr>
      <w:r>
        <w:t xml:space="preserve">5.3 융합 위치의 이동: 핵심 기술과 공동분류 유형</w:t>
      </w:r>
    </w:p>
    <w:p>
      <w:pPr>
        <w:pStyle w:val="FirstParagraph"/>
      </w:pPr>
      <w:r>
        <w:t xml:space="preserve">표 10은 H3의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차이가 없다(승산비 0.658, p = 0.15). 이 시기의 승산비는 2014년 이전의 0.059배다(p &lt; 0.01). 핵심 기술을 담은 출원이 경계를 넘는 경향은 형성기에 뚜렷했고 재편기에는 사라졌다.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2020–2024년에 핵심 기술을 담은 통합형 출원과 함께 부여된 제조공정 기호는 주로 임시 지지 기판과 봉지 공정의 기호였다(제4.4절). 접합 원리 자체보다 다이를 다루고 패키지로 만드는 공정에 가깝다. 핵심 기술의 발명이 제조공정 지식을 함께 담던 단계에서, 핵심 기술은 접합 영역 안에서 기술되고 제조공정 지식은 다이 취급과 패키지 공정 같은 주변 공정과 결합하는 단계로 옮겨 간 것으로 읽힌다.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 표 11은 H1과 H2의 핵심 계수를, 표 12는 H3의 시기별 승산비를 비교하고, 다항 로짓의 전체 계수는 부록 A에 실었다.</w:t>
      </w:r>
    </w:p>
    <w:p>
      <w:pPr>
        <w:pStyle w:val="BodyText"/>
        <w:keepNext/>
      </w:pPr>
      <w:r>
        <w:rPr>
          <w:b/>
          <w:bCs/>
        </w:rPr>
        <w:t xml:space="preserve">표 11.</w:t>
      </w:r>
      <w:r>
        <w:t xml:space="preserve"> </w:t>
      </w:r>
      <w:r>
        <w:t xml:space="preserve">H1과 H2의 재추정 결과 비교(다항 로짓 RRR, 기준 범주 = 조립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전공정 정의(조립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sz w:val="18"/>
                <w:szCs w:val="18"/>
              </w:rPr>
              <w:t xml:space="preserve">핵심 표본(제목에 hybrid bonding)</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r>
        <w:trPr>
          <w:cantSplit/>
        </w:trPr>
        <w:tc>
          <w:tcPr>
            <w:tcW w:type="dxa" w:w="4352"/>
          </w:tcPr>
          <w:p>
            <w:pPr>
              <w:pStyle w:val="Compact"/>
              <w:spacing w:before="20" w:after="20" w:line="240" w:lineRule="auto"/>
              <w:keepNext/>
            </w:pPr>
            <w:r>
              <w:rPr>
                <w:sz w:val="18"/>
                <w:szCs w:val="18"/>
              </w:rPr>
              <w:t xml:space="preserve">2023–2024년 제외</w:t>
            </w:r>
          </w:p>
        </w:tc>
        <w:tc>
          <w:tcPr>
            <w:tcW w:type="dxa" w:w="705"/>
          </w:tcPr>
          <w:p>
            <w:pPr>
              <w:pStyle w:val="Compact"/>
              <w:spacing w:before="20" w:after="20" w:line="240" w:lineRule="auto"/>
              <w:jc w:val="right"/>
              <w:keepNext/>
            </w:pPr>
            <w:r>
              <w:rPr>
                <w:sz w:val="18"/>
                <w:szCs w:val="18"/>
              </w:rPr>
              <w:t xml:space="preserve">753</w:t>
            </w:r>
          </w:p>
        </w:tc>
        <w:tc>
          <w:tcPr>
            <w:tcW w:type="dxa" w:w="1682"/>
          </w:tcPr>
          <w:p>
            <w:pPr>
              <w:pStyle w:val="Compact"/>
              <w:spacing w:before="20" w:after="20" w:line="240" w:lineRule="auto"/>
              <w:keepNext/>
            </w:pPr>
            <w:r>
              <w:rPr>
                <w:sz w:val="18"/>
                <w:szCs w:val="18"/>
              </w:rPr>
              <w:t xml:space="preserve">1.418***</w:t>
            </w:r>
          </w:p>
        </w:tc>
        <w:tc>
          <w:tcPr>
            <w:tcW w:type="dxa" w:w="2329"/>
          </w:tcPr>
          <w:p>
            <w:pPr>
              <w:pStyle w:val="Compact"/>
              <w:spacing w:before="20" w:after="20" w:line="240" w:lineRule="auto"/>
              <w:keepNext/>
            </w:pPr>
            <w:r>
              <w:rPr>
                <w:sz w:val="18"/>
                <w:szCs w:val="18"/>
              </w:rPr>
              <w:t xml:space="preserve">0.909***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 표 11의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그래서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 그렇다고 이 지표가 기계적 연관을 완전히 걷어낸 독립적 검정인 것은 아니다. 조정 지표 역시 유형 정보를 이용해 만들어지기 때문이다. 그래서 이 결과를 H1의 결정적 증거로 쓰지 않으며, H1은 인과효과가 아니라 통합형 특허의 구성적 특성으로 해석한다.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통합형(1.485)은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그대로 유지된다(1.418, 0.909).</w:t>
      </w:r>
    </w:p>
    <w:p>
      <w:pPr>
        <w:pStyle w:val="BodyText"/>
      </w:pPr>
      <w:r>
        <w:rPr>
          <w:b/>
          <w:bCs/>
        </w:rPr>
        <w:t xml:space="preserve">핵심 기술(H3).</w:t>
      </w:r>
      <w:r>
        <w:t xml:space="preserve"> </w:t>
      </w:r>
      <w:r>
        <w:t xml:space="preserve">표 12는 H3의 재추정 결과다. 2014년 이전의 승산비가 1보다 크고, 2020–2024년의 승산비가 1과 다르지 않으며, 그 차이(마지막 열)가 유의하게 1보다 작다는 결과는 여덟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조립 단독형이었기 때문이다. 이 표본에서도 2014년 이전의 승산비(p &lt; 0.05)와 2020–2024년의 상호작용(0.185, p &lt; 0.05)은 유의하다. 다만 2015–2019년의 승산비는 군집 표준오차와 무관 용법 제외 표본에서 유의성을 잃으므로, 차이가 줄어든 시점이 2015–2019년부터인지 2020–2024년인지는 확정하지 않는다.</w:t>
      </w:r>
    </w:p>
    <w:p>
      <w:pPr>
        <w:pStyle w:val="BodyText"/>
        <w:keepNext/>
      </w:pPr>
      <w:r>
        <w:rPr>
          <w:b/>
          <w:bCs/>
        </w:rPr>
        <w:t xml:space="preserve">표 12.</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619</w:t>
            </w:r>
          </w:p>
        </w:tc>
        <w:tc>
          <w:tcPr>
            <w:tcW w:type="dxa" w:w="1137"/>
          </w:tcPr>
          <w:p>
            <w:pPr>
              <w:pStyle w:val="Compact"/>
              <w:spacing w:before="20" w:after="20" w:line="240" w:lineRule="auto"/>
              <w:jc w:val="center"/>
              <w:keepNext/>
            </w:pPr>
            <w:r>
              <w:rPr>
                <w:sz w:val="13"/>
                <w:szCs w:val="13"/>
              </w:rPr>
              <w:t xml:space="preserve">9.620***</w:t>
            </w:r>
          </w:p>
        </w:tc>
        <w:tc>
          <w:tcPr>
            <w:tcW w:type="dxa" w:w="1295"/>
          </w:tcPr>
          <w:p>
            <w:pPr>
              <w:pStyle w:val="Compact"/>
              <w:spacing w:before="20" w:after="20" w:line="240" w:lineRule="auto"/>
              <w:jc w:val="center"/>
              <w:keepNext/>
            </w:pPr>
            <w:r>
              <w:rPr>
                <w:sz w:val="13"/>
                <w:szCs w:val="13"/>
              </w:rPr>
              <w:t xml:space="preserve">2.337**</w:t>
            </w:r>
          </w:p>
        </w:tc>
        <w:tc>
          <w:tcPr>
            <w:tcW w:type="dxa" w:w="1295"/>
          </w:tcPr>
          <w:p>
            <w:pPr>
              <w:pStyle w:val="Compact"/>
              <w:spacing w:before="20" w:after="20" w:line="240" w:lineRule="auto"/>
              <w:jc w:val="center"/>
              <w:keepNext/>
            </w:pPr>
            <w:r>
              <w:rPr>
                <w:sz w:val="13"/>
                <w:szCs w:val="13"/>
              </w:rPr>
              <w:t xml:space="preserve">0.863</w:t>
            </w:r>
          </w:p>
        </w:tc>
        <w:tc>
          <w:tcPr>
            <w:tcW w:type="dxa" w:w="1583"/>
          </w:tcPr>
          <w:p>
            <w:pPr>
              <w:pStyle w:val="Compact"/>
              <w:spacing w:before="20" w:after="20" w:line="240" w:lineRule="auto"/>
              <w:jc w:val="center"/>
              <w:keepNext/>
            </w:pPr>
            <w:r>
              <w:rPr>
                <w:sz w:val="13"/>
                <w:szCs w:val="13"/>
              </w:rPr>
              <w:t xml:space="preserve">0.090***</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전공정 정의에서는 조립 단계 공정 기호만 가진 출원을 조립 단독형으로 다시 분류하므로 표본 수는 같고 통합형이 338건이 된다. 제목에</w:t>
      </w:r>
      <w:r>
        <w:t xml:space="preserve"> </w:t>
      </w:r>
      <w:r>
        <w:rPr>
          <w:i/>
          <w:iCs/>
        </w:rPr>
        <w:t xml:space="preserve">hybrid bonding</w:t>
      </w:r>
      <w:r>
        <w:t xml:space="preserve">이 있는 핵심 표본은 2020년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t xml:space="preserve">표 13은 기준 모형(표 9, 표 10)과 제5.4절의 재추정 결과를 함께 고려한 가설 판정이다.</w:t>
      </w:r>
    </w:p>
    <w:p>
      <w:pPr>
        <w:pStyle w:val="BodyText"/>
        <w:keepNext/>
      </w:pPr>
      <w:r>
        <w:rPr>
          <w:b/>
          <w:bCs/>
        </w:rPr>
        <w:t xml:space="preserve">표 13.</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 모든 재추정에서 1.295–1.485***(표 11)</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0.820–0.935***(표 11); 다만 2015년 이전 출원이 30건뿐인 핵심 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0.050–0.185(5% 수준 이하 유의; 표 12)</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세 국면으로 전개된 공정 간 융합.</w:t>
      </w:r>
      <w:r>
        <w:t xml:space="preserve"> </w:t>
      </w:r>
      <w:r>
        <w:t xml:space="preserve">이 논문의 결과를 시간 순서로 엮으면 표 14와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조립 단독형이 45.4%로 늘었다. 이 시기에 핵심 기술을 담은 출원은 그렇지 않은 출원보다 더 자주 경계를 넘지 않았고(승산비 0.658), 제조공정과의 결합은 임시 지지 기판과 봉지 같은 다이 취급 공정에서 나타났다. 핵심 기술이 없는 접합 출원의 통합형 비중은 오히려 27.7%에서 56.9%로 높아졌다. 출원당 기호 수도 같은 방향이다. 접합 계열(H01L24) 기호는 2014년 이전 3.03개에서 2015–2019년 4.73개로 늘었다가 2020–2024년 3.91개로 줄었고, 제조공정 계열(H01L21) 기호는 2.12개와 2.23개에서 1.46개로 줄었다.</w:t>
      </w:r>
    </w:p>
    <w:p>
      <w:pPr>
        <w:pStyle w:val="BodyText"/>
        <w:keepNext/>
      </w:pPr>
      <w:r>
        <w:rPr>
          <w:b/>
          <w:bCs/>
        </w:rPr>
        <w:t xml:space="preserve">표 14.</w:t>
      </w:r>
      <w:r>
        <w:t xml:space="preserve"> </w:t>
      </w:r>
      <w:r>
        <w:t xml:space="preserve">하이브리드 본딩에서 공정단계 간 융합의 세 국면(유형 비중은 표 7, 핵심 기술은 표 10과 제4.4절).</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08"/>
        <w:gridCol w:w="824"/>
        <w:gridCol w:w="824"/>
        <w:gridCol w:w="824"/>
        <w:gridCol w:w="1514"/>
        <w:gridCol w:w="1055"/>
        <w:gridCol w:w="2324"/>
      </w:tblGrid>
      <w:tr>
        <w:trPr>
          <w:tblHeader w:val="on"/>
          <w:cantSplit/>
        </w:trPr>
        <w:tc>
          <w:tcPr>
            <w:tcW w:type="dxa" w:w="1708"/>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조립 단독형(%)</w:t>
            </w:r>
          </w:p>
        </w:tc>
        <w:tc>
          <w:tcPr>
            <w:tcW w:type="dxa" w:w="1514"/>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55"/>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324"/>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08"/>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14"/>
          </w:tcPr>
          <w:p>
            <w:pPr>
              <w:pStyle w:val="Compact"/>
              <w:spacing w:before="20" w:after="20" w:line="240" w:lineRule="auto"/>
              <w:jc w:val="right"/>
              <w:keepNext/>
            </w:pPr>
            <w:r>
              <w:rPr>
                <w:sz w:val="13"/>
                <w:szCs w:val="13"/>
              </w:rPr>
              <w:t xml:space="preserve">53.5</w:t>
            </w:r>
          </w:p>
        </w:tc>
        <w:tc>
          <w:tcPr>
            <w:tcW w:type="dxa" w:w="1055"/>
          </w:tcPr>
          <w:p>
            <w:pPr>
              <w:pStyle w:val="Compact"/>
              <w:spacing w:before="20" w:after="20" w:line="240" w:lineRule="auto"/>
              <w:jc w:val="center"/>
              <w:keepNext/>
            </w:pPr>
            <w:r>
              <w:rPr>
                <w:sz w:val="13"/>
                <w:szCs w:val="13"/>
              </w:rPr>
              <w:t xml:space="preserve">11.071***</w:t>
            </w:r>
          </w:p>
        </w:tc>
        <w:tc>
          <w:tcPr>
            <w:tcW w:type="dxa" w:w="2324"/>
          </w:tcPr>
          <w:p>
            <w:pPr>
              <w:pStyle w:val="Compact"/>
              <w:spacing w:before="20" w:after="20" w:line="240" w:lineRule="auto"/>
              <w:keepNext/>
            </w:pPr>
            <w:r>
              <w:rPr>
                <w:sz w:val="13"/>
                <w:szCs w:val="13"/>
              </w:rPr>
              <w:t xml:space="preserve">패키지 부품 제조(21/48)</w:t>
            </w:r>
          </w:p>
        </w:tc>
      </w:tr>
      <w:tr>
        <w:trPr>
          <w:cantSplit/>
        </w:trPr>
        <w:tc>
          <w:tcPr>
            <w:tcW w:type="dxa" w:w="1708"/>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14"/>
          </w:tcPr>
          <w:p>
            <w:pPr>
              <w:pStyle w:val="Compact"/>
              <w:spacing w:before="20" w:after="20" w:line="240" w:lineRule="auto"/>
              <w:jc w:val="right"/>
              <w:keepNext/>
            </w:pPr>
            <w:r>
              <w:rPr>
                <w:sz w:val="13"/>
                <w:szCs w:val="13"/>
              </w:rPr>
              <w:t xml:space="preserve">78.7</w:t>
            </w:r>
          </w:p>
        </w:tc>
        <w:tc>
          <w:tcPr>
            <w:tcW w:type="dxa" w:w="1055"/>
          </w:tcPr>
          <w:p>
            <w:pPr>
              <w:pStyle w:val="Compact"/>
              <w:spacing w:before="20" w:after="20" w:line="240" w:lineRule="auto"/>
              <w:jc w:val="center"/>
              <w:keepNext/>
            </w:pPr>
            <w:r>
              <w:rPr>
                <w:sz w:val="13"/>
                <w:szCs w:val="13"/>
              </w:rPr>
              <w:t xml:space="preserve">2.452**</w:t>
            </w:r>
          </w:p>
        </w:tc>
        <w:tc>
          <w:tcPr>
            <w:tcW w:type="dxa" w:w="2324"/>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08"/>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14"/>
          </w:tcPr>
          <w:p>
            <w:pPr>
              <w:pStyle w:val="Compact"/>
              <w:spacing w:before="20" w:after="20" w:line="240" w:lineRule="auto"/>
              <w:jc w:val="right"/>
              <w:keepNext/>
            </w:pPr>
            <w:r>
              <w:rPr>
                <w:sz w:val="13"/>
                <w:szCs w:val="13"/>
              </w:rPr>
              <w:t xml:space="preserve">88.0</w:t>
            </w:r>
          </w:p>
        </w:tc>
        <w:tc>
          <w:tcPr>
            <w:tcW w:type="dxa" w:w="1055"/>
          </w:tcPr>
          <w:p>
            <w:pPr>
              <w:pStyle w:val="Compact"/>
              <w:spacing w:before="20" w:after="20" w:line="240" w:lineRule="auto"/>
              <w:jc w:val="center"/>
              <w:keepNext/>
            </w:pPr>
            <w:r>
              <w:rPr>
                <w:sz w:val="13"/>
                <w:szCs w:val="13"/>
              </w:rPr>
              <w:t xml:space="preserve">0.658</w:t>
            </w:r>
          </w:p>
        </w:tc>
        <w:tc>
          <w:tcPr>
            <w:tcW w:type="dxa" w:w="2324"/>
          </w:tcPr>
          <w:p>
            <w:pPr>
              <w:pStyle w:val="Compact"/>
              <w:spacing w:before="20" w:after="20" w:line="240" w:lineRule="auto"/>
              <w:keepNext/>
            </w:pPr>
            <w:r>
              <w:rPr>
                <w:sz w:val="13"/>
                <w:szCs w:val="13"/>
              </w:rPr>
              <w:t xml:space="preserve">임시 지지 기판을 이용한 취급(21/6835),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w:t>
      </w:r>
    </w:p>
    <w:p>
      <w:pPr>
        <w:pStyle w:val="BodyText"/>
      </w:pPr>
      <w:r>
        <w:t xml:space="preserve">이 전개는 지배적 설계가 자리 잡으면 인터페이스가 굳고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모여들었다는 뜻이고, 그 핵심을 다루는 발명이 더 이상 제조공정 지식을 따로 담지 않게 된 것은 핵심 요소의 설계가 굳으면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p>
      <w:pPr>
        <w:pStyle w:val="BodyText"/>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특허의 구성.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연관은 형성기, 확산기, 재편기 모두에서 나타났으므로, 융합의 자리가 옮겨 가는 동안에도 경계를 넘는 특허의 구성은 같았다.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산업 아키텍처와 인터페이스의 재안정.</w:t>
      </w:r>
      <w:r>
        <w:t xml:space="preserve"> </w:t>
      </w:r>
      <w:r>
        <w:t xml:space="preserve">제2.2절에서 보았듯이 공정 단계 사이의 인터페이스가 안정적일 때 전문화가 가능하다면(Jacobides et al., 2006), 형성기와 확산기의 융합은 인터페이스가 흔들린 흔적이고, 재편기에 핵심 기술이 접합 영역 안에서 기술되기 시작한 것은 그 인터페이스가 다시 안정되는 과정의 초기 신호일 수 있다. 그렇다면 핵심을 둘러싼 분업은 다시 짜일 여지가 있고, 융합의 압력은 다이 취급과 적층 같은 새 인터페이스로 옮겨 간다. 다만 이 해석에는 대안이 있다. 금속끼리와 절연막끼리의 직접 접합이 접합의 인덱싱 코드(H01L2224)로 기술되는 것처럼, 분류 체계와 심사 관행이 핵심 기술을 접합 클래스 안에서 기술하게 되었을 가능성이다. 이는 기술 지식이 체계화된 결과일 수도, 분류 관행만 바뀐 결과일 수도 있다. 최근 출원의 분류가 아직 끝나지 않았을 가능성까지 포함해, 본 연구의 자료로는 이 대안들을 배제하지 못한다.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장비를 잘 다루는 것만으로는 충분하지 않고 표면 평탄화, 오염 제어, 표면 화학, 정렬까지 아우르는 인접 공정 지식이 중요해질 수 있음을 시사한다. KnowMade(2024)의 독립적 산업 분석이 파운드리, 종합반도체기업, 라이선싱 기업을 특허 활동을 주도하는 출원인으로 꼽는 것도 같은 방향이다. 제조공정과 접합 기술의 공동분류가 빈번하다는 사실은 두 공정 영역을 잇는 지식 범위가 하이브리드 본딩 관련 특허 활동에서 중요함을 보여주며, Kapoor와 Adner(2012)가 말한 지식 경계의 논리와도 통한다.</w:t>
      </w:r>
    </w:p>
    <w:p>
      <w:pPr>
        <w:pStyle w:val="BodyText"/>
      </w:pPr>
      <w:r>
        <w:t xml:space="preserve">재편기에 하이브리드 본딩의 핵심 원리를 담은 발명은 접합 영역 안에서 기술되고, 제조공정과의 결합은 임시 지지 기판, 봉지, 다이싱처럼 다이를 다루고 패키지로 만드는 공정에서 늘었다. 경쟁의 초점이 핵심 원리의 발명에서 그 원리를 다이 단위 공정과 결합하는 응용의 발명으로 옮겨 가고 있을 수 있다는 뜻이다. 차세대 HBM을 하이브리드 본딩에 기대고 있는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하나의 특허출원에서 통합적으로 보호하는 능력이 함께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조립 단계의 제조공정도 들어 있고, 기술범위는 유형과 같은 CPC 정보에서 만들어진다. 좁은 정의로도 회귀 결과는 유지되지만 통합형의 비중 같은 기술통계는 정의에 따라 달라진다. 둘째, 표본 선택이다. 제목 키워드 검색은 정밀하지만 제목에 관련어가 없는 출원을 놓치고,</w:t>
      </w:r>
      <w:r>
        <w:t xml:space="preserve"> </w:t>
      </w:r>
      <w:r>
        <w:rPr>
          <w:i/>
          <w:iCs/>
        </w:rPr>
        <w:t xml:space="preserve">direct bonding</w:t>
      </w:r>
      <w:r>
        <w:t xml:space="preserve">은 뜻이 넓어 무관한 용법 68건을 따로 걸러야 했다. 셋째, 관측단위와 중복이다. 분석단위는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200건이라는 기준에 기댄다. 다만 가장 강한 쌍(24/08, 24/80)으로 좁혀도 결과는 같았다. PATSTAT의 출원인 정보와 정식 패밀리 식별자, 전체 CPC 기호를 결합하는 것이 다음 단계다. 다섯째, 시간과 공개 시차다. 초기 출원은 드물고, 연도 효과는 선형으로 가정했으며, 2023–2024년 출원은 불완전하게 관측된다. 또한 CPC는 주기적으로 개정되며 과거 출원도 소급 재분류될 수 있다. 본 연구는 사용된 PATSTAT 판본의 분류 스냅샷을 이용했으므로, 관찰된 시간 패턴의 일부는 기술 변화뿐 아니라 분류 관행의 변화도 반영할 수 있다. 여섯째,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끝으로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조립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아니다. 통합형은 45.8%로 가장 많은 유형이었고 보수적 정의로도 37.2%였으며, 세부 기술을 더 다양하게 담은 특허일수록 경계를 넘었다. 둘째, 융합은 세 국면을 거쳐 전개되었다. 형성기에는 제조공정 발명이 홀로 나오는 경우가 가장 많았고, 확산기에는 두 공정을 함께 담은 통합형이 62.2%로 정점에 이르렀으며, 재편기에는 통합형이 줄고 접합 기술만 담은 출원이 늘었다. 공정 단독형의 감소는 표본과 정의를 어떻게 바꾸어도 유지되어, 융합의 무게중심은 접합 쪽으로 옮겨 갔다. 셋째, 융합이 일어나는 자리가 옮겨 갔다. 기술 클러스터와 기술 네트워크로 찾은 핵심 기술을 담은 출원은 형성기에 제조공정 분류를 함께 가질 승산이 11.1배였지만, 그 차이는 재편기에 사라졌고, 그 대신 다이 취급 공정과의 결합이 늘었다. 이 감소는 모든 재추정에서 살아남았다.</w:t>
      </w:r>
    </w:p>
    <w:p>
      <w:pPr>
        <w:pStyle w:val="BodyText"/>
      </w:pPr>
      <w:r>
        <w:t xml:space="preserve">이 결과는 공정 단계 간 융합이 한 방향으로 쌓이는 과정이 아니라, 핵심 기술의 설계가 굳어 가면서 융합의 자리가 핵심에서 주변으로 옮겨 가는 과정이었음을 보여준다.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있다.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 [Kinex integrated die-to-wafer hybrid bonding system; 김지혜 작성].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본문의 강건성 요약표(표 11)에 실은 재추정의 전체 계수다.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전공정 정의는 H01L21의 조립 단계 공정 기호를 제조공정으로 세지 않은 변수를, 무관 용법 제외는 부록 B의 68건을 뺀 표본을, 핵심 표본은 제목에 hybrid bonding이 들어 있는 출원만 남긴 표본을, 2023–2024년 제외는 공개 시차의 영향을 받는 두 해를 뺀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조립 단독형; 출원청 더미 포함;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80"/>
        <w:gridCol w:w="980"/>
        <w:gridCol w:w="980"/>
        <w:gridCol w:w="980"/>
        <w:gridCol w:w="980"/>
        <w:gridCol w:w="980"/>
        <w:gridCol w:w="1106"/>
        <w:gridCol w:w="98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980"/>
          </w:tcPr>
          <w:p>
            <w:pPr>
              <w:pStyle w:val="Compact"/>
              <w:spacing w:before="20" w:after="20" w:line="240" w:lineRule="auto"/>
              <w:jc w:val="center"/>
              <w:keepNext/>
            </w:pPr>
            <w:r>
              <w:rPr>
                <w:sz w:val="13"/>
                <w:szCs w:val="13"/>
              </w:rPr>
              <w:t xml:space="preserve">0.997 (0.018)</w:t>
            </w:r>
          </w:p>
        </w:tc>
        <w:tc>
          <w:tcPr>
            <w:tcW w:type="dxa" w:w="980"/>
          </w:tcPr>
          <w:p>
            <w:pPr>
              <w:pStyle w:val="Compact"/>
              <w:spacing w:before="20" w:after="20" w:line="240" w:lineRule="auto"/>
              <w:jc w:val="center"/>
              <w:keepNext/>
            </w:pPr>
            <w:r>
              <w:rPr>
                <w:sz w:val="13"/>
                <w:szCs w:val="13"/>
              </w:rPr>
              <w:t xml:space="preserve">0.967** (0.015)</w:t>
            </w:r>
          </w:p>
        </w:tc>
        <w:tc>
          <w:tcPr>
            <w:tcW w:type="dxa" w:w="980"/>
          </w:tcPr>
          <w:p>
            <w:pPr>
              <w:pStyle w:val="Compact"/>
              <w:spacing w:before="20" w:after="20" w:line="240" w:lineRule="auto"/>
              <w:jc w:val="center"/>
              <w:keepNext/>
            </w:pPr>
            <w:r>
              <w:rPr>
                <w:sz w:val="13"/>
                <w:szCs w:val="13"/>
              </w:rPr>
              <w:t xml:space="preserve">0.949** (0.022)</w:t>
            </w:r>
          </w:p>
        </w:tc>
        <w:tc>
          <w:tcPr>
            <w:tcW w:type="dxa" w:w="980"/>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8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980"/>
          </w:tcPr>
          <w:p>
            <w:pPr>
              <w:pStyle w:val="Compact"/>
              <w:spacing w:before="20" w:after="20" w:line="240" w:lineRule="auto"/>
              <w:jc w:val="center"/>
              <w:keepNext/>
            </w:pPr>
            <w:r>
              <w:rPr>
                <w:sz w:val="13"/>
                <w:szCs w:val="13"/>
              </w:rPr>
              <w:t xml:space="preserve">1.295*** (0.039)</w:t>
            </w:r>
          </w:p>
        </w:tc>
        <w:tc>
          <w:tcPr>
            <w:tcW w:type="dxa" w:w="980"/>
          </w:tcPr>
          <w:p>
            <w:pPr>
              <w:pStyle w:val="Compact"/>
              <w:spacing w:before="20" w:after="20" w:line="240" w:lineRule="auto"/>
              <w:jc w:val="center"/>
              <w:keepNext/>
            </w:pPr>
            <w:r>
              <w:rPr>
                <w:sz w:val="13"/>
                <w:szCs w:val="13"/>
              </w:rPr>
              <w:t xml:space="preserve">1.352*** (0.028)</w:t>
            </w:r>
          </w:p>
        </w:tc>
        <w:tc>
          <w:tcPr>
            <w:tcW w:type="dxa" w:w="980"/>
          </w:tcPr>
          <w:p>
            <w:pPr>
              <w:pStyle w:val="Compact"/>
              <w:spacing w:before="20" w:after="20" w:line="240" w:lineRule="auto"/>
              <w:jc w:val="center"/>
              <w:keepNext/>
            </w:pPr>
            <w:r>
              <w:rPr>
                <w:sz w:val="13"/>
                <w:szCs w:val="13"/>
              </w:rPr>
              <w:t xml:space="preserve">1.384*** (0.031)</w:t>
            </w:r>
          </w:p>
        </w:tc>
        <w:tc>
          <w:tcPr>
            <w:tcW w:type="dxa" w:w="980"/>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8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473</w:t>
            </w:r>
          </w:p>
        </w:tc>
        <w:tc>
          <w:tcPr>
            <w:tcW w:type="dxa" w:w="980"/>
          </w:tcPr>
          <w:p>
            <w:pPr>
              <w:pStyle w:val="Compact"/>
              <w:spacing w:before="20" w:after="20" w:line="240" w:lineRule="auto"/>
              <w:jc w:val="center"/>
              <w:keepNext/>
            </w:pPr>
            <w:r>
              <w:rPr>
                <w:sz w:val="13"/>
                <w:szCs w:val="13"/>
              </w:rPr>
              <w:t xml:space="preserve">908</w:t>
            </w:r>
          </w:p>
        </w:tc>
        <w:tc>
          <w:tcPr>
            <w:tcW w:type="dxa" w:w="980"/>
          </w:tcPr>
          <w:p>
            <w:pPr>
              <w:pStyle w:val="Compact"/>
              <w:spacing w:before="20" w:after="20" w:line="240" w:lineRule="auto"/>
              <w:jc w:val="center"/>
              <w:keepNext/>
            </w:pPr>
            <w:r>
              <w:rPr>
                <w:sz w:val="13"/>
                <w:szCs w:val="13"/>
              </w:rPr>
              <w:t xml:space="preserve">860</w:t>
            </w:r>
          </w:p>
        </w:tc>
        <w:tc>
          <w:tcPr>
            <w:tcW w:type="dxa" w:w="9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8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980"/>
          </w:tcPr>
          <w:p>
            <w:pPr>
              <w:pStyle w:val="Compact"/>
              <w:spacing w:before="20" w:after="20" w:line="240" w:lineRule="auto"/>
              <w:jc w:val="center"/>
              <w:keepNext/>
            </w:pPr>
            <w:r>
              <w:rPr>
                <w:sz w:val="13"/>
                <w:szCs w:val="13"/>
              </w:rPr>
              <w:t xml:space="preserve">−425.3</w:t>
            </w:r>
          </w:p>
        </w:tc>
        <w:tc>
          <w:tcPr>
            <w:tcW w:type="dxa" w:w="980"/>
          </w:tcPr>
          <w:p>
            <w:pPr>
              <w:pStyle w:val="Compact"/>
              <w:spacing w:before="20" w:after="20" w:line="240" w:lineRule="auto"/>
              <w:jc w:val="center"/>
              <w:keepNext/>
            </w:pPr>
            <w:r>
              <w:rPr>
                <w:sz w:val="13"/>
                <w:szCs w:val="13"/>
              </w:rPr>
              <w:t xml:space="preserve">−755.9</w:t>
            </w:r>
          </w:p>
        </w:tc>
        <w:tc>
          <w:tcPr>
            <w:tcW w:type="dxa" w:w="980"/>
          </w:tcPr>
          <w:p>
            <w:pPr>
              <w:pStyle w:val="Compact"/>
              <w:spacing w:before="20" w:after="20" w:line="240" w:lineRule="auto"/>
              <w:jc w:val="center"/>
              <w:keepNext/>
            </w:pPr>
            <w:r>
              <w:rPr>
                <w:sz w:val="13"/>
                <w:szCs w:val="13"/>
              </w:rPr>
              <w:t xml:space="preserve">−682.7</w:t>
            </w:r>
          </w:p>
        </w:tc>
        <w:tc>
          <w:tcPr>
            <w:tcW w:type="dxa" w:w="9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80"/>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조립 단독형; 출원청 더미 포함; 괄호 안은 로그 계수의 표준오차;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97"/>
        <w:gridCol w:w="997"/>
        <w:gridCol w:w="997"/>
        <w:gridCol w:w="997"/>
        <w:gridCol w:w="997"/>
        <w:gridCol w:w="880"/>
        <w:gridCol w:w="1106"/>
        <w:gridCol w:w="99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9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880"/>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9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97"/>
          </w:tcPr>
          <w:p>
            <w:pPr>
              <w:pStyle w:val="Compact"/>
              <w:spacing w:before="20" w:after="20" w:line="240" w:lineRule="auto"/>
              <w:jc w:val="center"/>
              <w:keepNext/>
            </w:pPr>
            <w:r>
              <w:rPr>
                <w:sz w:val="13"/>
                <w:szCs w:val="13"/>
              </w:rPr>
              <w:t xml:space="preserve">0.913*** (0.015)</w:t>
            </w:r>
          </w:p>
        </w:tc>
        <w:tc>
          <w:tcPr>
            <w:tcW w:type="dxa" w:w="997"/>
          </w:tcPr>
          <w:p>
            <w:pPr>
              <w:pStyle w:val="Compact"/>
              <w:spacing w:before="20" w:after="20" w:line="240" w:lineRule="auto"/>
              <w:jc w:val="center"/>
              <w:keepNext/>
            </w:pPr>
            <w:r>
              <w:rPr>
                <w:sz w:val="13"/>
                <w:szCs w:val="13"/>
              </w:rPr>
              <w:t xml:space="preserve">0.911*** (0.015)</w:t>
            </w:r>
          </w:p>
        </w:tc>
        <w:tc>
          <w:tcPr>
            <w:tcW w:type="dxa" w:w="997"/>
          </w:tcPr>
          <w:p>
            <w:pPr>
              <w:pStyle w:val="Compact"/>
              <w:spacing w:before="20" w:after="20" w:line="240" w:lineRule="auto"/>
              <w:jc w:val="center"/>
              <w:keepNext/>
            </w:pPr>
            <w:r>
              <w:rPr>
                <w:sz w:val="13"/>
                <w:szCs w:val="13"/>
              </w:rPr>
              <w:t xml:space="preserve">0.935*** (0.016)</w:t>
            </w:r>
          </w:p>
        </w:tc>
        <w:tc>
          <w:tcPr>
            <w:tcW w:type="dxa" w:w="997"/>
          </w:tcPr>
          <w:p>
            <w:pPr>
              <w:pStyle w:val="Compact"/>
              <w:spacing w:before="20" w:after="20" w:line="240" w:lineRule="auto"/>
              <w:jc w:val="center"/>
              <w:keepNext/>
            </w:pPr>
            <w:r>
              <w:rPr>
                <w:sz w:val="13"/>
                <w:szCs w:val="13"/>
              </w:rPr>
              <w:t xml:space="preserve">0.898*** (0.015)</w:t>
            </w:r>
          </w:p>
        </w:tc>
        <w:tc>
          <w:tcPr>
            <w:tcW w:type="dxa" w:w="997"/>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97"/>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97"/>
          </w:tcPr>
          <w:p>
            <w:pPr>
              <w:pStyle w:val="Compact"/>
              <w:spacing w:before="20" w:after="20" w:line="240" w:lineRule="auto"/>
              <w:jc w:val="center"/>
              <w:keepNext/>
            </w:pPr>
            <w:r>
              <w:rPr>
                <w:sz w:val="13"/>
                <w:szCs w:val="13"/>
              </w:rPr>
              <w:t xml:space="preserve">0.905** (0.048)</w:t>
            </w:r>
          </w:p>
        </w:tc>
        <w:tc>
          <w:tcPr>
            <w:tcW w:type="dxa" w:w="997"/>
          </w:tcPr>
          <w:p>
            <w:pPr>
              <w:pStyle w:val="Compact"/>
              <w:spacing w:before="20" w:after="20" w:line="240" w:lineRule="auto"/>
              <w:jc w:val="center"/>
              <w:keepNext/>
            </w:pPr>
            <w:r>
              <w:rPr>
                <w:sz w:val="13"/>
                <w:szCs w:val="13"/>
              </w:rPr>
              <w:t xml:space="preserve">0.915** (0.044)</w:t>
            </w:r>
          </w:p>
        </w:tc>
        <w:tc>
          <w:tcPr>
            <w:tcW w:type="dxa" w:w="997"/>
          </w:tcPr>
          <w:p>
            <w:pPr>
              <w:pStyle w:val="Compact"/>
              <w:spacing w:before="20" w:after="20" w:line="240" w:lineRule="auto"/>
              <w:jc w:val="center"/>
              <w:keepNext/>
            </w:pPr>
            <w:r>
              <w:rPr>
                <w:sz w:val="13"/>
                <w:szCs w:val="13"/>
              </w:rPr>
              <w:t xml:space="preserve">0.826*** (0.061)</w:t>
            </w:r>
          </w:p>
        </w:tc>
        <w:tc>
          <w:tcPr>
            <w:tcW w:type="dxa" w:w="997"/>
          </w:tcPr>
          <w:p>
            <w:pPr>
              <w:pStyle w:val="Compact"/>
              <w:spacing w:before="20" w:after="20" w:line="240" w:lineRule="auto"/>
              <w:jc w:val="center"/>
              <w:keepNext/>
            </w:pPr>
            <w:r>
              <w:rPr>
                <w:sz w:val="13"/>
                <w:szCs w:val="13"/>
              </w:rPr>
              <w:t xml:space="preserve">0.923* (0.045)</w:t>
            </w:r>
          </w:p>
        </w:tc>
        <w:tc>
          <w:tcPr>
            <w:tcW w:type="dxa" w:w="997"/>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97"/>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N</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928</w:t>
            </w:r>
          </w:p>
        </w:tc>
        <w:tc>
          <w:tcPr>
            <w:tcW w:type="dxa" w:w="997"/>
          </w:tcPr>
          <w:p>
            <w:pPr>
              <w:pStyle w:val="Compact"/>
              <w:spacing w:before="20" w:after="20" w:line="240" w:lineRule="auto"/>
              <w:jc w:val="center"/>
              <w:keepNext/>
            </w:pPr>
            <w:r>
              <w:rPr>
                <w:sz w:val="13"/>
                <w:szCs w:val="13"/>
              </w:rPr>
              <w:t xml:space="preserve">473</w:t>
            </w:r>
          </w:p>
        </w:tc>
        <w:tc>
          <w:tcPr>
            <w:tcW w:type="dxa" w:w="997"/>
          </w:tcPr>
          <w:p>
            <w:pPr>
              <w:pStyle w:val="Compact"/>
              <w:spacing w:before="20" w:after="20" w:line="240" w:lineRule="auto"/>
              <w:jc w:val="center"/>
              <w:keepNext/>
            </w:pPr>
            <w:r>
              <w:rPr>
                <w:sz w:val="13"/>
                <w:szCs w:val="13"/>
              </w:rPr>
              <w:t xml:space="preserve">908</w:t>
            </w:r>
          </w:p>
        </w:tc>
        <w:tc>
          <w:tcPr>
            <w:tcW w:type="dxa" w:w="997"/>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9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97"/>
          </w:tcPr>
          <w:p>
            <w:pPr>
              <w:pStyle w:val="Compact"/>
              <w:spacing w:before="20" w:after="20" w:line="240" w:lineRule="auto"/>
              <w:jc w:val="center"/>
              <w:keepNext/>
            </w:pPr>
            <w:r>
              <w:rPr>
                <w:sz w:val="13"/>
                <w:szCs w:val="13"/>
              </w:rPr>
              <w:t xml:space="preserve">−774.5</w:t>
            </w:r>
          </w:p>
        </w:tc>
        <w:tc>
          <w:tcPr>
            <w:tcW w:type="dxa" w:w="997"/>
          </w:tcPr>
          <w:p>
            <w:pPr>
              <w:pStyle w:val="Compact"/>
              <w:spacing w:before="20" w:after="20" w:line="240" w:lineRule="auto"/>
              <w:jc w:val="center"/>
              <w:keepNext/>
            </w:pPr>
            <w:r>
              <w:rPr>
                <w:sz w:val="13"/>
                <w:szCs w:val="13"/>
              </w:rPr>
              <w:t xml:space="preserve">−829.4</w:t>
            </w:r>
          </w:p>
        </w:tc>
        <w:tc>
          <w:tcPr>
            <w:tcW w:type="dxa" w:w="997"/>
          </w:tcPr>
          <w:p>
            <w:pPr>
              <w:pStyle w:val="Compact"/>
              <w:spacing w:before="20" w:after="20" w:line="240" w:lineRule="auto"/>
              <w:jc w:val="center"/>
              <w:keepNext/>
            </w:pPr>
            <w:r>
              <w:rPr>
                <w:sz w:val="13"/>
                <w:szCs w:val="13"/>
              </w:rPr>
              <w:t xml:space="preserve">−425.3</w:t>
            </w:r>
          </w:p>
        </w:tc>
        <w:tc>
          <w:tcPr>
            <w:tcW w:type="dxa" w:w="997"/>
          </w:tcPr>
          <w:p>
            <w:pPr>
              <w:pStyle w:val="Compact"/>
              <w:spacing w:before="20" w:after="20" w:line="240" w:lineRule="auto"/>
              <w:jc w:val="center"/>
              <w:keepNext/>
            </w:pPr>
            <w:r>
              <w:rPr>
                <w:sz w:val="13"/>
                <w:szCs w:val="13"/>
              </w:rPr>
              <w:t xml:space="preserve">−755.9</w:t>
            </w:r>
          </w:p>
        </w:tc>
        <w:tc>
          <w:tcPr>
            <w:tcW w:type="dxa" w:w="997"/>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97"/>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조립 단독형의 이항 로짓을 추정하였다. 기술범위 OR 1.463, 출원연도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2026-10-07T19:57:08Z</dcterms:created>
  <dcterms:modified xsi:type="dcterms:W3CDTF">2026-10-07T19:57:08Z</dcterms:modified>
</cp:coreProperties>
</file>

<file path=docProps/custom.xml><?xml version="1.0" encoding="utf-8"?>
<Properties xmlns="http://schemas.openxmlformats.org/officeDocument/2006/custom-properties" xmlns:vt="http://schemas.openxmlformats.org/officeDocument/2006/docPropsVTypes"/>
</file>