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영역이다. 하이브리드 본딩은 후공정의 접합 기술인데도 표면 평탄화, 표면 처리 같은 전공정의 제조공정 기술 없이는 성능이 나오지 않는다. 이 논문은 그 두 영역의 기술이 실제로 한 특허 안에 함께 담기는지, 담긴다면 어떤 특허에서 그러한지를 유럽특허청 PATSTAT의 하이브리드 본딩 관련 특허출원 928건으로 살핀다. 출원마다 부여된 CPC 기호를 보아 접합 기술 분류(H01L24)만 있으면 조립 단독형, 제조공정 기술 분류(H01L21)만 있으면 공정 단독형, 둘이 함께 있으면 통합형으로 나누었고, 분석단위는 개별 특허출원이다. 두 클래스가 함께 부여된 공동분류는 제조공정 영역과 접합 영역 사이의 경계 넘기를 재는 특허 기반 대리측정치다. 기준 정의에서는 통합형이 45.8%로 가장 많았고, 조립 단계의 제조공정을 제외한 보수적 정의에서도 통합형은 전체 출원의 37.2%를 차지했다. 회귀분석 결과, 두 클래스 안에서 세부 기술을 더 다양하게 포함한 출원일수록 통합형일 가능성이 높았다(조립 단독형 대비 상대위험비 1.40). 다만 두 변수가 같은 CPC 정보로 만들어지므로 이는 통합형 특허의 구성적 특징으로 본다. 출원연도가 최근일수록 공정 단독형으로 분류될 상대적 가능성이 낮았으며, 기술통계에서도 공정 단독형의 비중은 2014년 이전 43.6%에서 2020–2024년 10.4%로 감소했다. 중국 출원청 출원은 미국 출원청 출원보다 기술범위가 좁았고 표본을 바꾸어도 그러했지만, 공정 단독형 편중은 최근 출원에 민감한 제한적 결과였다. 이러한 결과는 기술융합이 산업과 산업 사이만이 아니라 한 산업의 공정 단계 사이에서도 일어난다는 견해와 맞아떨어지는 특허 수준의 증거이고, 그 융합을 개별 출원 단위에서 잴 수 있음을 보여준다.</w:t>
      </w:r>
    </w:p>
    <w:p>
      <w:pPr>
        <w:pStyle w:val="BodyText"/>
      </w:pPr>
      <w:r>
        <w:rPr>
          <w:b/>
          <w:bCs/>
        </w:rPr>
        <w:t xml:space="preserve">주제어:</w:t>
      </w:r>
      <w:r>
        <w:t xml:space="preserve"> </w:t>
      </w:r>
      <w:r>
        <w:t xml:space="preserve">기술융합; 산업 아키텍처; 하이브리드 본딩; 첨단 패키징; 클래스 내 CPC 범위;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been separate worlds in semiconductor manufacturing for decades. Hybrid bonding belongs to the back end, but it does not work without front-end capabilities, surface planarisation and surface treatment above all. This paper asks whether the two bodies of technology are actually being combined within single patents and, if so, in which ones. Using 928 hybrid-bonding-related applications drawn from EPO PATSTAT, we read the CPC symbols assigned to each application and label it assembly-only when it carries only H01L24 symbols (bonding technology), process-only when it carries only H01L21 symbols (fabrication processes), and integrated when it carries both; the unit of analysis is the individual application. Co-classification in the two classes serves as a patent-based proxy for boundary spanning between the fabrication-process and bonding domains. Under the baseline definition, integrated applications constitute the largest group at 45.8%. Even under a narrower definition that excludes assembly-stage processes, they account for 37.2% of the sample. In the regressions, applications that span more diverse technical elements within the two classes are more likely to be integrated (relative-risk ratio 1.40 against assembly-only), which we treat as a compositional feature of integrated patents since both variables come from the same CPC information. Process-only classification becomes relatively less likely for more recent filings. Descriptively, its share declines from 43.6% before 2015 to 10.4% in 2020–2024. Applications filed at the Chinese office are narrower in scope than those filed at the US office whatever the sample, whereas their tilt towards process-only classification hinges on the most recent filings and remains limited evidence. The findings are patent-level evidence consistent with technological convergence across the process stages of a single industry, and they show that such convergence can be measured one application at a time.</w:t>
      </w:r>
    </w:p>
    <w:p>
      <w:pPr>
        <w:pStyle w:val="BodyText"/>
      </w:pPr>
      <w:r>
        <w:rPr>
          <w:b/>
          <w:bCs/>
        </w:rPr>
        <w:t xml:space="preserve">Keywords:</w:t>
      </w:r>
      <w:r>
        <w:t xml:space="preserve"> </w:t>
      </w:r>
      <w:r>
        <w:t xml:space="preserve">technological convergence; industry architecture; hybrid bonding; advanced packaging; within-class CPC breadth;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첨단 패키징은 이 전제를 흔든다. 한 단계의 성능이 다른 단계의 공정 역량에 훨씬 직접적으로 기대게 된 것이다.</w:t>
      </w:r>
    </w:p>
    <w:p>
      <w:pPr>
        <w:pStyle w:val="BodyText"/>
      </w:pPr>
      <w:r>
        <w:t xml:space="preserve">왜 지금인가. 회로를 더 작게 만드는 미세화가 한계에 부딪히자,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요소를 하나씩 짚어 보면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pPr>
      <w:r>
        <w:t xml:space="preserve">이러한 경계의 흐려짐을 개별 특허 수준에서 볼 수 있는가. 이것이 이 논문의 질문이다. 기술융합 문헌은 서로 구분되던 기술 영역이 겹치고 결합하는 과정을 오랫동안 다루어 왔고(Rosenberg, 1963; Kodama, 1992; Curran and Leker, 2011; Sick and Bröring, 2022), 그런 점에서 자연스러운 출발점이다. 그런데 이 문헌의 실증 연구는 정보통신과 가전을 다룬 Hacklin et al.(2009), 식품과 제약을 다룬 Bröring et al.(2006), 나노기술과 바이오기술을 다룬 No와 Park(2010)에서 보듯 서로 다른 산업이나 기술 분야가 겹치는 경우에 관심을 두어 왔다. 한 산업 안에서 가치사슬의 단계를 가로지르는 융합은 좀처럼 다루어지지 않았다. 가치사슬 상·하류 기업 간의 특허 인용을 분석한 Karvonen과 Kässi(2012)가 그나마 가까운 선례이지만, 하나의 기술이 공정 단계의 경계를 넘는지를 특허 단위에서 검정한 것은 아니다. 산업 아키텍처, 곧 누가 무엇을 만들고 누가 가치를 가져가는가를 정하는 틀(Jacobides et al., 2006)에 압력을 가하는 융합이 있다면 그것은 바로 이런 종류의 융합이다.</w:t>
      </w:r>
    </w:p>
    <w:p>
      <w:pPr>
        <w:pStyle w:val="BodyText"/>
      </w:pPr>
      <w:r>
        <w:t xml:space="preserve">자료는 유럽특허청(EPO) PATSTAT에서 추출한 하이브리드 본딩 관련 특허출원 928건이고, 여기에 부여된 협력적 특허분류(CPC) 기호가 분석의 재료다. 접합·인터커넥트 기술(H01L24)의 기호와 반도체 제조공정 기술(H01L21)의 기호가 한 출원에 함께 붙어 있으면 그 출원을 통합형, 곧 경계를 넘는 특허로 본다. 접합 기호만 있으면 조립 단독형, 제조공정 기호만 있으면 공정 단독형이다. 공동분류로 융합을 포착하는 것 자체는 Curran과 Leker(2011), Kwon et al.(2020) 등이 써 온 표준적인 방법이다. 이 논문이 새로 하는 일은 그 방법을 두 산업 사이가 아니라 한 산업을 가로지르는 경계에 적용하고, 분야 수준의 지수로 집계하는 대신 개별 특허의 유형으로 재구성하는 것이다. 답하려는 질문은 셋이다. 하이브리드 본딩 특허에서 제조공정과 접합 기술의 공동분류는 얼마나 일반적이며 시간에 따라 어떻게 변했는가. 어떤 특허 특성이 공동분류 유형과 관련되는가. 이러한 유형과 기술범위는 출원청별로 어떻게 다른가.</w:t>
      </w:r>
    </w:p>
    <w:p>
      <w:pPr>
        <w:pStyle w:val="BodyText"/>
      </w:pPr>
      <w:r>
        <w:t xml:space="preserve">결론부터 적으면 통합형은 출원의 45.8%로 가장 많은 유형이고 좁은 정의로도 37.2%다. 세부 기술을 더 다양하게 포함한 출원일수록 통합형이었고, 최근 출원일수록 공정 단독형은 드물었으며, 중국 출원청 출원은 기술범위가 좁았다. 이 논문의 기여는 세 갈래로 나뉜다. 개념적으로는 산업 간 사례에 머물던 융합 이론을 산업 내 공정 단계 간 사례로 넓히고, 이를 Langlois와 Steinmueller(1999), Kapoor와 Adner(2012), Kapoor(2013)의 반도체 산업 아키텍처 문헌과 잇는다. 방법론적으로는 융합지수를 하나 더 만드는 대신 공동분류를 개별 특허의 유형으로 재구성함으로써, 분야 수준 지수가 평균 속에 묻어 버리는 특허 간 이질성과 그 관련 요인을 추정할 수 있게 한다. 그리고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 말고도 또 다른 경계가 있다. 한 산업 안에서 가치사슬의 단계를 가르는 경계다. 반도체 산업이 좋은 사례인 것은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융합과 수직통합은 묻는 것이 다르다. Macher와 Mowery(2004), Kapoor(2013)의 수직통합 문헌이 묻는 것은 어느 기업이 어느 단계를 직접 수행하는가, 곧 조직의 경계다. 융합 문헌은 서로 다른 영역의 기술이 하나의 발명 안에서 결합되는가, 곧 지식의 경계를 묻는다(Kodama, 1992; Curran and Leker, 2011). Hacklin et al.(2010)의 단계 모형에서 기술의 융합은 산업의 융합보다 먼저 온다. 이 논문이 특허에서 보려는 것도 그 앞선 단계다. 기업이 조직적 결정을 내리기 전에, 또는 그 이면에서 진행되는 기술의 결합이다. 산업 아키텍처는 그래서 여기서 직접 검정하는 결과변수가 아니라 결과를 해석하는 상위의 이론적 맥락으로 두고, 수직통합은 직접 측정하지 않는 후속 현상으로 남긴다.</w:t>
      </w:r>
    </w:p>
    <w:bookmarkEnd w:id="13"/>
    <w:bookmarkStart w:id="14"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분류가 발명을 뒤늦게 따라간다는 문제를 피하려고 특허 텍스트를 이용하는 연구도 있다(Preschitschek et al., 2013; Zhu and Motohashi, 2022).</w:t>
      </w:r>
    </w:p>
    <w:p>
      <w:pPr>
        <w:pStyle w:val="BodyText"/>
      </w:pPr>
      <w:r>
        <w:t xml:space="preserve">공동분류를 신호로 쓴다는 점에서 본 연구는 첫째 흐름에 속한다. 다른 점은 분석 단위다. 공동분류를 분야 수준으로 집계하는 대신 개별 특허를 세 가지 공동분류 유형으로 나누는데, 접합·인터커넥트 기호(H01L24)만 부여된 조립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살아남는다.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설명변수는 두 갈래의 특허 연구에 기대어 고른다.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관할권에 따라 특허 행태가 달라진다는 연구다. 어느 특허청에 출원하는가에는 출원인 집단, 심사 관행, 출원 목적이 함께 반영된다. 중국의 특허 급증은 제도 변화와 외국인직접투자(Hu and Jefferson, 2009), 그리고 건수를 보상하는 보조금 정책(Dang and Motohashi, 2015)에 힘입은 것이고,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것이라는 예상이 나온다.</w:t>
      </w:r>
    </w:p>
    <w:bookmarkEnd w:id="14"/>
    <w:bookmarkStart w:id="15" w:name="가설"/>
    <w:p>
      <w:pPr>
        <w:pStyle w:val="Heading3"/>
      </w:pPr>
      <w:r>
        <w:t xml:space="preserve">2.4 가설</w:t>
      </w:r>
    </w:p>
    <w:p>
      <w:pPr>
        <w:pStyle w:val="FirstParagraph"/>
      </w:pPr>
      <w:r>
        <w:t xml:space="preserve">이상의 논의에서 네 가지 가설을 세운다.</w:t>
      </w:r>
    </w:p>
    <w:p>
      <w:pPr>
        <w:pStyle w:val="BodyText"/>
      </w:pPr>
      <w:r>
        <w:rPr>
          <w:b/>
          <w:bCs/>
        </w:rPr>
        <w:t xml:space="preserve">기술적 다양성.</w:t>
      </w:r>
      <w:r>
        <w:t xml:space="preserve"> </w:t>
      </w:r>
      <w:r>
        <w:t xml:space="preserve">Kodama(1992)의 융합도 Rosenberg(1963)의 수렴도 둘 이상의 기술 영역에 걸치는 발명을 뜻한다. 경계 넘기가 융합의 한 형태라면, 두 클래스 안에서 더 다양한 세부 기술 요소를 포함하는 출원일수록 두 영역의 기호가 함께 부여될 가능성이 높아야 한다. 웨이퍼 준비에서 접합된 적층까지 공정 흐름 전반의 기술 요소를 포괄하는 출원은 제조공정 분류를 받을 수밖에 없지만, 접합 구조만 다루는 출원은 그렇지 않다. 다만 이 관계에는 기계적인 부분이 있다. 기술범위와 공동분류 유형이 같은 CPC 집합에서 만들어지고, 통합형은 정의상 두 클래스의 기호를 하나씩은 가지므로 범위가 2 이상이기 때문이다. 따라서 H1은 인과적 결정요인이 아니라 통합형 특허의 구성적 특징, 곧 기술적 다양성과 공동분류 사이의 연관에 관한 가설이다.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그래서 공정 발명으로 분류되었다. 적용 범위가 이미지센서와 3D NAND의 웨이퍼 단위 접합에서 고대역폭 메모리와 로직을 위한 다이 단위 접합으로 넓어지자 발명의 중심은 접합된 구조와 적층 쪽으로 옮겨 갔다(Lau, 2021). 다만 출원연도에는 기술의 발전만 담기는 것이 아니다. 분류 체계와 심사 관행, 출원인 구성, 최근 출원의 공개 시차도 함께 반영된다. 그래서 본 연구는 연도 효과를 기술 성숙의 효과라기보다 시간에 따른 변화로 읽는다.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rPr>
          <w:b/>
          <w:bCs/>
        </w:rPr>
        <w:t xml:space="preserve">출원청.</w:t>
      </w:r>
      <w:r>
        <w:t xml:space="preserve"> </w:t>
      </w:r>
      <w:r>
        <w:t xml:space="preserve">어디에 출원하는가에는 누가 무엇을 위해 발명하는가가 묻어난다. Lee와 Lim(2001)의 단계별 추격 논리, Hu와 Jefferson(2009) 및 Dang과 Motohashi(2015)가 보인 중국 특허의 증거, Grimes와 Du(2022)가 기술한 반도체 가치사슬 속 중국의 위치를 함께 놓으면, 중국 출원청 출원은 특정 제조 단계의 확보에 집중되어 범위가 좁고 공정 단독형이 많으리라는 예상에 이른다. 다만 이 예상은 중간 논리를 거쳐야 성립한다. 중국 특허가 늘었다거나 보조금이 있다거나 추격 중이라는 사실만으로 좁은 CPC 범위와 공정 단독형이 따라 나오지는 않기 때문이다. 후발국의 특허 활동이 생산 역량의 국산화, 공정별 병목의 해소, 특정 제조 단계의 권리 확보에 집중된다고 하자. 그러면 하나의 출원이 포괄하는 기술 요소는 시스템 전체의 통합보다 개별 공정 문제의 해결에 가까워지고, 두 클래스 안의 CPC 범위는 좁아지며 공정 단독형의 비중은 높아질 것이다. 이는 중국 특허 선행연구가 직접 내린 결론이 아니라 단계별 추격의 논리를 이 논문의 특허 구성에 적용해 끌어낸 예상이며, 범위와 유형은 서로 다른 모형으로 검정되므로 가설도 둘로 나눈다.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않으며 본문에서도 해석하지 않는다(부록 B). 네 가설은 모두 특허 특성과 공동분류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w:t>
      </w:r>
    </w:p>
    <w:p>
      <w:pPr>
        <w:pStyle w:val="BodyText"/>
        <w:keepNext/>
      </w:pPr>
      <w:r>
        <w:drawing>
          <wp:inline>
            <wp:extent cx="5334000" cy="4233333"/>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접합 형태, 소자 구조, 적용 제품(저자 작성; Lau(2021, 2022)의 기술 설명을 바탕으로 재구성).</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제조공정과 접합 영역의 경계를 넘는지에 체계적인 흔적을 남기는가가 이하의 질문이다.</w:t>
      </w:r>
    </w:p>
    <w:bookmarkEnd w:id="20"/>
    <w:bookmarkStart w:id="28"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이후 영문 제목을 소문자로 바꾸어 지정 키워드 가운데 하나 이상이 들어 있는 출원만 남겼다. 추출된 파일은 출원 1건과 CPC 기호 1개의 쌍을 한 행으로 하는 긴 형식이며(출원 식별자, 출원청, 출원연도, 제목, CPC 기호), 기호의 공백을 정리한 뒤 중복 쌍이 없음을 확인하고 출원 식별자별로 집계하였다.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설계되었으며, 장기 추세는 이 전구 기술에서 현대 기술로의 이행을 포함한다. 추출 단계에서 두 클래스 밖의 기호는 보존되지 않았으므로, 모든 기호는 H01L21 계열(202개)과 H01L24 계열(60개)의 서브그룹 기호(사선 뒤의 세부 번호까지 포함한 전체 기호, 예: H01L 21/603) 262개로 이루어진다. 본 연구의 분석단위는 PATSTAT의 개별 특허출원이다. 같은 발명이 여러 출원청에 제출된 경우 각 출원은 별도의 관측치로 포함되며, 본문의 ’특허’는 일반적 표현이고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C).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1"/>
    <w:bookmarkStart w:id="22"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조립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조립 단계 공정 403건(24.6%)이다. 조립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70"/>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4"/>
        <w:gridCol w:w="3628"/>
        <w:gridCol w:w="3628"/>
      </w:tblGrid>
      <w:tr>
        <w:trPr>
          <w:tblHeader w:val="on"/>
          <w:cantSplit/>
        </w:trPr>
        <w:tc>
          <w:tcPr>
            <w:tcW w:type="dxa" w:w="1814"/>
            <w:tcBorders>
              <w:bottom w:val="single" w:sz="4" w:space="0" w:color="000000"/>
            </w:tcBorders>
          </w:tcPr>
          <w:p>
            <w:pPr>
              <w:pStyle w:val="Compact"/>
              <w:spacing w:before="20" w:after="20" w:line="240" w:lineRule="auto"/>
              <w:keepNext/>
            </w:pPr>
            <w:r>
              <w:rPr>
                <w:sz w:val="18"/>
                <w:szCs w:val="18"/>
              </w:rPr>
              <w:t xml:space="preserve">수준</w:t>
            </w:r>
          </w:p>
        </w:tc>
        <w:tc>
          <w:tcPr>
            <w:tcW w:type="dxa" w:w="3628"/>
            <w:tcBorders>
              <w:bottom w:val="single" w:sz="4" w:space="0" w:color="000000"/>
            </w:tcBorders>
          </w:tcPr>
          <w:p>
            <w:pPr>
              <w:pStyle w:val="Compact"/>
              <w:spacing w:before="20" w:after="20" w:line="240" w:lineRule="auto"/>
              <w:keepNext/>
            </w:pPr>
            <w:r>
              <w:rPr>
                <w:sz w:val="18"/>
                <w:szCs w:val="18"/>
              </w:rPr>
              <w:t xml:space="preserve">개념</w:t>
            </w:r>
          </w:p>
        </w:tc>
        <w:tc>
          <w:tcPr>
            <w:tcW w:type="dxa" w:w="3628"/>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814"/>
          </w:tcPr>
          <w:p>
            <w:pPr>
              <w:pStyle w:val="Compact"/>
              <w:spacing w:before="20" w:after="20" w:line="240" w:lineRule="auto"/>
              <w:keepNext/>
            </w:pPr>
            <w:r>
              <w:rPr>
                <w:sz w:val="18"/>
                <w:szCs w:val="18"/>
              </w:rPr>
              <w:t xml:space="preserve">산업</w:t>
            </w:r>
          </w:p>
        </w:tc>
        <w:tc>
          <w:tcPr>
            <w:tcW w:type="dxa" w:w="3628"/>
          </w:tcPr>
          <w:p>
            <w:pPr>
              <w:pStyle w:val="Compact"/>
              <w:spacing w:before="20" w:after="20" w:line="240" w:lineRule="auto"/>
              <w:keepNext/>
            </w:pPr>
            <w:r>
              <w:rPr>
                <w:sz w:val="18"/>
                <w:szCs w:val="18"/>
              </w:rPr>
              <w:t xml:space="preserve">산업 아키텍처</w:t>
            </w:r>
          </w:p>
        </w:tc>
        <w:tc>
          <w:tcPr>
            <w:tcW w:type="dxa" w:w="3628"/>
          </w:tcPr>
          <w:p>
            <w:pPr>
              <w:pStyle w:val="Compact"/>
              <w:spacing w:before="20" w:after="20" w:line="240" w:lineRule="auto"/>
              <w:keepNext/>
            </w:pPr>
            <w:r>
              <w:rPr>
                <w:sz w:val="18"/>
                <w:szCs w:val="18"/>
              </w:rPr>
              <w:t xml:space="preserve">결과를 해석하는 상위 맥락(직접 검정하지 않음)</w:t>
            </w:r>
          </w:p>
        </w:tc>
      </w:tr>
      <w:tr>
        <w:trPr>
          <w:cantSplit/>
        </w:trPr>
        <w:tc>
          <w:tcPr>
            <w:tcW w:type="dxa" w:w="1814"/>
          </w:tcPr>
          <w:p>
            <w:pPr>
              <w:pStyle w:val="Compact"/>
              <w:spacing w:before="20" w:after="20" w:line="240" w:lineRule="auto"/>
              <w:keepNext/>
            </w:pPr>
            <w:r>
              <w:rPr>
                <w:sz w:val="18"/>
                <w:szCs w:val="18"/>
              </w:rPr>
              <w:t xml:space="preserve">기술 시스템</w:t>
            </w:r>
          </w:p>
        </w:tc>
        <w:tc>
          <w:tcPr>
            <w:tcW w:type="dxa" w:w="3628"/>
          </w:tcPr>
          <w:p>
            <w:pPr>
              <w:pStyle w:val="Compact"/>
              <w:spacing w:before="20" w:after="20" w:line="240" w:lineRule="auto"/>
              <w:keepNext/>
            </w:pPr>
            <w:r>
              <w:rPr>
                <w:sz w:val="18"/>
                <w:szCs w:val="18"/>
              </w:rPr>
              <w:t xml:space="preserve">공정 단계 간 기술융합</w:t>
            </w:r>
          </w:p>
        </w:tc>
        <w:tc>
          <w:tcPr>
            <w:tcW w:type="dxa" w:w="3628"/>
          </w:tcPr>
          <w:p>
            <w:pPr>
              <w:pStyle w:val="Compact"/>
              <w:spacing w:before="20" w:after="20" w:line="240" w:lineRule="auto"/>
              <w:keepNext/>
            </w:pPr>
            <w:r>
              <w:rPr>
                <w:sz w:val="18"/>
                <w:szCs w:val="18"/>
              </w:rPr>
              <w:t xml:space="preserve">핵심 이론적 현상</w:t>
            </w:r>
          </w:p>
        </w:tc>
      </w:tr>
      <w:tr>
        <w:trPr>
          <w:cantSplit/>
        </w:trPr>
        <w:tc>
          <w:tcPr>
            <w:tcW w:type="dxa" w:w="1814"/>
          </w:tcPr>
          <w:p>
            <w:pPr>
              <w:pStyle w:val="Compact"/>
              <w:spacing w:before="20" w:after="20" w:line="240" w:lineRule="auto"/>
              <w:keepNext/>
            </w:pPr>
            <w:r>
              <w:rPr>
                <w:sz w:val="18"/>
                <w:szCs w:val="18"/>
              </w:rPr>
              <w:t xml:space="preserve">발명</w:t>
            </w:r>
          </w:p>
        </w:tc>
        <w:tc>
          <w:tcPr>
            <w:tcW w:type="dxa" w:w="3628"/>
          </w:tcPr>
          <w:p>
            <w:pPr>
              <w:pStyle w:val="Compact"/>
              <w:spacing w:before="20" w:after="20" w:line="240" w:lineRule="auto"/>
              <w:keepNext/>
            </w:pPr>
            <w:r>
              <w:rPr>
                <w:sz w:val="18"/>
                <w:szCs w:val="18"/>
              </w:rPr>
              <w:t xml:space="preserve">경계를 넘는 발명</w:t>
            </w:r>
          </w:p>
        </w:tc>
        <w:tc>
          <w:tcPr>
            <w:tcW w:type="dxa" w:w="3628"/>
          </w:tcPr>
          <w:p>
            <w:pPr>
              <w:pStyle w:val="Compact"/>
              <w:spacing w:before="20" w:after="20" w:line="240" w:lineRule="auto"/>
              <w:keepNext/>
            </w:pPr>
            <w:r>
              <w:rPr>
                <w:sz w:val="18"/>
                <w:szCs w:val="18"/>
              </w:rPr>
              <w:t xml:space="preserve">분석 대상</w:t>
            </w:r>
          </w:p>
        </w:tc>
      </w:tr>
      <w:tr>
        <w:trPr>
          <w:cantSplit/>
        </w:trPr>
        <w:tc>
          <w:tcPr>
            <w:tcW w:type="dxa" w:w="1814"/>
          </w:tcPr>
          <w:p>
            <w:pPr>
              <w:pStyle w:val="Compact"/>
              <w:spacing w:before="20" w:after="20" w:line="240" w:lineRule="auto"/>
              <w:keepNext/>
            </w:pPr>
            <w:r>
              <w:rPr>
                <w:sz w:val="18"/>
                <w:szCs w:val="18"/>
              </w:rPr>
              <w:t xml:space="preserve">측정</w:t>
            </w:r>
          </w:p>
        </w:tc>
        <w:tc>
          <w:tcPr>
            <w:tcW w:type="dxa" w:w="3628"/>
          </w:tcPr>
          <w:p>
            <w:pPr>
              <w:pStyle w:val="Compact"/>
              <w:spacing w:before="20" w:after="20" w:line="240" w:lineRule="auto"/>
              <w:keepNext/>
            </w:pPr>
            <w:r>
              <w:rPr>
                <w:sz w:val="18"/>
                <w:szCs w:val="18"/>
              </w:rPr>
              <w:t xml:space="preserve">H01L21–H01L24 공동분류</w:t>
            </w:r>
          </w:p>
        </w:tc>
        <w:tc>
          <w:tcPr>
            <w:tcW w:type="dxa" w:w="3628"/>
          </w:tcPr>
          <w:p>
            <w:pPr>
              <w:pStyle w:val="Compact"/>
              <w:spacing w:before="20" w:after="20" w:line="240" w:lineRule="auto"/>
              <w:keepNext/>
            </w:pPr>
            <w:r>
              <w:rPr>
                <w:sz w:val="18"/>
                <w:szCs w:val="18"/>
              </w:rPr>
              <w:t xml:space="preserve">조작적 지표(대리측정치)</w:t>
            </w:r>
          </w:p>
        </w:tc>
      </w:tr>
      <w:tr>
        <w:trPr>
          <w:cantSplit/>
        </w:trPr>
        <w:tc>
          <w:tcPr>
            <w:tcW w:type="dxa" w:w="1814"/>
          </w:tcPr>
          <w:p>
            <w:pPr>
              <w:pStyle w:val="Compact"/>
              <w:spacing w:before="20" w:after="20" w:line="240" w:lineRule="auto"/>
              <w:keepNext/>
            </w:pPr>
            <w:r>
              <w:rPr>
                <w:sz w:val="18"/>
                <w:szCs w:val="18"/>
              </w:rPr>
              <w:t xml:space="preserve">특허 특성</w:t>
            </w:r>
          </w:p>
        </w:tc>
        <w:tc>
          <w:tcPr>
            <w:tcW w:type="dxa" w:w="3628"/>
          </w:tcPr>
          <w:p>
            <w:pPr>
              <w:pStyle w:val="Compact"/>
              <w:spacing w:before="20" w:after="20" w:line="240" w:lineRule="auto"/>
              <w:keepNext/>
            </w:pPr>
            <w:r>
              <w:rPr>
                <w:sz w:val="18"/>
                <w:szCs w:val="18"/>
              </w:rPr>
              <w:t xml:space="preserve">두 클래스 안의 CPC 서브그룹 수</w:t>
            </w:r>
          </w:p>
        </w:tc>
        <w:tc>
          <w:tcPr>
            <w:tcW w:type="dxa" w:w="3628"/>
          </w:tcPr>
          <w:p>
            <w:pPr>
              <w:pStyle w:val="Compact"/>
              <w:spacing w:before="20" w:after="20" w:line="240" w:lineRule="auto"/>
              <w:keepNext/>
            </w:pPr>
            <w:r>
              <w:rPr>
                <w:sz w:val="18"/>
                <w:szCs w:val="18"/>
              </w:rPr>
              <w:t xml:space="preserve">기술적 다양성(클래스 내 기술범위)</w:t>
            </w:r>
          </w:p>
        </w:tc>
      </w:tr>
      <w:tr>
        <w:trPr>
          <w:cantSplit/>
        </w:trPr>
        <w:tc>
          <w:tcPr>
            <w:tcW w:type="dxa" w:w="1814"/>
          </w:tcPr>
          <w:p>
            <w:pPr>
              <w:pStyle w:val="Compact"/>
              <w:spacing w:before="20" w:after="20" w:line="240" w:lineRule="auto"/>
              <w:keepNext/>
            </w:pPr>
            <w:r>
              <w:rPr>
                <w:sz w:val="18"/>
                <w:szCs w:val="18"/>
              </w:rPr>
              <w:t xml:space="preserve">조직</w:t>
            </w:r>
          </w:p>
        </w:tc>
        <w:tc>
          <w:tcPr>
            <w:tcW w:type="dxa" w:w="3628"/>
          </w:tcPr>
          <w:p>
            <w:pPr>
              <w:pStyle w:val="Compact"/>
              <w:spacing w:before="20" w:after="20" w:line="240" w:lineRule="auto"/>
              <w:keepNext/>
            </w:pPr>
            <w:r>
              <w:rPr>
                <w:sz w:val="18"/>
                <w:szCs w:val="18"/>
              </w:rPr>
              <w:t xml:space="preserve">수직통합</w:t>
            </w:r>
          </w:p>
        </w:tc>
        <w:tc>
          <w:tcPr>
            <w:tcW w:type="dxa" w:w="3628"/>
          </w:tcPr>
          <w:p>
            <w:pPr>
              <w:pStyle w:val="Compact"/>
              <w:spacing w:before="20" w:after="20" w:line="240" w:lineRule="auto"/>
              <w:keepNext/>
            </w:pPr>
            <w:r>
              <w:rPr>
                <w:sz w:val="18"/>
                <w:szCs w:val="18"/>
              </w:rPr>
              <w:t xml:space="preserve">직접 측정하지 않는 후속 현상</w:t>
            </w:r>
          </w:p>
        </w:tc>
      </w:tr>
    </w:tbl>
    <w:p>
      <w:pPr>
        <w:pStyle w:val="BodyText"/>
      </w:pPr>
      <w:r>
        <w:t xml:space="preserve">CPC 기호는 심사관이 발명의 기술 내용에 부여하는 것으로, 청구항의 문구와 항상 일치하지는 않는다. 따라서 이하에서 어떤 출원이 어떤 기술을</w:t>
      </w:r>
      <w:r>
        <w:t xml:space="preserve"> </w:t>
      </w:r>
      <w:r>
        <w:t xml:space="preserve">‘포함한다’</w:t>
      </w:r>
      <w:r>
        <w:t xml:space="preserve"> </w:t>
      </w:r>
      <w:r>
        <w:t xml:space="preserve">또는 어떤 기술로 ’분류된다’는 말은 해당 클래스의 기호가 그 출원에 부여되어 있다는 뜻이며, 법적 청구범위에 관한 진술이 아니다.</w:t>
      </w:r>
    </w:p>
    <w:bookmarkEnd w:id="22"/>
    <w:bookmarkStart w:id="26"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조립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조립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출원청(ccode)은 출원이 제출된 특허청 또는 출원 경로로 8개 수준이며 미국이 기준이다. 출원연도(yc)는 표본의 첫 출원(1968년)부터 지난 햇수다.</w:t>
      </w:r>
    </w:p>
    <w:p>
      <w:pPr>
        <w:pStyle w:val="BodyText"/>
        <w:keepNext/>
      </w:pPr>
      <w:r>
        <w:rPr>
          <w:b/>
          <w:bCs/>
        </w:rPr>
        <w:t xml:space="preserve">표 3.</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23"/>
        <w:gridCol w:w="3184"/>
        <w:gridCol w:w="1592"/>
        <w:gridCol w:w="2769"/>
      </w:tblGrid>
      <w:tr>
        <w:trPr>
          <w:tblHeader w:val="on"/>
          <w:cantSplit/>
        </w:trPr>
        <w:tc>
          <w:tcPr>
            <w:tcW w:type="dxa" w:w="1523"/>
            <w:tcBorders>
              <w:bottom w:val="single" w:sz="4" w:space="0" w:color="000000"/>
            </w:tcBorders>
          </w:tcPr>
          <w:p>
            <w:pPr>
              <w:pStyle w:val="Compact"/>
              <w:spacing w:before="20" w:after="20" w:line="240" w:lineRule="auto"/>
              <w:keepNext/>
            </w:pPr>
            <w:r>
              <w:rPr>
                <w:sz w:val="18"/>
                <w:szCs w:val="18"/>
              </w:rPr>
              <w:t xml:space="preserve">변수</w:t>
            </w:r>
          </w:p>
        </w:tc>
        <w:tc>
          <w:tcPr>
            <w:tcW w:type="dxa" w:w="3184"/>
            <w:tcBorders>
              <w:bottom w:val="single" w:sz="4" w:space="0" w:color="000000"/>
            </w:tcBorders>
          </w:tcPr>
          <w:p>
            <w:pPr>
              <w:pStyle w:val="Compact"/>
              <w:spacing w:before="20" w:after="20" w:line="240" w:lineRule="auto"/>
              <w:keepNext/>
            </w:pPr>
            <w:r>
              <w:rPr>
                <w:sz w:val="18"/>
                <w:szCs w:val="18"/>
              </w:rPr>
              <w:t xml:space="preserve">정의</w:t>
            </w:r>
          </w:p>
        </w:tc>
        <w:tc>
          <w:tcPr>
            <w:tcW w:type="dxa" w:w="1592"/>
            <w:tcBorders>
              <w:bottom w:val="single" w:sz="4" w:space="0" w:color="000000"/>
            </w:tcBorders>
          </w:tcPr>
          <w:p>
            <w:pPr>
              <w:pStyle w:val="Compact"/>
              <w:spacing w:before="20" w:after="20" w:line="240" w:lineRule="auto"/>
              <w:keepNext/>
            </w:pPr>
            <w:r>
              <w:rPr>
                <w:sz w:val="18"/>
                <w:szCs w:val="18"/>
              </w:rPr>
              <w:t xml:space="preserve">유형</w:t>
            </w:r>
          </w:p>
        </w:tc>
        <w:tc>
          <w:tcPr>
            <w:tcW w:type="dxa" w:w="2769"/>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523"/>
          </w:tcPr>
          <w:p>
            <w:pPr>
              <w:pStyle w:val="Compact"/>
              <w:spacing w:before="20" w:after="20" w:line="240" w:lineRule="auto"/>
              <w:keepNext/>
            </w:pPr>
            <w:r>
              <w:rPr>
                <w:sz w:val="18"/>
                <w:szCs w:val="18"/>
              </w:rPr>
              <w:t xml:space="preserve">breadth</w:t>
            </w:r>
          </w:p>
        </w:tc>
        <w:tc>
          <w:tcPr>
            <w:tcW w:type="dxa" w:w="3184"/>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92"/>
          </w:tcPr>
          <w:p>
            <w:pPr>
              <w:pStyle w:val="Compact"/>
              <w:spacing w:before="20" w:after="20" w:line="240" w:lineRule="auto"/>
              <w:keepNext/>
            </w:pPr>
            <w:r>
              <w:rPr>
                <w:sz w:val="18"/>
                <w:szCs w:val="18"/>
              </w:rPr>
              <w:t xml:space="preserve">카운트, 1–21</w:t>
            </w:r>
          </w:p>
        </w:tc>
        <w:tc>
          <w:tcPr>
            <w:tcW w:type="dxa" w:w="2769"/>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523"/>
          </w:tcPr>
          <w:p>
            <w:pPr>
              <w:pStyle w:val="Compact"/>
              <w:spacing w:before="20" w:after="20" w:line="240" w:lineRule="auto"/>
              <w:keepNext/>
            </w:pPr>
            <w:r>
              <w:rPr>
                <w:sz w:val="18"/>
                <w:szCs w:val="18"/>
              </w:rPr>
              <w:t xml:space="preserve">breadth_adj</w:t>
            </w:r>
          </w:p>
        </w:tc>
        <w:tc>
          <w:tcPr>
            <w:tcW w:type="dxa" w:w="3184"/>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92"/>
          </w:tcPr>
          <w:p>
            <w:pPr>
              <w:pStyle w:val="Compact"/>
              <w:spacing w:before="20" w:after="20" w:line="240" w:lineRule="auto"/>
              <w:keepNext/>
            </w:pPr>
            <w:r>
              <w:rPr>
                <w:sz w:val="18"/>
                <w:szCs w:val="18"/>
              </w:rPr>
              <w:t xml:space="preserve">카운트, 0–19</w:t>
            </w:r>
          </w:p>
        </w:tc>
        <w:tc>
          <w:tcPr>
            <w:tcW w:type="dxa" w:w="2769"/>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523"/>
          </w:tcPr>
          <w:p>
            <w:pPr>
              <w:pStyle w:val="Compact"/>
              <w:spacing w:before="20" w:after="20" w:line="240" w:lineRule="auto"/>
              <w:keepNext/>
            </w:pPr>
            <w:r>
              <w:rPr>
                <w:sz w:val="18"/>
                <w:szCs w:val="18"/>
              </w:rPr>
              <w:t xml:space="preserve">tech_cat</w:t>
            </w:r>
          </w:p>
        </w:tc>
        <w:tc>
          <w:tcPr>
            <w:tcW w:type="dxa" w:w="3184"/>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1592"/>
          </w:tcPr>
          <w:p>
            <w:pPr>
              <w:pStyle w:val="Compact"/>
              <w:spacing w:before="20" w:after="20" w:line="240" w:lineRule="auto"/>
              <w:keepNext/>
            </w:pPr>
            <w:r>
              <w:rPr>
                <w:sz w:val="18"/>
                <w:szCs w:val="18"/>
              </w:rPr>
              <w:t xml:space="preserve">범주, 3</w:t>
            </w:r>
          </w:p>
        </w:tc>
        <w:tc>
          <w:tcPr>
            <w:tcW w:type="dxa" w:w="2769"/>
          </w:tcPr>
          <w:p>
            <w:pPr>
              <w:pStyle w:val="Compact"/>
              <w:spacing w:before="20" w:after="20" w:line="240" w:lineRule="auto"/>
              <w:keepNext/>
            </w:pPr>
            <w:r>
              <w:rPr>
                <w:sz w:val="18"/>
                <w:szCs w:val="18"/>
              </w:rPr>
              <w:t xml:space="preserve">기업의 전략이 아닌 분류의 조합</w:t>
            </w:r>
          </w:p>
        </w:tc>
      </w:tr>
      <w:tr>
        <w:trPr>
          <w:cantSplit/>
        </w:trPr>
        <w:tc>
          <w:tcPr>
            <w:tcW w:type="dxa" w:w="1523"/>
          </w:tcPr>
          <w:p>
            <w:pPr>
              <w:pStyle w:val="Compact"/>
              <w:spacing w:before="20" w:after="20" w:line="240" w:lineRule="auto"/>
              <w:keepNext/>
            </w:pPr>
            <w:r>
              <w:rPr>
                <w:sz w:val="18"/>
                <w:szCs w:val="18"/>
              </w:rPr>
              <w:t xml:space="preserve">has_process</w:t>
            </w:r>
          </w:p>
        </w:tc>
        <w:tc>
          <w:tcPr>
            <w:tcW w:type="dxa" w:w="3184"/>
          </w:tcPr>
          <w:p>
            <w:pPr>
              <w:pStyle w:val="Compact"/>
              <w:spacing w:before="20" w:after="20" w:line="240" w:lineRule="auto"/>
              <w:keepNext/>
            </w:pPr>
            <w:r>
              <w:rPr>
                <w:sz w:val="18"/>
                <w:szCs w:val="18"/>
              </w:rPr>
              <w:t xml:space="preserve">H01L21 기호를 하나라도 가지면 1(제조공정 분류), 아니면 0</w:t>
            </w:r>
          </w:p>
        </w:tc>
        <w:tc>
          <w:tcPr>
            <w:tcW w:type="dxa" w:w="1592"/>
          </w:tcPr>
          <w:p>
            <w:pPr>
              <w:pStyle w:val="Compact"/>
              <w:spacing w:before="20" w:after="20" w:line="240" w:lineRule="auto"/>
              <w:keepNext/>
            </w:pPr>
            <w:r>
              <w:rPr>
                <w:sz w:val="18"/>
                <w:szCs w:val="18"/>
              </w:rPr>
              <w:t xml:space="preserve">이항</w:t>
            </w:r>
          </w:p>
        </w:tc>
        <w:tc>
          <w:tcPr>
            <w:tcW w:type="dxa" w:w="2769"/>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523"/>
          </w:tcPr>
          <w:p>
            <w:pPr>
              <w:pStyle w:val="Compact"/>
              <w:spacing w:before="20" w:after="20" w:line="240" w:lineRule="auto"/>
              <w:keepNext/>
            </w:pPr>
            <w:r>
              <w:rPr>
                <w:sz w:val="18"/>
                <w:szCs w:val="18"/>
              </w:rPr>
              <w:t xml:space="preserve">ccode</w:t>
            </w:r>
          </w:p>
        </w:tc>
        <w:tc>
          <w:tcPr>
            <w:tcW w:type="dxa" w:w="3184"/>
          </w:tcPr>
          <w:p>
            <w:pPr>
              <w:pStyle w:val="Compact"/>
              <w:spacing w:before="20" w:after="20" w:line="240" w:lineRule="auto"/>
              <w:keepNext/>
            </w:pPr>
            <w:r>
              <w:rPr>
                <w:sz w:val="18"/>
                <w:szCs w:val="18"/>
              </w:rPr>
              <w:t xml:space="preserve">출원청 또는 출원 경로: US(기준), CN, KR, TW, JP, EP, WO(PCT), 기타</w:t>
            </w:r>
          </w:p>
        </w:tc>
        <w:tc>
          <w:tcPr>
            <w:tcW w:type="dxa" w:w="1592"/>
          </w:tcPr>
          <w:p>
            <w:pPr>
              <w:pStyle w:val="Compact"/>
              <w:spacing w:before="20" w:after="20" w:line="240" w:lineRule="auto"/>
              <w:keepNext/>
            </w:pPr>
            <w:r>
              <w:rPr>
                <w:sz w:val="18"/>
                <w:szCs w:val="18"/>
              </w:rPr>
              <w:t xml:space="preserve">범주, 8</w:t>
            </w:r>
          </w:p>
        </w:tc>
        <w:tc>
          <w:tcPr>
            <w:tcW w:type="dxa" w:w="2769"/>
          </w:tcPr>
          <w:p>
            <w:pPr>
              <w:pStyle w:val="Compact"/>
              <w:spacing w:before="20" w:after="20" w:line="240" w:lineRule="auto"/>
              <w:keepNext/>
            </w:pPr>
            <w:r>
              <w:rPr>
                <w:sz w:val="18"/>
                <w:szCs w:val="18"/>
              </w:rPr>
              <w:t xml:space="preserve">출원인의 국적과 다름</w:t>
            </w:r>
          </w:p>
        </w:tc>
      </w:tr>
      <w:tr>
        <w:trPr>
          <w:cantSplit/>
        </w:trPr>
        <w:tc>
          <w:tcPr>
            <w:tcW w:type="dxa" w:w="1523"/>
          </w:tcPr>
          <w:p>
            <w:pPr>
              <w:pStyle w:val="Compact"/>
              <w:spacing w:before="20" w:after="20" w:line="240" w:lineRule="auto"/>
              <w:keepNext/>
            </w:pPr>
            <w:r>
              <w:rPr>
                <w:sz w:val="18"/>
                <w:szCs w:val="18"/>
              </w:rPr>
              <w:t xml:space="preserve">yc</w:t>
            </w:r>
          </w:p>
        </w:tc>
        <w:tc>
          <w:tcPr>
            <w:tcW w:type="dxa" w:w="3184"/>
          </w:tcPr>
          <w:p>
            <w:pPr>
              <w:pStyle w:val="Compact"/>
              <w:spacing w:before="20" w:after="20" w:line="240" w:lineRule="auto"/>
              <w:keepNext/>
            </w:pPr>
            <w:r>
              <w:rPr>
                <w:sz w:val="18"/>
                <w:szCs w:val="18"/>
              </w:rPr>
              <w:t xml:space="preserve">출원연도(1968년 = 0부터 지난 햇수); 표본 평균 49.7(2017.7년)</w:t>
            </w:r>
          </w:p>
        </w:tc>
        <w:tc>
          <w:tcPr>
            <w:tcW w:type="dxa" w:w="1592"/>
          </w:tcPr>
          <w:p>
            <w:pPr>
              <w:pStyle w:val="Compact"/>
              <w:spacing w:before="20" w:after="20" w:line="240" w:lineRule="auto"/>
              <w:keepNext/>
            </w:pPr>
            <w:r>
              <w:rPr>
                <w:sz w:val="18"/>
                <w:szCs w:val="18"/>
              </w:rPr>
              <w:t xml:space="preserve">정수, 0–56</w:t>
            </w:r>
          </w:p>
        </w:tc>
        <w:tc>
          <w:tcPr>
            <w:tcW w:type="dxa" w:w="2769"/>
          </w:tcPr>
          <w:p>
            <w:pPr>
              <w:pStyle w:val="Compact"/>
              <w:spacing w:before="20" w:after="20" w:line="240" w:lineRule="auto"/>
              <w:keepNext/>
            </w:pPr>
            <w:r>
              <w:rPr>
                <w:sz w:val="18"/>
                <w:szCs w:val="18"/>
              </w:rPr>
              <w:t xml:space="preserve">기술 성숙의 직접 측정치가 아님</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감소에는 출원 뒤 공개까지 걸리는 시차가 영향을 미쳤을 가능성이 크다. 유형별로는 통합형 425건(45.8%), 조립 단독형 338건(36.4%), 공정 단독형 165건(17.8%)이며, 제조공정 기호를 가진 출원은 590건(63.6%)이다.</w:t>
      </w:r>
    </w:p>
    <w:p>
      <w:pPr>
        <w:pStyle w:val="BodyText"/>
        <w:keepNext/>
      </w:pPr>
      <w:r>
        <w:drawing>
          <wp:inline>
            <wp:extent cx="5334000" cy="3048000"/>
            <wp:effectExtent b="0" l="0" r="0" t="0"/>
            <wp:docPr descr="" title="" id="24" name="Picture"/>
            <a:graphic>
              <a:graphicData uri="http://schemas.openxmlformats.org/drawingml/2006/picture">
                <pic:pic>
                  <pic:nvPicPr>
                    <pic:cNvPr descr="figures/fig2_applications_by_year_ko.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관련 출원 건수, 1968–2024(N = 928). 2023–2024년의 감소에는 출원 뒤 공개까지의 시차가 영향을 미쳤을 가능성이 크다.</w:t>
      </w:r>
    </w:p>
    <w:p>
      <w:pPr>
        <w:pStyle w:val="BodyText"/>
      </w:pPr>
      <w:r>
        <w:t xml:space="preserve">출원청별 유형 분포와 기술범위는 표 4에 정리했다. 통합형은 EPO, 대만, 일본, 미국에서 절반 안팎으로 가장 많은 유형이지만 중국과 PCT 경로에서는 40% 수준에 그친다. 공정 단독형의 비중은 중국(24.6%)과 한국(27.6%)에서 높은 편이고 일본(11.5%), EPO(12.0%), 미국(13.9%)에서는 낮다. 기술범위 평균을 보면 중국(4.83)과 PCT(5.04)가 가장 좁고 일본(6.88)이 가장 넓다. 다만 출원청마다 출원 시기가 크게 다르다는 점을 함께 보아야 한다. 일본 출원은 절반이 2011년 이전 출원인 반면(중앙값 2011.5년) PCT 출원의 중앙값은 2022년이다. 이런 차이가 출원 시기와 범위를 통제한 뒤에도 남는지는 제5절의 회귀분석에서 확인한다.</w:t>
      </w:r>
    </w:p>
    <w:p>
      <w:pPr>
        <w:pStyle w:val="BodyText"/>
        <w:keepNext/>
      </w:pPr>
      <w:r>
        <w:rPr>
          <w:b/>
          <w:bCs/>
        </w:rPr>
        <w:t xml:space="preserve">표 4.</w:t>
      </w:r>
      <w:r>
        <w:t xml:space="preserve"> </w:t>
      </w:r>
      <w:r>
        <w:t xml:space="preserve">출원청별 공동분류 유형 분포와 기술범위(N = 928; 유형 열의 괄호는 행 비중, 기술범위 열의 괄호는 표준편차).</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55"/>
        <w:gridCol w:w="461"/>
        <w:gridCol w:w="1223"/>
        <w:gridCol w:w="1223"/>
        <w:gridCol w:w="1223"/>
        <w:gridCol w:w="1091"/>
        <w:gridCol w:w="1771"/>
        <w:gridCol w:w="1125"/>
      </w:tblGrid>
      <w:tr>
        <w:trPr>
          <w:tblHeader w:val="on"/>
          <w:cantSplit/>
        </w:trPr>
        <w:tc>
          <w:tcPr>
            <w:tcW w:type="dxa" w:w="955"/>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23"/>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23"/>
            <w:tcBorders>
              <w:bottom w:val="single" w:sz="4" w:space="0" w:color="000000"/>
            </w:tcBorders>
          </w:tcPr>
          <w:p>
            <w:pPr>
              <w:pStyle w:val="Compact"/>
              <w:spacing w:before="20" w:after="20" w:line="240" w:lineRule="auto"/>
              <w:keepNext/>
            </w:pPr>
            <w:r>
              <w:rPr>
                <w:sz w:val="13"/>
                <w:szCs w:val="13"/>
              </w:rPr>
              <w:t xml:space="preserve">통합형</w:t>
            </w:r>
          </w:p>
        </w:tc>
        <w:tc>
          <w:tcPr>
            <w:tcW w:type="dxa" w:w="1223"/>
            <w:tcBorders>
              <w:bottom w:val="single" w:sz="4" w:space="0" w:color="000000"/>
            </w:tcBorders>
          </w:tcPr>
          <w:p>
            <w:pPr>
              <w:pStyle w:val="Compact"/>
              <w:spacing w:before="20" w:after="20" w:line="240" w:lineRule="auto"/>
              <w:keepNext/>
            </w:pPr>
            <w:r>
              <w:rPr>
                <w:sz w:val="13"/>
                <w:szCs w:val="13"/>
              </w:rPr>
              <w:t xml:space="preserve">공정 단독형</w:t>
            </w:r>
          </w:p>
        </w:tc>
        <w:tc>
          <w:tcPr>
            <w:tcW w:type="dxa" w:w="1091"/>
            <w:tcBorders>
              <w:bottom w:val="single" w:sz="4" w:space="0" w:color="000000"/>
            </w:tcBorders>
          </w:tcPr>
          <w:p>
            <w:pPr>
              <w:pStyle w:val="Compact"/>
              <w:spacing w:before="20" w:after="20" w:line="240" w:lineRule="auto"/>
              <w:jc w:val="right"/>
              <w:keepNext/>
            </w:pPr>
            <w:r>
              <w:rPr>
                <w:sz w:val="13"/>
                <w:szCs w:val="13"/>
              </w:rPr>
              <w:t xml:space="preserve">제조공정 분류(%)</w:t>
            </w:r>
          </w:p>
        </w:tc>
        <w:tc>
          <w:tcPr>
            <w:tcW w:type="dxa" w:w="1771"/>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2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55"/>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23"/>
          </w:tcPr>
          <w:p>
            <w:pPr>
              <w:pStyle w:val="Compact"/>
              <w:spacing w:before="20" w:after="20" w:line="240" w:lineRule="auto"/>
              <w:keepNext/>
            </w:pPr>
            <w:r>
              <w:rPr>
                <w:sz w:val="13"/>
                <w:szCs w:val="13"/>
              </w:rPr>
              <w:t xml:space="preserve">148 (38.7%)</w:t>
            </w:r>
          </w:p>
        </w:tc>
        <w:tc>
          <w:tcPr>
            <w:tcW w:type="dxa" w:w="1223"/>
          </w:tcPr>
          <w:p>
            <w:pPr>
              <w:pStyle w:val="Compact"/>
              <w:spacing w:before="20" w:after="20" w:line="240" w:lineRule="auto"/>
              <w:keepNext/>
            </w:pPr>
            <w:r>
              <w:rPr>
                <w:sz w:val="13"/>
                <w:szCs w:val="13"/>
              </w:rPr>
              <w:t xml:space="preserve">181 (47.4%)</w:t>
            </w:r>
          </w:p>
        </w:tc>
        <w:tc>
          <w:tcPr>
            <w:tcW w:type="dxa" w:w="1223"/>
          </w:tcPr>
          <w:p>
            <w:pPr>
              <w:pStyle w:val="Compact"/>
              <w:spacing w:before="20" w:after="20" w:line="240" w:lineRule="auto"/>
              <w:keepNext/>
            </w:pPr>
            <w:r>
              <w:rPr>
                <w:sz w:val="13"/>
                <w:szCs w:val="13"/>
              </w:rPr>
              <w:t xml:space="preserve">53 (13.9%)</w:t>
            </w:r>
          </w:p>
        </w:tc>
        <w:tc>
          <w:tcPr>
            <w:tcW w:type="dxa" w:w="1091"/>
          </w:tcPr>
          <w:p>
            <w:pPr>
              <w:pStyle w:val="Compact"/>
              <w:spacing w:before="20" w:after="20" w:line="240" w:lineRule="auto"/>
              <w:jc w:val="right"/>
              <w:keepNext/>
            </w:pPr>
            <w:r>
              <w:rPr>
                <w:sz w:val="13"/>
                <w:szCs w:val="13"/>
              </w:rPr>
              <w:t xml:space="preserve">61.3</w:t>
            </w:r>
          </w:p>
        </w:tc>
        <w:tc>
          <w:tcPr>
            <w:tcW w:type="dxa" w:w="1771"/>
          </w:tcPr>
          <w:p>
            <w:pPr>
              <w:pStyle w:val="Compact"/>
              <w:spacing w:before="20" w:after="20" w:line="240" w:lineRule="auto"/>
              <w:keepNext/>
            </w:pPr>
            <w:r>
              <w:rPr>
                <w:sz w:val="13"/>
                <w:szCs w:val="13"/>
              </w:rPr>
              <w:t xml:space="preserve">5.99 (4.02)</w:t>
            </w:r>
          </w:p>
        </w:tc>
        <w:tc>
          <w:tcPr>
            <w:tcW w:type="dxa" w:w="1125"/>
          </w:tcPr>
          <w:p>
            <w:pPr>
              <w:pStyle w:val="Compact"/>
              <w:spacing w:before="20" w:after="20" w:line="240" w:lineRule="auto"/>
              <w:jc w:val="right"/>
              <w:keepNext/>
            </w:pPr>
            <w:r>
              <w:rPr>
                <w:sz w:val="13"/>
                <w:szCs w:val="13"/>
              </w:rPr>
              <w:t xml:space="preserve">2020</w:t>
            </w:r>
          </w:p>
        </w:tc>
      </w:tr>
      <w:tr>
        <w:trPr>
          <w:cantSplit/>
        </w:trPr>
        <w:tc>
          <w:tcPr>
            <w:tcW w:type="dxa" w:w="955"/>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23"/>
          </w:tcPr>
          <w:p>
            <w:pPr>
              <w:pStyle w:val="Compact"/>
              <w:spacing w:before="20" w:after="20" w:line="240" w:lineRule="auto"/>
              <w:keepNext/>
            </w:pPr>
            <w:r>
              <w:rPr>
                <w:sz w:val="13"/>
                <w:szCs w:val="13"/>
              </w:rPr>
              <w:t xml:space="preserve">63 (36.0%)</w:t>
            </w:r>
          </w:p>
        </w:tc>
        <w:tc>
          <w:tcPr>
            <w:tcW w:type="dxa" w:w="1223"/>
          </w:tcPr>
          <w:p>
            <w:pPr>
              <w:pStyle w:val="Compact"/>
              <w:spacing w:before="20" w:after="20" w:line="240" w:lineRule="auto"/>
              <w:keepNext/>
            </w:pPr>
            <w:r>
              <w:rPr>
                <w:sz w:val="13"/>
                <w:szCs w:val="13"/>
              </w:rPr>
              <w:t xml:space="preserve">69 (39.4%)</w:t>
            </w:r>
          </w:p>
        </w:tc>
        <w:tc>
          <w:tcPr>
            <w:tcW w:type="dxa" w:w="1223"/>
          </w:tcPr>
          <w:p>
            <w:pPr>
              <w:pStyle w:val="Compact"/>
              <w:spacing w:before="20" w:after="20" w:line="240" w:lineRule="auto"/>
              <w:keepNext/>
            </w:pPr>
            <w:r>
              <w:rPr>
                <w:sz w:val="13"/>
                <w:szCs w:val="13"/>
              </w:rPr>
              <w:t xml:space="preserve">43 (24.6%)</w:t>
            </w:r>
          </w:p>
        </w:tc>
        <w:tc>
          <w:tcPr>
            <w:tcW w:type="dxa" w:w="1091"/>
          </w:tcPr>
          <w:p>
            <w:pPr>
              <w:pStyle w:val="Compact"/>
              <w:spacing w:before="20" w:after="20" w:line="240" w:lineRule="auto"/>
              <w:jc w:val="right"/>
              <w:keepNext/>
            </w:pPr>
            <w:r>
              <w:rPr>
                <w:sz w:val="13"/>
                <w:szCs w:val="13"/>
              </w:rPr>
              <w:t xml:space="preserve">64.0</w:t>
            </w:r>
          </w:p>
        </w:tc>
        <w:tc>
          <w:tcPr>
            <w:tcW w:type="dxa" w:w="1771"/>
          </w:tcPr>
          <w:p>
            <w:pPr>
              <w:pStyle w:val="Compact"/>
              <w:spacing w:before="20" w:after="20" w:line="240" w:lineRule="auto"/>
              <w:keepNext/>
            </w:pPr>
            <w:r>
              <w:rPr>
                <w:sz w:val="13"/>
                <w:szCs w:val="13"/>
              </w:rPr>
              <w:t xml:space="preserve">4.83 (3.39)</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23"/>
          </w:tcPr>
          <w:p>
            <w:pPr>
              <w:pStyle w:val="Compact"/>
              <w:spacing w:before="20" w:after="20" w:line="240" w:lineRule="auto"/>
              <w:keepNext/>
            </w:pPr>
            <w:r>
              <w:rPr>
                <w:sz w:val="13"/>
                <w:szCs w:val="13"/>
              </w:rPr>
              <w:t xml:space="preserve">43 (38.1%)</w:t>
            </w:r>
          </w:p>
        </w:tc>
        <w:tc>
          <w:tcPr>
            <w:tcW w:type="dxa" w:w="1223"/>
          </w:tcPr>
          <w:p>
            <w:pPr>
              <w:pStyle w:val="Compact"/>
              <w:spacing w:before="20" w:after="20" w:line="240" w:lineRule="auto"/>
              <w:keepNext/>
            </w:pPr>
            <w:r>
              <w:rPr>
                <w:sz w:val="13"/>
                <w:szCs w:val="13"/>
              </w:rPr>
              <w:t xml:space="preserve">46 (40.7%)</w:t>
            </w:r>
          </w:p>
        </w:tc>
        <w:tc>
          <w:tcPr>
            <w:tcW w:type="dxa" w:w="1223"/>
          </w:tcPr>
          <w:p>
            <w:pPr>
              <w:pStyle w:val="Compact"/>
              <w:spacing w:before="20" w:after="20" w:line="240" w:lineRule="auto"/>
              <w:keepNext/>
            </w:pPr>
            <w:r>
              <w:rPr>
                <w:sz w:val="13"/>
                <w:szCs w:val="13"/>
              </w:rPr>
              <w:t xml:space="preserve">24 (21.2%)</w:t>
            </w:r>
          </w:p>
        </w:tc>
        <w:tc>
          <w:tcPr>
            <w:tcW w:type="dxa" w:w="1091"/>
          </w:tcPr>
          <w:p>
            <w:pPr>
              <w:pStyle w:val="Compact"/>
              <w:spacing w:before="20" w:after="20" w:line="240" w:lineRule="auto"/>
              <w:jc w:val="right"/>
              <w:keepNext/>
            </w:pPr>
            <w:r>
              <w:rPr>
                <w:sz w:val="13"/>
                <w:szCs w:val="13"/>
              </w:rPr>
              <w:t xml:space="preserve">61.9</w:t>
            </w:r>
          </w:p>
        </w:tc>
        <w:tc>
          <w:tcPr>
            <w:tcW w:type="dxa" w:w="1771"/>
          </w:tcPr>
          <w:p>
            <w:pPr>
              <w:pStyle w:val="Compact"/>
              <w:spacing w:before="20" w:after="20" w:line="240" w:lineRule="auto"/>
              <w:keepNext/>
            </w:pPr>
            <w:r>
              <w:rPr>
                <w:sz w:val="13"/>
                <w:szCs w:val="13"/>
              </w:rPr>
              <w:t xml:space="preserve">5.04 (3.57)</w:t>
            </w:r>
          </w:p>
        </w:tc>
        <w:tc>
          <w:tcPr>
            <w:tcW w:type="dxa" w:w="1125"/>
          </w:tcPr>
          <w:p>
            <w:pPr>
              <w:pStyle w:val="Compact"/>
              <w:spacing w:before="20" w:after="20" w:line="240" w:lineRule="auto"/>
              <w:jc w:val="right"/>
              <w:keepNext/>
            </w:pPr>
            <w:r>
              <w:rPr>
                <w:sz w:val="13"/>
                <w:szCs w:val="13"/>
              </w:rPr>
              <w:t xml:space="preserve">2022</w:t>
            </w:r>
          </w:p>
        </w:tc>
      </w:tr>
      <w:tr>
        <w:trPr>
          <w:cantSplit/>
        </w:trPr>
        <w:tc>
          <w:tcPr>
            <w:tcW w:type="dxa" w:w="955"/>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23"/>
          </w:tcPr>
          <w:p>
            <w:pPr>
              <w:pStyle w:val="Compact"/>
              <w:spacing w:before="20" w:after="20" w:line="240" w:lineRule="auto"/>
              <w:keepNext/>
            </w:pPr>
            <w:r>
              <w:rPr>
                <w:sz w:val="13"/>
                <w:szCs w:val="13"/>
              </w:rPr>
              <w:t xml:space="preserve">29 (34.9%)</w:t>
            </w:r>
          </w:p>
        </w:tc>
        <w:tc>
          <w:tcPr>
            <w:tcW w:type="dxa" w:w="1223"/>
          </w:tcPr>
          <w:p>
            <w:pPr>
              <w:pStyle w:val="Compact"/>
              <w:spacing w:before="20" w:after="20" w:line="240" w:lineRule="auto"/>
              <w:keepNext/>
            </w:pPr>
            <w:r>
              <w:rPr>
                <w:sz w:val="13"/>
                <w:szCs w:val="13"/>
              </w:rPr>
              <w:t xml:space="preserve">44 (53.0%)</w:t>
            </w:r>
          </w:p>
        </w:tc>
        <w:tc>
          <w:tcPr>
            <w:tcW w:type="dxa" w:w="1223"/>
          </w:tcPr>
          <w:p>
            <w:pPr>
              <w:pStyle w:val="Compact"/>
              <w:spacing w:before="20" w:after="20" w:line="240" w:lineRule="auto"/>
              <w:keepNext/>
            </w:pPr>
            <w:r>
              <w:rPr>
                <w:sz w:val="13"/>
                <w:szCs w:val="13"/>
              </w:rPr>
              <w:t xml:space="preserve">10 (12.0%)</w:t>
            </w:r>
          </w:p>
        </w:tc>
        <w:tc>
          <w:tcPr>
            <w:tcW w:type="dxa" w:w="1091"/>
          </w:tcPr>
          <w:p>
            <w:pPr>
              <w:pStyle w:val="Compact"/>
              <w:spacing w:before="20" w:after="20" w:line="240" w:lineRule="auto"/>
              <w:jc w:val="right"/>
              <w:keepNext/>
            </w:pPr>
            <w:r>
              <w:rPr>
                <w:sz w:val="13"/>
                <w:szCs w:val="13"/>
              </w:rPr>
              <w:t xml:space="preserve">65.1</w:t>
            </w:r>
          </w:p>
        </w:tc>
        <w:tc>
          <w:tcPr>
            <w:tcW w:type="dxa" w:w="1771"/>
          </w:tcPr>
          <w:p>
            <w:pPr>
              <w:pStyle w:val="Compact"/>
              <w:spacing w:before="20" w:after="20" w:line="240" w:lineRule="auto"/>
              <w:keepNext/>
            </w:pPr>
            <w:r>
              <w:rPr>
                <w:sz w:val="13"/>
                <w:szCs w:val="13"/>
              </w:rPr>
              <w:t xml:space="preserve">5.94 (3.75)</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23"/>
          </w:tcPr>
          <w:p>
            <w:pPr>
              <w:pStyle w:val="Compact"/>
              <w:spacing w:before="20" w:after="20" w:line="240" w:lineRule="auto"/>
              <w:keepNext/>
            </w:pPr>
            <w:r>
              <w:rPr>
                <w:sz w:val="13"/>
                <w:szCs w:val="13"/>
              </w:rPr>
              <w:t xml:space="preserve">24 (32.0%)</w:t>
            </w:r>
          </w:p>
        </w:tc>
        <w:tc>
          <w:tcPr>
            <w:tcW w:type="dxa" w:w="1223"/>
          </w:tcPr>
          <w:p>
            <w:pPr>
              <w:pStyle w:val="Compact"/>
              <w:spacing w:before="20" w:after="20" w:line="240" w:lineRule="auto"/>
              <w:keepNext/>
            </w:pPr>
            <w:r>
              <w:rPr>
                <w:sz w:val="13"/>
                <w:szCs w:val="13"/>
              </w:rPr>
              <w:t xml:space="preserve">39 (52.0%)</w:t>
            </w:r>
          </w:p>
        </w:tc>
        <w:tc>
          <w:tcPr>
            <w:tcW w:type="dxa" w:w="1223"/>
          </w:tcPr>
          <w:p>
            <w:pPr>
              <w:pStyle w:val="Compact"/>
              <w:spacing w:before="20" w:after="20" w:line="240" w:lineRule="auto"/>
              <w:keepNext/>
            </w:pPr>
            <w:r>
              <w:rPr>
                <w:sz w:val="13"/>
                <w:szCs w:val="13"/>
              </w:rPr>
              <w:t xml:space="preserve">12 (16.0%)</w:t>
            </w:r>
          </w:p>
        </w:tc>
        <w:tc>
          <w:tcPr>
            <w:tcW w:type="dxa" w:w="1091"/>
          </w:tcPr>
          <w:p>
            <w:pPr>
              <w:pStyle w:val="Compact"/>
              <w:spacing w:before="20" w:after="20" w:line="240" w:lineRule="auto"/>
              <w:jc w:val="right"/>
              <w:keepNext/>
            </w:pPr>
            <w:r>
              <w:rPr>
                <w:sz w:val="13"/>
                <w:szCs w:val="13"/>
              </w:rPr>
              <w:t xml:space="preserve">68.0</w:t>
            </w:r>
          </w:p>
        </w:tc>
        <w:tc>
          <w:tcPr>
            <w:tcW w:type="dxa" w:w="1771"/>
          </w:tcPr>
          <w:p>
            <w:pPr>
              <w:pStyle w:val="Compact"/>
              <w:spacing w:before="20" w:after="20" w:line="240" w:lineRule="auto"/>
              <w:keepNext/>
            </w:pPr>
            <w:r>
              <w:rPr>
                <w:sz w:val="13"/>
                <w:szCs w:val="13"/>
              </w:rPr>
              <w:t xml:space="preserve">6.27 (4.23)</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23"/>
          </w:tcPr>
          <w:p>
            <w:pPr>
              <w:pStyle w:val="Compact"/>
              <w:spacing w:before="20" w:after="20" w:line="240" w:lineRule="auto"/>
              <w:keepNext/>
            </w:pPr>
            <w:r>
              <w:rPr>
                <w:sz w:val="13"/>
                <w:szCs w:val="13"/>
              </w:rPr>
              <w:t xml:space="preserve">17 (29.3%)</w:t>
            </w:r>
          </w:p>
        </w:tc>
        <w:tc>
          <w:tcPr>
            <w:tcW w:type="dxa" w:w="1223"/>
          </w:tcPr>
          <w:p>
            <w:pPr>
              <w:pStyle w:val="Compact"/>
              <w:spacing w:before="20" w:after="20" w:line="240" w:lineRule="auto"/>
              <w:keepNext/>
            </w:pPr>
            <w:r>
              <w:rPr>
                <w:sz w:val="13"/>
                <w:szCs w:val="13"/>
              </w:rPr>
              <w:t xml:space="preserve">25 (43.1%)</w:t>
            </w:r>
          </w:p>
        </w:tc>
        <w:tc>
          <w:tcPr>
            <w:tcW w:type="dxa" w:w="1223"/>
          </w:tcPr>
          <w:p>
            <w:pPr>
              <w:pStyle w:val="Compact"/>
              <w:spacing w:before="20" w:after="20" w:line="240" w:lineRule="auto"/>
              <w:keepNext/>
            </w:pPr>
            <w:r>
              <w:rPr>
                <w:sz w:val="13"/>
                <w:szCs w:val="13"/>
              </w:rPr>
              <w:t xml:space="preserve">16 (27.6%)</w:t>
            </w:r>
          </w:p>
        </w:tc>
        <w:tc>
          <w:tcPr>
            <w:tcW w:type="dxa" w:w="1091"/>
          </w:tcPr>
          <w:p>
            <w:pPr>
              <w:pStyle w:val="Compact"/>
              <w:spacing w:before="20" w:after="20" w:line="240" w:lineRule="auto"/>
              <w:jc w:val="right"/>
              <w:keepNext/>
            </w:pPr>
            <w:r>
              <w:rPr>
                <w:sz w:val="13"/>
                <w:szCs w:val="13"/>
              </w:rPr>
              <w:t xml:space="preserve">70.7</w:t>
            </w:r>
          </w:p>
        </w:tc>
        <w:tc>
          <w:tcPr>
            <w:tcW w:type="dxa" w:w="1771"/>
          </w:tcPr>
          <w:p>
            <w:pPr>
              <w:pStyle w:val="Compact"/>
              <w:spacing w:before="20" w:after="20" w:line="240" w:lineRule="auto"/>
              <w:keepNext/>
            </w:pPr>
            <w:r>
              <w:rPr>
                <w:sz w:val="13"/>
                <w:szCs w:val="13"/>
              </w:rPr>
              <w:t xml:space="preserve">5.84 (4.64)</w:t>
            </w:r>
          </w:p>
        </w:tc>
        <w:tc>
          <w:tcPr>
            <w:tcW w:type="dxa" w:w="1125"/>
          </w:tcPr>
          <w:p>
            <w:pPr>
              <w:pStyle w:val="Compact"/>
              <w:spacing w:before="20" w:after="20" w:line="240" w:lineRule="auto"/>
              <w:jc w:val="right"/>
              <w:keepNext/>
            </w:pPr>
            <w:r>
              <w:rPr>
                <w:sz w:val="13"/>
                <w:szCs w:val="13"/>
              </w:rPr>
              <w:t xml:space="preserve">2018</w:t>
            </w:r>
          </w:p>
        </w:tc>
      </w:tr>
      <w:tr>
        <w:trPr>
          <w:cantSplit/>
        </w:trPr>
        <w:tc>
          <w:tcPr>
            <w:tcW w:type="dxa" w:w="955"/>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23"/>
          </w:tcPr>
          <w:p>
            <w:pPr>
              <w:pStyle w:val="Compact"/>
              <w:spacing w:before="20" w:after="20" w:line="240" w:lineRule="auto"/>
              <w:keepNext/>
            </w:pPr>
            <w:r>
              <w:rPr>
                <w:sz w:val="13"/>
                <w:szCs w:val="13"/>
              </w:rPr>
              <w:t xml:space="preserve">10 (38.5%)</w:t>
            </w:r>
          </w:p>
        </w:tc>
        <w:tc>
          <w:tcPr>
            <w:tcW w:type="dxa" w:w="1223"/>
          </w:tcPr>
          <w:p>
            <w:pPr>
              <w:pStyle w:val="Compact"/>
              <w:spacing w:before="20" w:after="20" w:line="240" w:lineRule="auto"/>
              <w:keepNext/>
            </w:pPr>
            <w:r>
              <w:rPr>
                <w:sz w:val="13"/>
                <w:szCs w:val="13"/>
              </w:rPr>
              <w:t xml:space="preserve">13 (50.0%)</w:t>
            </w:r>
          </w:p>
        </w:tc>
        <w:tc>
          <w:tcPr>
            <w:tcW w:type="dxa" w:w="1223"/>
          </w:tcPr>
          <w:p>
            <w:pPr>
              <w:pStyle w:val="Compact"/>
              <w:spacing w:before="20" w:after="20" w:line="240" w:lineRule="auto"/>
              <w:keepNext/>
            </w:pPr>
            <w:r>
              <w:rPr>
                <w:sz w:val="13"/>
                <w:szCs w:val="13"/>
              </w:rPr>
              <w:t xml:space="preserve">3 (11.5%)</w:t>
            </w:r>
          </w:p>
        </w:tc>
        <w:tc>
          <w:tcPr>
            <w:tcW w:type="dxa" w:w="1091"/>
          </w:tcPr>
          <w:p>
            <w:pPr>
              <w:pStyle w:val="Compact"/>
              <w:spacing w:before="20" w:after="20" w:line="240" w:lineRule="auto"/>
              <w:jc w:val="right"/>
              <w:keepNext/>
            </w:pPr>
            <w:r>
              <w:rPr>
                <w:sz w:val="13"/>
                <w:szCs w:val="13"/>
              </w:rPr>
              <w:t xml:space="preserve">61.5</w:t>
            </w:r>
          </w:p>
        </w:tc>
        <w:tc>
          <w:tcPr>
            <w:tcW w:type="dxa" w:w="1771"/>
          </w:tcPr>
          <w:p>
            <w:pPr>
              <w:pStyle w:val="Compact"/>
              <w:spacing w:before="20" w:after="20" w:line="240" w:lineRule="auto"/>
              <w:keepNext/>
            </w:pPr>
            <w:r>
              <w:rPr>
                <w:sz w:val="13"/>
                <w:szCs w:val="13"/>
              </w:rPr>
              <w:t xml:space="preserve">6.88 (7.00)</w:t>
            </w:r>
          </w:p>
        </w:tc>
        <w:tc>
          <w:tcPr>
            <w:tcW w:type="dxa" w:w="1125"/>
          </w:tcPr>
          <w:p>
            <w:pPr>
              <w:pStyle w:val="Compact"/>
              <w:spacing w:before="20" w:after="20" w:line="240" w:lineRule="auto"/>
              <w:jc w:val="right"/>
              <w:keepNext/>
            </w:pPr>
            <w:r>
              <w:rPr>
                <w:sz w:val="13"/>
                <w:szCs w:val="13"/>
              </w:rPr>
              <w:t xml:space="preserve">2011.5</w:t>
            </w:r>
          </w:p>
        </w:tc>
      </w:tr>
      <w:tr>
        <w:trPr>
          <w:cantSplit/>
        </w:trPr>
        <w:tc>
          <w:tcPr>
            <w:tcW w:type="dxa" w:w="955"/>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23"/>
          </w:tcPr>
          <w:p>
            <w:pPr>
              <w:pStyle w:val="Compact"/>
              <w:spacing w:before="20" w:after="20" w:line="240" w:lineRule="auto"/>
              <w:keepNext/>
            </w:pPr>
            <w:r>
              <w:rPr>
                <w:sz w:val="13"/>
                <w:szCs w:val="13"/>
              </w:rPr>
              <w:t xml:space="preserve">4 (25.0%)</w:t>
            </w:r>
          </w:p>
        </w:tc>
        <w:tc>
          <w:tcPr>
            <w:tcW w:type="dxa" w:w="1223"/>
          </w:tcPr>
          <w:p>
            <w:pPr>
              <w:pStyle w:val="Compact"/>
              <w:spacing w:before="20" w:after="20" w:line="240" w:lineRule="auto"/>
              <w:keepNext/>
            </w:pPr>
            <w:r>
              <w:rPr>
                <w:sz w:val="13"/>
                <w:szCs w:val="13"/>
              </w:rPr>
              <w:t xml:space="preserve">8 (50.0%)</w:t>
            </w:r>
          </w:p>
        </w:tc>
        <w:tc>
          <w:tcPr>
            <w:tcW w:type="dxa" w:w="1223"/>
          </w:tcPr>
          <w:p>
            <w:pPr>
              <w:pStyle w:val="Compact"/>
              <w:spacing w:before="20" w:after="20" w:line="240" w:lineRule="auto"/>
              <w:keepNext/>
            </w:pPr>
            <w:r>
              <w:rPr>
                <w:sz w:val="13"/>
                <w:szCs w:val="13"/>
              </w:rPr>
              <w:t xml:space="preserve">4 (25.0%)</w:t>
            </w:r>
          </w:p>
        </w:tc>
        <w:tc>
          <w:tcPr>
            <w:tcW w:type="dxa" w:w="1091"/>
          </w:tcPr>
          <w:p>
            <w:pPr>
              <w:pStyle w:val="Compact"/>
              <w:spacing w:before="20" w:after="20" w:line="240" w:lineRule="auto"/>
              <w:jc w:val="right"/>
              <w:keepNext/>
            </w:pPr>
            <w:r>
              <w:rPr>
                <w:sz w:val="13"/>
                <w:szCs w:val="13"/>
              </w:rPr>
              <w:t xml:space="preserve">75.0</w:t>
            </w:r>
          </w:p>
        </w:tc>
        <w:tc>
          <w:tcPr>
            <w:tcW w:type="dxa" w:w="1771"/>
          </w:tcPr>
          <w:p>
            <w:pPr>
              <w:pStyle w:val="Compact"/>
              <w:spacing w:before="20" w:after="20" w:line="240" w:lineRule="auto"/>
              <w:keepNext/>
            </w:pPr>
            <w:r>
              <w:rPr>
                <w:sz w:val="13"/>
                <w:szCs w:val="13"/>
              </w:rPr>
              <w:t xml:space="preserve">5.81 (6.23)</w:t>
            </w:r>
          </w:p>
        </w:tc>
        <w:tc>
          <w:tcPr>
            <w:tcW w:type="dxa" w:w="1125"/>
          </w:tcPr>
          <w:p>
            <w:pPr>
              <w:pStyle w:val="Compact"/>
              <w:spacing w:before="20" w:after="20" w:line="240" w:lineRule="auto"/>
              <w:jc w:val="right"/>
              <w:keepNext/>
            </w:pPr>
            <w:r>
              <w:rPr>
                <w:sz w:val="13"/>
                <w:szCs w:val="13"/>
              </w:rPr>
              <w:t xml:space="preserve">2015.5</w:t>
            </w:r>
          </w:p>
        </w:tc>
      </w:tr>
      <w:tr>
        <w:trPr>
          <w:cantSplit/>
        </w:trPr>
        <w:tc>
          <w:tcPr>
            <w:tcW w:type="dxa" w:w="955"/>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23"/>
          </w:tcPr>
          <w:p>
            <w:pPr>
              <w:pStyle w:val="Compact"/>
              <w:spacing w:before="20" w:after="20" w:line="240" w:lineRule="auto"/>
              <w:keepNext/>
            </w:pPr>
            <w:r>
              <w:rPr>
                <w:sz w:val="13"/>
                <w:szCs w:val="13"/>
              </w:rPr>
              <w:t xml:space="preserve">338 (36.4%)</w:t>
            </w:r>
          </w:p>
        </w:tc>
        <w:tc>
          <w:tcPr>
            <w:tcW w:type="dxa" w:w="1223"/>
          </w:tcPr>
          <w:p>
            <w:pPr>
              <w:pStyle w:val="Compact"/>
              <w:spacing w:before="20" w:after="20" w:line="240" w:lineRule="auto"/>
              <w:keepNext/>
            </w:pPr>
            <w:r>
              <w:rPr>
                <w:sz w:val="13"/>
                <w:szCs w:val="13"/>
              </w:rPr>
              <w:t xml:space="preserve">425 (45.8%)</w:t>
            </w:r>
          </w:p>
        </w:tc>
        <w:tc>
          <w:tcPr>
            <w:tcW w:type="dxa" w:w="1223"/>
          </w:tcPr>
          <w:p>
            <w:pPr>
              <w:pStyle w:val="Compact"/>
              <w:spacing w:before="20" w:after="20" w:line="240" w:lineRule="auto"/>
              <w:keepNext/>
            </w:pPr>
            <w:r>
              <w:rPr>
                <w:sz w:val="13"/>
                <w:szCs w:val="13"/>
              </w:rPr>
              <w:t xml:space="preserve">165 (17.8%)</w:t>
            </w:r>
          </w:p>
        </w:tc>
        <w:tc>
          <w:tcPr>
            <w:tcW w:type="dxa" w:w="1091"/>
          </w:tcPr>
          <w:p>
            <w:pPr>
              <w:pStyle w:val="Compact"/>
              <w:spacing w:before="20" w:after="20" w:line="240" w:lineRule="auto"/>
              <w:jc w:val="right"/>
              <w:keepNext/>
            </w:pPr>
            <w:r>
              <w:rPr>
                <w:sz w:val="13"/>
                <w:szCs w:val="13"/>
              </w:rPr>
              <w:t xml:space="preserve">63.6</w:t>
            </w:r>
          </w:p>
        </w:tc>
        <w:tc>
          <w:tcPr>
            <w:tcW w:type="dxa" w:w="1771"/>
          </w:tcPr>
          <w:p>
            <w:pPr>
              <w:pStyle w:val="Compact"/>
              <w:spacing w:before="20" w:after="20" w:line="240" w:lineRule="auto"/>
              <w:keepNext/>
            </w:pPr>
            <w:r>
              <w:rPr>
                <w:sz w:val="13"/>
                <w:szCs w:val="13"/>
              </w:rPr>
              <w:t xml:space="preserve">5.69 (4.07)</w:t>
            </w:r>
          </w:p>
        </w:tc>
        <w:tc>
          <w:tcPr>
            <w:tcW w:type="dxa" w:w="1125"/>
          </w:tcPr>
          <w:p>
            <w:pPr>
              <w:pStyle w:val="Compact"/>
              <w:spacing w:before="20" w:after="20" w:line="240" w:lineRule="auto"/>
              <w:jc w:val="right"/>
              <w:keepNext/>
            </w:pPr>
            <w:r>
              <w:rPr>
                <w:sz w:val="13"/>
                <w:szCs w:val="13"/>
              </w:rPr>
              <w:t xml:space="preserve">2021</w:t>
            </w:r>
          </w:p>
        </w:tc>
      </w:tr>
    </w:tbl>
    <w:p>
      <w:pPr>
        <w:pStyle w:val="BodyText"/>
      </w:pPr>
      <w:r>
        <w:t xml:space="preserve">미국, 중국 등은 국가 특허청이고 WO와 EP는 국제·지역 출원 경로이므로, 출원청 변수 전체는 출원청과 출원 경로의 구분이며 관할권 비교는 국가 특허청 사이, 특히 미국과 중국의 비교에 한정한다. 출원청 계수는 출원청 자체의 인과효과를 식별하지 않는다. 출원인, 기업 유형, 공식 패밀리 정보를 통제하지 못하므로, 이 계수는 해당 출원청에 제출된 발명 포트폴리오의 조건부 구성 차이로 해석한다.</w:t>
      </w:r>
    </w:p>
    <w:bookmarkEnd w:id="26"/>
    <w:bookmarkStart w:id="27" w:name="분석-방법"/>
    <w:p>
      <w:pPr>
        <w:pStyle w:val="Heading3"/>
      </w:pPr>
      <w:r>
        <w:t xml:space="preserve">4.4 분석 방법</w:t>
      </w:r>
    </w:p>
    <w:p>
      <w:pPr>
        <w:pStyle w:val="FirstParagraph"/>
      </w:pPr>
      <w:r>
        <w:t xml:space="preserve">종속변수의 성격에 맞추어 세 가지 모형을 쓴다. 첫째, 기술범위는 카운트 변수이므로 음이항 회귀로 추정한다. 표본의 분산이 평균보다 훨씬 커서(과산포 모수 α = 0.268, 표준오차 0.020) Poisson 대신 음이항을 쓰며, 계수의 지수인 발생률비(IRR)로 해석한다(Cameron and Trivedi, 2013). 선형 회귀와 Poisson 추정치는 부록 A에 실었고, 부호와 유의성은 같다. 둘째, 제조공정 분류 여부는 이항 로짓으로 추정하고 승산비(OR)로 보고한다. 셋째, 세 공동분류 유형은 조립 단독형을 기준으로 하는 다항 로짓(McFadden, 1974)으로 추정하고 상대위험비(RRR)로 보고한다. 다항 로짓이 H1, H2, H3b의 본 검정이며, H3a는 음이항으로 검정한다. 기준 모형은 이용 가능한 전체 출원을 쓴다는 원칙에 따라 2024년까지 포함하되, 2023–2024년 출원은 공개와 분류가 완결되지 않았을 수 있으므로 이 두 해를 제외한 결과를 가설 판정에 함께 반영한다. 모든 모형의 설명변수는 출원연도와 출원청 더미이고, 로짓 모형에는 기술범위가 추가된다. 비율 척도의 계수만으로는 크기를 가늠하기 어려우므로, 다항 로짓에 대해서는 기술범위, 출원연도, 출원청을 바꾸었을 때의 유형별 예측확률도 함께 제시한다. 다항 로짓은 무관 대안의 독립성(IIA)을 가정한다. 정식 IIA 검정 대신, 한 대안을 제외했을 때 실질적 해석이 달라지는지를 간접적으로 살피는 대안 제외 민감도 분석을 부록 B에 두었다. 같은 제목의 출원이 독립이 아닐 가능성에 대해서는 동일 제목 군집 표준오차로 유의성을 다시 확인한다. 가설 판정에는 5% 유의수준을 쓴다. 표본과 변수 정의에 따라 결과가 달라지는지는 제5.4절에서 확인한다.</w:t>
      </w:r>
    </w:p>
    <w:bookmarkEnd w:id="27"/>
    <w:bookmarkEnd w:id="28"/>
    <w:bookmarkStart w:id="46" w:name="결과"/>
    <w:p>
      <w:pPr>
        <w:pStyle w:val="Heading2"/>
      </w:pPr>
      <w:r>
        <w:t xml:space="preserve">5. 결과</w:t>
      </w:r>
    </w:p>
    <w:bookmarkStart w:id="32" w:name="기술범위"/>
    <w:p>
      <w:pPr>
        <w:pStyle w:val="Heading3"/>
      </w:pPr>
      <w:r>
        <w:t xml:space="preserve">5.1 기술범위</w:t>
      </w:r>
    </w:p>
    <w:p>
      <w:pPr>
        <w:pStyle w:val="FirstParagraph"/>
      </w:pPr>
      <w:r>
        <w:t xml:space="preserve">표 5는 기술범위의 음이항 추정 결과다. 두 가지가 눈에 띈다. 첫째, 미국 출원청 기준으로 중국 출원청 출원은 기술범위가 약 21% 좁고(IRR 0.785, p &lt; 0.01), PCT 경로 출원은 약 17% 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H3a를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5.</w:t>
      </w:r>
      <w:r>
        <w:t xml:space="preserve"> </w:t>
      </w:r>
      <w:r>
        <w:t xml:space="preserve">기술범위의 관련 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1.015***</w:t>
            </w:r>
          </w:p>
        </w:tc>
        <w:tc>
          <w:tcPr>
            <w:tcW w:type="dxa" w:w="2771"/>
          </w:tcPr>
          <w:p>
            <w:pPr>
              <w:pStyle w:val="Compact"/>
              <w:spacing w:before="20" w:after="20" w:line="240" w:lineRule="auto"/>
              <w:jc w:val="center"/>
              <w:keepNext/>
            </w:pPr>
            <w:r>
              <w:rPr>
                <w:sz w:val="18"/>
                <w:szCs w:val="18"/>
              </w:rPr>
              <w:t xml:space="preserve">(0.003)</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0.785***</w:t>
            </w:r>
          </w:p>
        </w:tc>
        <w:tc>
          <w:tcPr>
            <w:tcW w:type="dxa" w:w="2771"/>
          </w:tcPr>
          <w:p>
            <w:pPr>
              <w:pStyle w:val="Compact"/>
              <w:spacing w:before="20" w:after="20" w:line="240" w:lineRule="auto"/>
              <w:jc w:val="center"/>
              <w:keepNext/>
            </w:pPr>
            <w:r>
              <w:rPr>
                <w:sz w:val="18"/>
                <w:szCs w:val="18"/>
              </w:rPr>
              <w:t xml:space="preserve">(0.062)</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1.018</w:t>
            </w:r>
          </w:p>
        </w:tc>
        <w:tc>
          <w:tcPr>
            <w:tcW w:type="dxa" w:w="2771"/>
          </w:tcPr>
          <w:p>
            <w:pPr>
              <w:pStyle w:val="Compact"/>
              <w:spacing w:before="20" w:after="20" w:line="240" w:lineRule="auto"/>
              <w:jc w:val="center"/>
              <w:keepNext/>
            </w:pPr>
            <w:r>
              <w:rPr>
                <w:sz w:val="18"/>
                <w:szCs w:val="18"/>
              </w:rPr>
              <w:t xml:space="preserve">(0.094)</w:t>
            </w:r>
          </w:p>
        </w:tc>
        <w:tc>
          <w:tcPr>
            <w:tcW w:type="dxa" w:w="1539"/>
          </w:tcPr>
          <w:p>
            <w:pPr>
              <w:pStyle w:val="Compact"/>
              <w:spacing w:before="20" w:after="20" w:line="240" w:lineRule="auto"/>
              <w:jc w:val="center"/>
              <w:keepNext/>
            </w:pPr>
            <w:r>
              <w:rPr>
                <w:sz w:val="18"/>
                <w:szCs w:val="18"/>
              </w:rPr>
              <w:t xml:space="preserve">0.853</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1.021</w:t>
            </w:r>
          </w:p>
        </w:tc>
        <w:tc>
          <w:tcPr>
            <w:tcW w:type="dxa" w:w="2771"/>
          </w:tcPr>
          <w:p>
            <w:pPr>
              <w:pStyle w:val="Compact"/>
              <w:spacing w:before="20" w:after="20" w:line="240" w:lineRule="auto"/>
              <w:jc w:val="center"/>
              <w:keepNext/>
            </w:pPr>
            <w:r>
              <w:rPr>
                <w:sz w:val="18"/>
                <w:szCs w:val="18"/>
              </w:rPr>
              <w:t xml:space="preserve">(0.083)</w:t>
            </w:r>
          </w:p>
        </w:tc>
        <w:tc>
          <w:tcPr>
            <w:tcW w:type="dxa" w:w="1539"/>
          </w:tcPr>
          <w:p>
            <w:pPr>
              <w:pStyle w:val="Compact"/>
              <w:spacing w:before="20" w:after="20" w:line="240" w:lineRule="auto"/>
              <w:jc w:val="center"/>
              <w:keepNext/>
            </w:pPr>
            <w:r>
              <w:rPr>
                <w:sz w:val="18"/>
                <w:szCs w:val="18"/>
              </w:rPr>
              <w:t xml:space="preserve">0.801</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1.270*</w:t>
            </w:r>
          </w:p>
        </w:tc>
        <w:tc>
          <w:tcPr>
            <w:tcW w:type="dxa" w:w="2771"/>
          </w:tcPr>
          <w:p>
            <w:pPr>
              <w:pStyle w:val="Compact"/>
              <w:spacing w:before="20" w:after="20" w:line="240" w:lineRule="auto"/>
              <w:jc w:val="center"/>
              <w:keepNext/>
            </w:pPr>
            <w:r>
              <w:rPr>
                <w:sz w:val="18"/>
                <w:szCs w:val="18"/>
              </w:rPr>
              <w:t xml:space="preserve">(0.133)</w:t>
            </w:r>
          </w:p>
        </w:tc>
        <w:tc>
          <w:tcPr>
            <w:tcW w:type="dxa" w:w="1539"/>
          </w:tcPr>
          <w:p>
            <w:pPr>
              <w:pStyle w:val="Compact"/>
              <w:spacing w:before="20" w:after="20" w:line="240" w:lineRule="auto"/>
              <w:jc w:val="center"/>
              <w:keepNext/>
            </w:pPr>
            <w:r>
              <w:rPr>
                <w:sz w:val="18"/>
                <w:szCs w:val="18"/>
              </w:rPr>
              <w:t xml:space="preserve">0.073</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0.993</w:t>
            </w:r>
          </w:p>
        </w:tc>
        <w:tc>
          <w:tcPr>
            <w:tcW w:type="dxa" w:w="2771"/>
          </w:tcPr>
          <w:p>
            <w:pPr>
              <w:pStyle w:val="Compact"/>
              <w:spacing w:before="20" w:after="20" w:line="240" w:lineRule="auto"/>
              <w:jc w:val="center"/>
              <w:keepNext/>
            </w:pPr>
            <w:r>
              <w:rPr>
                <w:sz w:val="18"/>
                <w:szCs w:val="18"/>
              </w:rPr>
              <w:t xml:space="preserve">(0.080)</w:t>
            </w:r>
          </w:p>
        </w:tc>
        <w:tc>
          <w:tcPr>
            <w:tcW w:type="dxa" w:w="1539"/>
          </w:tcPr>
          <w:p>
            <w:pPr>
              <w:pStyle w:val="Compact"/>
              <w:spacing w:before="20" w:after="20" w:line="240" w:lineRule="auto"/>
              <w:jc w:val="center"/>
              <w:keepNext/>
            </w:pPr>
            <w:r>
              <w:rPr>
                <w:sz w:val="18"/>
                <w:szCs w:val="18"/>
              </w:rPr>
              <w:t xml:space="preserve">0.933</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0.826***</w:t>
            </w:r>
          </w:p>
        </w:tc>
        <w:tc>
          <w:tcPr>
            <w:tcW w:type="dxa" w:w="2771"/>
          </w:tcPr>
          <w:p>
            <w:pPr>
              <w:pStyle w:val="Compact"/>
              <w:spacing w:before="20" w:after="20" w:line="240" w:lineRule="auto"/>
              <w:jc w:val="center"/>
              <w:keepNext/>
            </w:pPr>
            <w:r>
              <w:rPr>
                <w:sz w:val="18"/>
                <w:szCs w:val="18"/>
              </w:rPr>
              <w:t xml:space="preserve">(0.073)</w:t>
            </w:r>
          </w:p>
        </w:tc>
        <w:tc>
          <w:tcPr>
            <w:tcW w:type="dxa" w:w="1539"/>
          </w:tcPr>
          <w:p>
            <w:pPr>
              <w:pStyle w:val="Compact"/>
              <w:spacing w:before="20" w:after="20" w:line="240" w:lineRule="auto"/>
              <w:jc w:val="center"/>
              <w:keepNext/>
            </w:pPr>
            <w:r>
              <w:rPr>
                <w:sz w:val="18"/>
                <w:szCs w:val="18"/>
              </w:rPr>
              <w:t xml:space="preserve">0.009</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1.057</w:t>
            </w:r>
          </w:p>
        </w:tc>
        <w:tc>
          <w:tcPr>
            <w:tcW w:type="dxa" w:w="2771"/>
          </w:tcPr>
          <w:p>
            <w:pPr>
              <w:pStyle w:val="Compact"/>
              <w:spacing w:before="20" w:after="20" w:line="240" w:lineRule="auto"/>
              <w:jc w:val="center"/>
              <w:keepNext/>
            </w:pPr>
            <w:r>
              <w:rPr>
                <w:sz w:val="18"/>
                <w:szCs w:val="18"/>
              </w:rPr>
              <w:t xml:space="preserve">(0.171)</w:t>
            </w:r>
          </w:p>
        </w:tc>
        <w:tc>
          <w:tcPr>
            <w:tcW w:type="dxa" w:w="1539"/>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30" name="Picture"/>
            <a:graphic>
              <a:graphicData uri="http://schemas.openxmlformats.org/drawingml/2006/picture">
                <pic:pic>
                  <pic:nvPicPr>
                    <pic:cNvPr descr="figures/fig4_predicted_breadth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델타법 95% 신뢰구간; 출원청별 N은 표 4. 일본과 기타는 표본이 작아 구간이 넓다).</w:t>
      </w:r>
    </w:p>
    <w:bookmarkEnd w:id="32"/>
    <w:bookmarkStart w:id="33" w:name="제조공정-분류-여부"/>
    <w:p>
      <w:pPr>
        <w:pStyle w:val="Heading3"/>
      </w:pPr>
      <w:r>
        <w:t xml:space="preserve">5.2 제조공정 분류 여부</w:t>
      </w:r>
    </w:p>
    <w:p>
      <w:pPr>
        <w:pStyle w:val="FirstParagraph"/>
      </w:pPr>
      <w:r>
        <w:t xml:space="preserve">표 6은 출원이 제조공정 기호(H01L21)를 가지는지에 대한 이항 로짓이다. 기술범위가 가장 강한 관련 변수다. 세부 분류가 하나 늘 때마다 제조공정 기호를 가질 승산이 약 27% 높아진다(OR 1.267, p &lt; 0.01). 출원연도의 승산비는 1보다 작아(연간 OR 0.946, p &lt; 0.01), 최근 출원일수록 제조공정 기호를 가질 승산이 낮다. 출원청 가운데는 중국만 미국과 유의하게 달라서, 제조공정 기호를 가질 승산이 65% 높다(OR 1.650, p &lt; 0.05). 모형의 판별력을 나타내는 ROC 곡선 하면적은 0.707로, Hosmer et al.(2013)의 기준에서 받아들일 만한 수준의 하한에 해당한다. 표 6의 이항 로짓은 제조공정 분류의 전반적 보유 여부를 확인하는 보완분석이며, 공동분류 유형에 관한 H1, H2와 H3b의 본 검정은 제5.3절의 다항 로짓이다.</w:t>
      </w:r>
    </w:p>
    <w:p>
      <w:pPr>
        <w:pStyle w:val="BodyText"/>
        <w:keepNext/>
      </w:pPr>
      <w:r>
        <w:rPr>
          <w:b/>
          <w:bCs/>
        </w:rPr>
        <w:t xml:space="preserve">표 6.</w:t>
      </w:r>
      <w:r>
        <w:t xml:space="preserve"> </w:t>
      </w:r>
      <w:r>
        <w:t xml:space="preserve">제조공정 분류 여부의 이항 로짓(종속변수 has_process; N = 928; 출원청 기준 = 미국; 로그우도 −547.6; 우도비 χ²(9) = 122.0, p &lt; 0.001; McFadden 의사 R² = 0.100;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0.946***</w:t>
            </w:r>
          </w:p>
        </w:tc>
        <w:tc>
          <w:tcPr>
            <w:tcW w:type="dxa" w:w="2771"/>
          </w:tcPr>
          <w:p>
            <w:pPr>
              <w:pStyle w:val="Compact"/>
              <w:spacing w:before="20" w:after="20" w:line="240" w:lineRule="auto"/>
              <w:jc w:val="center"/>
              <w:keepNext/>
            </w:pPr>
            <w:r>
              <w:rPr>
                <w:sz w:val="18"/>
                <w:szCs w:val="18"/>
              </w:rPr>
              <w:t xml:space="preserve">(0.011)</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기술범위</w:t>
            </w:r>
          </w:p>
        </w:tc>
        <w:tc>
          <w:tcPr>
            <w:tcW w:type="dxa" w:w="1679"/>
          </w:tcPr>
          <w:p>
            <w:pPr>
              <w:pStyle w:val="Compact"/>
              <w:spacing w:before="20" w:after="20" w:line="240" w:lineRule="auto"/>
              <w:jc w:val="center"/>
              <w:keepNext/>
            </w:pPr>
            <w:r>
              <w:rPr>
                <w:sz w:val="18"/>
                <w:szCs w:val="18"/>
              </w:rPr>
              <w:t xml:space="preserve">1.267***</w:t>
            </w:r>
          </w:p>
        </w:tc>
        <w:tc>
          <w:tcPr>
            <w:tcW w:type="dxa" w:w="2771"/>
          </w:tcPr>
          <w:p>
            <w:pPr>
              <w:pStyle w:val="Compact"/>
              <w:spacing w:before="20" w:after="20" w:line="240" w:lineRule="auto"/>
              <w:jc w:val="center"/>
              <w:keepNext/>
            </w:pPr>
            <w:r>
              <w:rPr>
                <w:sz w:val="18"/>
                <w:szCs w:val="18"/>
              </w:rPr>
              <w:t xml:space="preserve">(0.027)</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1.650**</w:t>
            </w:r>
          </w:p>
        </w:tc>
        <w:tc>
          <w:tcPr>
            <w:tcW w:type="dxa" w:w="2771"/>
          </w:tcPr>
          <w:p>
            <w:pPr>
              <w:pStyle w:val="Compact"/>
              <w:spacing w:before="20" w:after="20" w:line="240" w:lineRule="auto"/>
              <w:jc w:val="center"/>
              <w:keepNext/>
            </w:pPr>
            <w:r>
              <w:rPr>
                <w:sz w:val="18"/>
                <w:szCs w:val="18"/>
              </w:rPr>
              <w:t xml:space="preserve">(0.205)</w:t>
            </w:r>
          </w:p>
        </w:tc>
        <w:tc>
          <w:tcPr>
            <w:tcW w:type="dxa" w:w="1539"/>
          </w:tcPr>
          <w:p>
            <w:pPr>
              <w:pStyle w:val="Compact"/>
              <w:spacing w:before="20" w:after="20" w:line="240" w:lineRule="auto"/>
              <w:jc w:val="center"/>
              <w:keepNext/>
            </w:pPr>
            <w:r>
              <w:rPr>
                <w:sz w:val="18"/>
                <w:szCs w:val="18"/>
              </w:rPr>
              <w:t xml:space="preserve">0.015</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1.430</w:t>
            </w:r>
          </w:p>
        </w:tc>
        <w:tc>
          <w:tcPr>
            <w:tcW w:type="dxa" w:w="2771"/>
          </w:tcPr>
          <w:p>
            <w:pPr>
              <w:pStyle w:val="Compact"/>
              <w:spacing w:before="20" w:after="20" w:line="240" w:lineRule="auto"/>
              <w:jc w:val="center"/>
              <w:keepNext/>
            </w:pPr>
            <w:r>
              <w:rPr>
                <w:sz w:val="18"/>
                <w:szCs w:val="18"/>
              </w:rPr>
              <w:t xml:space="preserve">(0.327)</w:t>
            </w:r>
          </w:p>
        </w:tc>
        <w:tc>
          <w:tcPr>
            <w:tcW w:type="dxa" w:w="1539"/>
          </w:tcPr>
          <w:p>
            <w:pPr>
              <w:pStyle w:val="Compact"/>
              <w:spacing w:before="20" w:after="20" w:line="240" w:lineRule="auto"/>
              <w:jc w:val="center"/>
              <w:keepNext/>
            </w:pPr>
            <w:r>
              <w:rPr>
                <w:sz w:val="18"/>
                <w:szCs w:val="18"/>
              </w:rPr>
              <w:t xml:space="preserve">0.274</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1.555</w:t>
            </w:r>
          </w:p>
        </w:tc>
        <w:tc>
          <w:tcPr>
            <w:tcW w:type="dxa" w:w="2771"/>
          </w:tcPr>
          <w:p>
            <w:pPr>
              <w:pStyle w:val="Compact"/>
              <w:spacing w:before="20" w:after="20" w:line="240" w:lineRule="auto"/>
              <w:jc w:val="center"/>
              <w:keepNext/>
            </w:pPr>
            <w:r>
              <w:rPr>
                <w:sz w:val="18"/>
                <w:szCs w:val="18"/>
              </w:rPr>
              <w:t xml:space="preserve">(0.290)</w:t>
            </w:r>
          </w:p>
        </w:tc>
        <w:tc>
          <w:tcPr>
            <w:tcW w:type="dxa" w:w="1539"/>
          </w:tcPr>
          <w:p>
            <w:pPr>
              <w:pStyle w:val="Compact"/>
              <w:spacing w:before="20" w:after="20" w:line="240" w:lineRule="auto"/>
              <w:jc w:val="center"/>
              <w:keepNext/>
            </w:pPr>
            <w:r>
              <w:rPr>
                <w:sz w:val="18"/>
                <w:szCs w:val="18"/>
              </w:rPr>
              <w:t xml:space="preserve">0.128</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0.483</w:t>
            </w:r>
          </w:p>
        </w:tc>
        <w:tc>
          <w:tcPr>
            <w:tcW w:type="dxa" w:w="2771"/>
          </w:tcPr>
          <w:p>
            <w:pPr>
              <w:pStyle w:val="Compact"/>
              <w:spacing w:before="20" w:after="20" w:line="240" w:lineRule="auto"/>
              <w:jc w:val="center"/>
              <w:keepNext/>
            </w:pPr>
            <w:r>
              <w:rPr>
                <w:sz w:val="18"/>
                <w:szCs w:val="18"/>
              </w:rPr>
              <w:t xml:space="preserve">(0.482)</w:t>
            </w:r>
          </w:p>
        </w:tc>
        <w:tc>
          <w:tcPr>
            <w:tcW w:type="dxa" w:w="1539"/>
          </w:tcPr>
          <w:p>
            <w:pPr>
              <w:pStyle w:val="Compact"/>
              <w:spacing w:before="20" w:after="20" w:line="240" w:lineRule="auto"/>
              <w:jc w:val="center"/>
              <w:keepNext/>
            </w:pPr>
            <w:r>
              <w:rPr>
                <w:sz w:val="18"/>
                <w:szCs w:val="18"/>
              </w:rPr>
              <w:t xml:space="preserve">0.131</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1.170</w:t>
            </w:r>
          </w:p>
        </w:tc>
        <w:tc>
          <w:tcPr>
            <w:tcW w:type="dxa" w:w="2771"/>
          </w:tcPr>
          <w:p>
            <w:pPr>
              <w:pStyle w:val="Compact"/>
              <w:spacing w:before="20" w:after="20" w:line="240" w:lineRule="auto"/>
              <w:jc w:val="center"/>
              <w:keepNext/>
            </w:pPr>
            <w:r>
              <w:rPr>
                <w:sz w:val="18"/>
                <w:szCs w:val="18"/>
              </w:rPr>
              <w:t xml:space="preserve">(0.267)</w:t>
            </w:r>
          </w:p>
        </w:tc>
        <w:tc>
          <w:tcPr>
            <w:tcW w:type="dxa" w:w="1539"/>
          </w:tcPr>
          <w:p>
            <w:pPr>
              <w:pStyle w:val="Compact"/>
              <w:spacing w:before="20" w:after="20" w:line="240" w:lineRule="auto"/>
              <w:jc w:val="center"/>
              <w:keepNext/>
            </w:pPr>
            <w:r>
              <w:rPr>
                <w:sz w:val="18"/>
                <w:szCs w:val="18"/>
              </w:rPr>
              <w:t xml:space="preserve">0.555</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1.398</w:t>
            </w:r>
          </w:p>
        </w:tc>
        <w:tc>
          <w:tcPr>
            <w:tcW w:type="dxa" w:w="2771"/>
          </w:tcPr>
          <w:p>
            <w:pPr>
              <w:pStyle w:val="Compact"/>
              <w:spacing w:before="20" w:after="20" w:line="240" w:lineRule="auto"/>
              <w:jc w:val="center"/>
              <w:keepNext/>
            </w:pPr>
            <w:r>
              <w:rPr>
                <w:sz w:val="18"/>
                <w:szCs w:val="18"/>
              </w:rPr>
              <w:t xml:space="preserve">(0.235)</w:t>
            </w:r>
          </w:p>
        </w:tc>
        <w:tc>
          <w:tcPr>
            <w:tcW w:type="dxa" w:w="1539"/>
          </w:tcPr>
          <w:p>
            <w:pPr>
              <w:pStyle w:val="Compact"/>
              <w:spacing w:before="20" w:after="20" w:line="240" w:lineRule="auto"/>
              <w:jc w:val="center"/>
              <w:keepNext/>
            </w:pPr>
            <w:r>
              <w:rPr>
                <w:sz w:val="18"/>
                <w:szCs w:val="18"/>
              </w:rPr>
              <w:t xml:space="preserve">0.155</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2.132</w:t>
            </w:r>
          </w:p>
        </w:tc>
        <w:tc>
          <w:tcPr>
            <w:tcW w:type="dxa" w:w="2771"/>
          </w:tcPr>
          <w:p>
            <w:pPr>
              <w:pStyle w:val="Compact"/>
              <w:spacing w:before="20" w:after="20" w:line="240" w:lineRule="auto"/>
              <w:jc w:val="center"/>
              <w:keepNext/>
            </w:pPr>
            <w:r>
              <w:rPr>
                <w:sz w:val="18"/>
                <w:szCs w:val="18"/>
              </w:rPr>
              <w:t xml:space="preserve">(0.613)</w:t>
            </w:r>
          </w:p>
        </w:tc>
        <w:tc>
          <w:tcPr>
            <w:tcW w:type="dxa" w:w="1539"/>
          </w:tcPr>
          <w:p>
            <w:pPr>
              <w:pStyle w:val="Compact"/>
              <w:spacing w:before="20" w:after="20" w:line="240" w:lineRule="auto"/>
              <w:jc w:val="center"/>
              <w:keepNext/>
            </w:pPr>
            <w:r>
              <w:rPr>
                <w:sz w:val="18"/>
                <w:szCs w:val="18"/>
              </w:rPr>
              <w:t xml:space="preserve">0.217</w:t>
            </w:r>
          </w:p>
        </w:tc>
      </w:tr>
    </w:tbl>
    <w:bookmarkEnd w:id="33"/>
    <w:bookmarkStart w:id="43" w:name="공동분류-유형"/>
    <w:p>
      <w:pPr>
        <w:pStyle w:val="Heading3"/>
      </w:pPr>
      <w:r>
        <w:t xml:space="preserve">5.3 공동분류 유형</w:t>
      </w:r>
    </w:p>
    <w:p>
      <w:pPr>
        <w:pStyle w:val="FirstParagraph"/>
      </w:pPr>
      <w:r>
        <w:t xml:space="preserve">표 7은 조립 단독형을 기준으로 통합형과 공정 단독형의 상대위험비를 보고하는 다항 로짓이다. 이것이 경계 넘기에 대한 본 검정이다. 그림 4는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조립 단독형 대비 통합형일 상대위험은 40% 높아지고(RRR 1.403, p &lt; 0.01), 공정 단독형일 상대위험은 10% 낮아진다(RRR 0.905, p &lt; 0.05). 크기로 보면 기술범위가 3인 출원은 통합형으로 예측될 확률이 0.26, 조립 단독형 0.50, 공정 단독형 0.24이지만, 기술범위가 8인 출원은 통합형 0.68, 조립 단독형 0.24, 공정 단독형 0.08이다(그림 4 왼쪽). 넓은 출원은 두 영역에 걸치고, 좁은 출원은 한 영역에 머문다. 다만 유형과 기술범위가 같은 CPC 정보에서 만들어지므로, 이를 독립적인 인과적 결정요인으로 해석하지 않는다.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조립 단독형은 0.31에서 0.40으로 늘고 통합형은 0.43에서 0.47로 거의 변하지 않는다(그림 4 오른쪽). 표 6에서 본 제조공정 분류의 감소는 주로 공정 단독형의 감소에서 온 것이다. H2는 지지된다.</w:t>
      </w:r>
    </w:p>
    <w:p>
      <w:pPr>
        <w:pStyle w:val="BodyText"/>
        <w:keepNext/>
      </w:pPr>
      <w:r>
        <w:drawing>
          <wp:inline>
            <wp:extent cx="5334000" cy="2794000"/>
            <wp:effectExtent b="0" l="0" r="0" t="0"/>
            <wp:docPr descr="" title="" id="35" name="Picture"/>
            <a:graphic>
              <a:graphicData uri="http://schemas.openxmlformats.org/drawingml/2006/picture">
                <pic:pic>
                  <pic:nvPicPr>
                    <pic:cNvPr descr="figures/fig_pred_types_ko.png" id="36" name="Picture"/>
                    <pic:cNvPicPr>
                      <a:picLocks noChangeArrowheads="1" noChangeAspect="1"/>
                    </pic:cNvPicPr>
                  </pic:nvPicPr>
                  <pic:blipFill>
                    <a:blip r:embed="rId34"/>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기술범위(왼쪽)와 출원연도(오른쪽)에 따른 공동분류 유형별 예측확률(다항 로짓; 다른 변수는 각 출원의 관측값에 둔 채 평균).</w:t>
      </w:r>
    </w:p>
    <w:p>
      <w:pPr>
        <w:pStyle w:val="BodyText"/>
      </w:pPr>
      <w:r>
        <w:rPr>
          <w:b/>
          <w:bCs/>
        </w:rPr>
        <w:t xml:space="preserve">출원청(H3b).</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출원청의 계수(RRR 0.086)는 26건에 기반하고 표본 기간에 따라 크게 달라지므로 해석하지 않는다(부록 B). 반면 통합형 방정식에서는 어느 출원청 계수도 유의하지 않다. 범위와 출원 시점을 통제하면 경계를 넘는 특허의 비중 자체는 출원청 사이에 다르지 않다. 관할권의 차이는 한 영역에 머무는 특허, 특히 공정 단독형에서 나타난다. 그림 5는 각 출원청에 출원되었을 때 공정 단독형으로 예측되는 평균 확률이다. 중국 출원청은 4건 중 1건(0.255), 미국 출원청은 7건 중 1건(0.143) 꼴이다. H3b는 기준 모형에서 지지되지만, 2023–2024년 출원을 제외하면 유의성을 잃으므로(제5.4절) 최근 출원 구성에 민감한 제한적 증거로 본다.</w:t>
      </w:r>
    </w:p>
    <w:p>
      <w:pPr>
        <w:pStyle w:val="BodyText"/>
        <w:keepNext/>
      </w:pPr>
      <w:r>
        <w:rPr>
          <w:b/>
          <w:bCs/>
        </w:rPr>
        <w:t xml:space="preserve">표 7.</w:t>
      </w:r>
      <w:r>
        <w:t xml:space="preserve"> </w:t>
      </w:r>
      <w:r>
        <w:t xml:space="preserve">공동분류 유형의 다항 로짓(기준 범주 = 조립 단독형; N = 928; 출원청 기준 = 미국; 로그우도 −774.5; 우도비 χ²(18) = 367.4, p &lt; 0.001; McFadden 의사 R² = 0.192; AIC 1,589.0; 괄호 안은 로그 계수의 표준오차;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80"/>
        <w:gridCol w:w="970"/>
        <w:gridCol w:w="1602"/>
        <w:gridCol w:w="890"/>
        <w:gridCol w:w="1335"/>
        <w:gridCol w:w="1602"/>
        <w:gridCol w:w="890"/>
      </w:tblGrid>
      <w:tr>
        <w:trPr>
          <w:tblHeader w:val="on"/>
          <w:cantSplit/>
        </w:trPr>
        <w:tc>
          <w:tcPr>
            <w:tcW w:type="dxa" w:w="1780"/>
            <w:tcBorders>
              <w:bottom w:val="single" w:sz="4" w:space="0" w:color="000000"/>
            </w:tcBorders>
          </w:tcPr>
          <w:p>
            <w:pPr>
              <w:pStyle w:val="Compact"/>
              <w:spacing w:before="20" w:after="20" w:line="240" w:lineRule="auto"/>
              <w:keepNext/>
            </w:pPr>
          </w:p>
        </w:tc>
        <w:tc>
          <w:tcPr>
            <w:tcW w:type="dxa" w:w="970"/>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35"/>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80"/>
          </w:tcPr>
          <w:p>
            <w:pPr>
              <w:pStyle w:val="Compact"/>
              <w:spacing w:before="20" w:after="20" w:line="240" w:lineRule="auto"/>
              <w:keepNext/>
            </w:pPr>
            <w:r>
              <w:rPr>
                <w:sz w:val="16"/>
                <w:szCs w:val="16"/>
              </w:rPr>
              <w:t xml:space="preserve">출원연도(yc)</w:t>
            </w:r>
          </w:p>
        </w:tc>
        <w:tc>
          <w:tcPr>
            <w:tcW w:type="dxa" w:w="970"/>
          </w:tcPr>
          <w:p>
            <w:pPr>
              <w:pStyle w:val="Compact"/>
              <w:spacing w:before="20" w:after="20" w:line="240" w:lineRule="auto"/>
              <w:jc w:val="center"/>
              <w:keepNext/>
            </w:pPr>
            <w:r>
              <w:rPr>
                <w:sz w:val="16"/>
                <w:szCs w:val="16"/>
              </w:rPr>
              <w:t xml:space="preserve">0.993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0.654</w:t>
            </w:r>
          </w:p>
        </w:tc>
        <w:tc>
          <w:tcPr>
            <w:tcW w:type="dxa" w:w="1335"/>
          </w:tcPr>
          <w:p>
            <w:pPr>
              <w:pStyle w:val="Compact"/>
              <w:spacing w:before="20" w:after="20" w:line="240" w:lineRule="auto"/>
              <w:jc w:val="center"/>
              <w:keepNext/>
            </w:pPr>
            <w:r>
              <w:rPr>
                <w:sz w:val="16"/>
                <w:szCs w:val="16"/>
              </w:rPr>
              <w:t xml:space="preserve">0.913***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기술범위</w:t>
            </w:r>
          </w:p>
        </w:tc>
        <w:tc>
          <w:tcPr>
            <w:tcW w:type="dxa" w:w="970"/>
          </w:tcPr>
          <w:p>
            <w:pPr>
              <w:pStyle w:val="Compact"/>
              <w:spacing w:before="20" w:after="20" w:line="240" w:lineRule="auto"/>
              <w:jc w:val="center"/>
              <w:keepNext/>
            </w:pPr>
            <w:r>
              <w:rPr>
                <w:sz w:val="16"/>
                <w:szCs w:val="16"/>
              </w:rPr>
              <w:t xml:space="preserve">1.403***</w:t>
            </w:r>
          </w:p>
        </w:tc>
        <w:tc>
          <w:tcPr>
            <w:tcW w:type="dxa" w:w="1602"/>
          </w:tcPr>
          <w:p>
            <w:pPr>
              <w:pStyle w:val="Compact"/>
              <w:spacing w:before="20" w:after="20" w:line="240" w:lineRule="auto"/>
              <w:jc w:val="center"/>
              <w:keepNext/>
            </w:pPr>
            <w:r>
              <w:rPr>
                <w:sz w:val="16"/>
                <w:szCs w:val="16"/>
              </w:rPr>
              <w:t xml:space="preserve">(0.031)</w:t>
            </w:r>
          </w:p>
        </w:tc>
        <w:tc>
          <w:tcPr>
            <w:tcW w:type="dxa" w:w="890"/>
          </w:tcPr>
          <w:p>
            <w:pPr>
              <w:pStyle w:val="Compact"/>
              <w:spacing w:before="20" w:after="20" w:line="240" w:lineRule="auto"/>
              <w:jc w:val="center"/>
              <w:keepNext/>
            </w:pPr>
            <w:r>
              <w:rPr>
                <w:sz w:val="16"/>
                <w:szCs w:val="16"/>
              </w:rPr>
              <w:t xml:space="preserve">&lt;0.001</w:t>
            </w:r>
          </w:p>
        </w:tc>
        <w:tc>
          <w:tcPr>
            <w:tcW w:type="dxa" w:w="1335"/>
          </w:tcPr>
          <w:p>
            <w:pPr>
              <w:pStyle w:val="Compact"/>
              <w:spacing w:before="20" w:after="20" w:line="240" w:lineRule="auto"/>
              <w:jc w:val="center"/>
              <w:keepNext/>
            </w:pPr>
            <w:r>
              <w:rPr>
                <w:sz w:val="16"/>
                <w:szCs w:val="16"/>
              </w:rPr>
              <w:t xml:space="preserve">0.905**</w:t>
            </w:r>
          </w:p>
        </w:tc>
        <w:tc>
          <w:tcPr>
            <w:tcW w:type="dxa" w:w="1602"/>
          </w:tcPr>
          <w:p>
            <w:pPr>
              <w:pStyle w:val="Compact"/>
              <w:spacing w:before="20" w:after="20" w:line="240" w:lineRule="auto"/>
              <w:jc w:val="center"/>
              <w:keepNext/>
            </w:pPr>
            <w:r>
              <w:rPr>
                <w:sz w:val="16"/>
                <w:szCs w:val="16"/>
              </w:rPr>
              <w:t xml:space="preserve">(0.048)</w:t>
            </w:r>
          </w:p>
        </w:tc>
        <w:tc>
          <w:tcPr>
            <w:tcW w:type="dxa" w:w="890"/>
          </w:tcPr>
          <w:p>
            <w:pPr>
              <w:pStyle w:val="Compact"/>
              <w:spacing w:before="20" w:after="20" w:line="240" w:lineRule="auto"/>
              <w:jc w:val="center"/>
              <w:keepNext/>
            </w:pPr>
            <w:r>
              <w:rPr>
                <w:sz w:val="16"/>
                <w:szCs w:val="16"/>
              </w:rPr>
              <w:t xml:space="preserve">0.039</w:t>
            </w:r>
          </w:p>
        </w:tc>
      </w:tr>
      <w:tr>
        <w:trPr>
          <w:cantSplit/>
        </w:trPr>
        <w:tc>
          <w:tcPr>
            <w:tcW w:type="dxa" w:w="1780"/>
          </w:tcPr>
          <w:p>
            <w:pPr>
              <w:pStyle w:val="Compact"/>
              <w:spacing w:before="20" w:after="20" w:line="240" w:lineRule="auto"/>
              <w:keepNext/>
            </w:pPr>
            <w:r>
              <w:rPr>
                <w:sz w:val="16"/>
                <w:szCs w:val="16"/>
              </w:rPr>
              <w:t xml:space="preserve">중국(CN)</w:t>
            </w:r>
          </w:p>
        </w:tc>
        <w:tc>
          <w:tcPr>
            <w:tcW w:type="dxa" w:w="970"/>
          </w:tcPr>
          <w:p>
            <w:pPr>
              <w:pStyle w:val="Compact"/>
              <w:spacing w:before="20" w:after="20" w:line="240" w:lineRule="auto"/>
              <w:jc w:val="center"/>
              <w:keepNext/>
            </w:pPr>
            <w:r>
              <w:rPr>
                <w:sz w:val="16"/>
                <w:szCs w:val="16"/>
              </w:rPr>
              <w:t xml:space="preserve">1.205</w:t>
            </w:r>
          </w:p>
        </w:tc>
        <w:tc>
          <w:tcPr>
            <w:tcW w:type="dxa" w:w="1602"/>
          </w:tcPr>
          <w:p>
            <w:pPr>
              <w:pStyle w:val="Compact"/>
              <w:spacing w:before="20" w:after="20" w:line="240" w:lineRule="auto"/>
              <w:jc w:val="center"/>
              <w:keepNext/>
            </w:pPr>
            <w:r>
              <w:rPr>
                <w:sz w:val="16"/>
                <w:szCs w:val="16"/>
              </w:rPr>
              <w:t xml:space="preserve">(0.233)</w:t>
            </w:r>
          </w:p>
        </w:tc>
        <w:tc>
          <w:tcPr>
            <w:tcW w:type="dxa" w:w="890"/>
          </w:tcPr>
          <w:p>
            <w:pPr>
              <w:pStyle w:val="Compact"/>
              <w:spacing w:before="20" w:after="20" w:line="240" w:lineRule="auto"/>
              <w:jc w:val="center"/>
              <w:keepNext/>
            </w:pPr>
            <w:r>
              <w:rPr>
                <w:sz w:val="16"/>
                <w:szCs w:val="16"/>
              </w:rPr>
              <w:t xml:space="preserve">0.423</w:t>
            </w:r>
          </w:p>
        </w:tc>
        <w:tc>
          <w:tcPr>
            <w:tcW w:type="dxa" w:w="1335"/>
          </w:tcPr>
          <w:p>
            <w:pPr>
              <w:pStyle w:val="Compact"/>
              <w:spacing w:before="20" w:after="20" w:line="240" w:lineRule="auto"/>
              <w:jc w:val="center"/>
              <w:keepNext/>
            </w:pPr>
            <w:r>
              <w:rPr>
                <w:sz w:val="16"/>
                <w:szCs w:val="16"/>
              </w:rPr>
              <w:t xml:space="preserve">2.687***</w:t>
            </w:r>
          </w:p>
        </w:tc>
        <w:tc>
          <w:tcPr>
            <w:tcW w:type="dxa" w:w="1602"/>
          </w:tcPr>
          <w:p>
            <w:pPr>
              <w:pStyle w:val="Compact"/>
              <w:spacing w:before="20" w:after="20" w:line="240" w:lineRule="auto"/>
              <w:jc w:val="center"/>
              <w:keepNext/>
            </w:pPr>
            <w:r>
              <w:rPr>
                <w:sz w:val="16"/>
                <w:szCs w:val="16"/>
              </w:rPr>
              <w:t xml:space="preserve">(0.276)</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한국(KR)</w:t>
            </w:r>
          </w:p>
        </w:tc>
        <w:tc>
          <w:tcPr>
            <w:tcW w:type="dxa" w:w="970"/>
          </w:tcPr>
          <w:p>
            <w:pPr>
              <w:pStyle w:val="Compact"/>
              <w:spacing w:before="20" w:after="20" w:line="240" w:lineRule="auto"/>
              <w:jc w:val="center"/>
              <w:keepNext/>
            </w:pPr>
            <w:r>
              <w:rPr>
                <w:sz w:val="16"/>
                <w:szCs w:val="16"/>
              </w:rPr>
              <w:t xml:space="preserve">1.166</w:t>
            </w:r>
          </w:p>
        </w:tc>
        <w:tc>
          <w:tcPr>
            <w:tcW w:type="dxa" w:w="1602"/>
          </w:tcPr>
          <w:p>
            <w:pPr>
              <w:pStyle w:val="Compact"/>
              <w:spacing w:before="20" w:after="20" w:line="240" w:lineRule="auto"/>
              <w:jc w:val="center"/>
              <w:keepNext/>
            </w:pPr>
            <w:r>
              <w:rPr>
                <w:sz w:val="16"/>
                <w:szCs w:val="16"/>
              </w:rPr>
              <w:t xml:space="preserve">(0.381)</w:t>
            </w:r>
          </w:p>
        </w:tc>
        <w:tc>
          <w:tcPr>
            <w:tcW w:type="dxa" w:w="890"/>
          </w:tcPr>
          <w:p>
            <w:pPr>
              <w:pStyle w:val="Compact"/>
              <w:spacing w:before="20" w:after="20" w:line="240" w:lineRule="auto"/>
              <w:jc w:val="center"/>
              <w:keepNext/>
            </w:pPr>
            <w:r>
              <w:rPr>
                <w:sz w:val="16"/>
                <w:szCs w:val="16"/>
              </w:rPr>
              <w:t xml:space="preserve">0.687</w:t>
            </w:r>
          </w:p>
        </w:tc>
        <w:tc>
          <w:tcPr>
            <w:tcW w:type="dxa" w:w="1335"/>
          </w:tcPr>
          <w:p>
            <w:pPr>
              <w:pStyle w:val="Compact"/>
              <w:spacing w:before="20" w:after="20" w:line="240" w:lineRule="auto"/>
              <w:jc w:val="center"/>
              <w:keepNext/>
            </w:pPr>
            <w:r>
              <w:rPr>
                <w:sz w:val="16"/>
                <w:szCs w:val="16"/>
              </w:rPr>
              <w:t xml:space="preserve">1.906</w:t>
            </w:r>
          </w:p>
        </w:tc>
        <w:tc>
          <w:tcPr>
            <w:tcW w:type="dxa" w:w="1602"/>
          </w:tcPr>
          <w:p>
            <w:pPr>
              <w:pStyle w:val="Compact"/>
              <w:spacing w:before="20" w:after="20" w:line="240" w:lineRule="auto"/>
              <w:jc w:val="center"/>
              <w:keepNext/>
            </w:pPr>
            <w:r>
              <w:rPr>
                <w:sz w:val="16"/>
                <w:szCs w:val="16"/>
              </w:rPr>
              <w:t xml:space="preserve">(0.419)</w:t>
            </w:r>
          </w:p>
        </w:tc>
        <w:tc>
          <w:tcPr>
            <w:tcW w:type="dxa" w:w="890"/>
          </w:tcPr>
          <w:p>
            <w:pPr>
              <w:pStyle w:val="Compact"/>
              <w:spacing w:before="20" w:after="20" w:line="240" w:lineRule="auto"/>
              <w:jc w:val="center"/>
              <w:keepNext/>
            </w:pPr>
            <w:r>
              <w:rPr>
                <w:sz w:val="16"/>
                <w:szCs w:val="16"/>
              </w:rPr>
              <w:t xml:space="preserve">0.124</w:t>
            </w:r>
          </w:p>
        </w:tc>
      </w:tr>
      <w:tr>
        <w:trPr>
          <w:cantSplit/>
        </w:trPr>
        <w:tc>
          <w:tcPr>
            <w:tcW w:type="dxa" w:w="1780"/>
          </w:tcPr>
          <w:p>
            <w:pPr>
              <w:pStyle w:val="Compact"/>
              <w:spacing w:before="20" w:after="20" w:line="240" w:lineRule="auto"/>
              <w:keepNext/>
            </w:pPr>
            <w:r>
              <w:rPr>
                <w:sz w:val="16"/>
                <w:szCs w:val="16"/>
              </w:rPr>
              <w:t xml:space="preserve">대만(TW)</w:t>
            </w:r>
          </w:p>
        </w:tc>
        <w:tc>
          <w:tcPr>
            <w:tcW w:type="dxa" w:w="970"/>
          </w:tcPr>
          <w:p>
            <w:pPr>
              <w:pStyle w:val="Compact"/>
              <w:spacing w:before="20" w:after="20" w:line="240" w:lineRule="auto"/>
              <w:jc w:val="center"/>
              <w:keepNext/>
            </w:pPr>
            <w:r>
              <w:rPr>
                <w:sz w:val="16"/>
                <w:szCs w:val="16"/>
              </w:rPr>
              <w:t xml:space="preserve">1.312</w:t>
            </w:r>
          </w:p>
        </w:tc>
        <w:tc>
          <w:tcPr>
            <w:tcW w:type="dxa" w:w="1602"/>
          </w:tcPr>
          <w:p>
            <w:pPr>
              <w:pStyle w:val="Compact"/>
              <w:spacing w:before="20" w:after="20" w:line="240" w:lineRule="auto"/>
              <w:jc w:val="center"/>
              <w:keepNext/>
            </w:pPr>
            <w:r>
              <w:rPr>
                <w:sz w:val="16"/>
                <w:szCs w:val="16"/>
              </w:rPr>
              <w:t xml:space="preserve">(0.322)</w:t>
            </w:r>
          </w:p>
        </w:tc>
        <w:tc>
          <w:tcPr>
            <w:tcW w:type="dxa" w:w="890"/>
          </w:tcPr>
          <w:p>
            <w:pPr>
              <w:pStyle w:val="Compact"/>
              <w:spacing w:before="20" w:after="20" w:line="240" w:lineRule="auto"/>
              <w:jc w:val="center"/>
              <w:keepNext/>
            </w:pPr>
            <w:r>
              <w:rPr>
                <w:sz w:val="16"/>
                <w:szCs w:val="16"/>
              </w:rPr>
              <w:t xml:space="preserve">0.399</w:t>
            </w:r>
          </w:p>
        </w:tc>
        <w:tc>
          <w:tcPr>
            <w:tcW w:type="dxa" w:w="1335"/>
          </w:tcPr>
          <w:p>
            <w:pPr>
              <w:pStyle w:val="Compact"/>
              <w:spacing w:before="20" w:after="20" w:line="240" w:lineRule="auto"/>
              <w:jc w:val="center"/>
              <w:keepNext/>
            </w:pPr>
            <w:r>
              <w:rPr>
                <w:sz w:val="16"/>
                <w:szCs w:val="16"/>
              </w:rPr>
              <w:t xml:space="preserve">2.102*</w:t>
            </w:r>
          </w:p>
        </w:tc>
        <w:tc>
          <w:tcPr>
            <w:tcW w:type="dxa" w:w="1602"/>
          </w:tcPr>
          <w:p>
            <w:pPr>
              <w:pStyle w:val="Compact"/>
              <w:spacing w:before="20" w:after="20" w:line="240" w:lineRule="auto"/>
              <w:jc w:val="center"/>
              <w:keepNext/>
            </w:pPr>
            <w:r>
              <w:rPr>
                <w:sz w:val="16"/>
                <w:szCs w:val="16"/>
              </w:rPr>
              <w:t xml:space="preserve">(0.407)</w:t>
            </w:r>
          </w:p>
        </w:tc>
        <w:tc>
          <w:tcPr>
            <w:tcW w:type="dxa" w:w="890"/>
          </w:tcPr>
          <w:p>
            <w:pPr>
              <w:pStyle w:val="Compact"/>
              <w:spacing w:before="20" w:after="20" w:line="240" w:lineRule="auto"/>
              <w:jc w:val="center"/>
              <w:keepNext/>
            </w:pPr>
            <w:r>
              <w:rPr>
                <w:sz w:val="16"/>
                <w:szCs w:val="16"/>
              </w:rPr>
              <w:t xml:space="preserve">0.068</w:t>
            </w:r>
          </w:p>
        </w:tc>
      </w:tr>
      <w:tr>
        <w:trPr>
          <w:cantSplit/>
        </w:trPr>
        <w:tc>
          <w:tcPr>
            <w:tcW w:type="dxa" w:w="1780"/>
          </w:tcPr>
          <w:p>
            <w:pPr>
              <w:pStyle w:val="Compact"/>
              <w:spacing w:before="20" w:after="20" w:line="240" w:lineRule="auto"/>
              <w:keepNext/>
            </w:pPr>
            <w:r>
              <w:rPr>
                <w:sz w:val="16"/>
                <w:szCs w:val="16"/>
              </w:rPr>
              <w:t xml:space="preserve">일본(JP)</w:t>
            </w:r>
          </w:p>
        </w:tc>
        <w:tc>
          <w:tcPr>
            <w:tcW w:type="dxa" w:w="970"/>
          </w:tcPr>
          <w:p>
            <w:pPr>
              <w:pStyle w:val="Compact"/>
              <w:spacing w:before="20" w:after="20" w:line="240" w:lineRule="auto"/>
              <w:jc w:val="center"/>
              <w:keepNext/>
            </w:pPr>
            <w:r>
              <w:rPr>
                <w:sz w:val="16"/>
                <w:szCs w:val="16"/>
              </w:rPr>
              <w:t xml:space="preserve">1.046</w:t>
            </w:r>
          </w:p>
        </w:tc>
        <w:tc>
          <w:tcPr>
            <w:tcW w:type="dxa" w:w="1602"/>
          </w:tcPr>
          <w:p>
            <w:pPr>
              <w:pStyle w:val="Compact"/>
              <w:spacing w:before="20" w:after="20" w:line="240" w:lineRule="auto"/>
              <w:jc w:val="center"/>
              <w:keepNext/>
            </w:pPr>
            <w:r>
              <w:rPr>
                <w:sz w:val="16"/>
                <w:szCs w:val="16"/>
              </w:rPr>
              <w:t xml:space="preserve">(0.557)</w:t>
            </w:r>
          </w:p>
        </w:tc>
        <w:tc>
          <w:tcPr>
            <w:tcW w:type="dxa" w:w="890"/>
          </w:tcPr>
          <w:p>
            <w:pPr>
              <w:pStyle w:val="Compact"/>
              <w:spacing w:before="20" w:after="20" w:line="240" w:lineRule="auto"/>
              <w:jc w:val="center"/>
              <w:keepNext/>
            </w:pPr>
            <w:r>
              <w:rPr>
                <w:sz w:val="16"/>
                <w:szCs w:val="16"/>
              </w:rPr>
              <w:t xml:space="preserve">0.935</w:t>
            </w:r>
          </w:p>
        </w:tc>
        <w:tc>
          <w:tcPr>
            <w:tcW w:type="dxa" w:w="1335"/>
          </w:tcPr>
          <w:p>
            <w:pPr>
              <w:pStyle w:val="Compact"/>
              <w:spacing w:before="20" w:after="20" w:line="240" w:lineRule="auto"/>
              <w:jc w:val="center"/>
              <w:keepNext/>
            </w:pPr>
            <w:r>
              <w:rPr>
                <w:sz w:val="16"/>
                <w:szCs w:val="16"/>
              </w:rPr>
              <w:t xml:space="preserve">0.086***</w:t>
            </w:r>
          </w:p>
        </w:tc>
        <w:tc>
          <w:tcPr>
            <w:tcW w:type="dxa" w:w="1602"/>
          </w:tcPr>
          <w:p>
            <w:pPr>
              <w:pStyle w:val="Compact"/>
              <w:spacing w:before="20" w:after="20" w:line="240" w:lineRule="auto"/>
              <w:jc w:val="center"/>
              <w:keepNext/>
            </w:pPr>
            <w:r>
              <w:rPr>
                <w:sz w:val="16"/>
                <w:szCs w:val="16"/>
              </w:rPr>
              <w:t xml:space="preserve">(0.816)</w:t>
            </w:r>
          </w:p>
        </w:tc>
        <w:tc>
          <w:tcPr>
            <w:tcW w:type="dxa" w:w="890"/>
          </w:tcPr>
          <w:p>
            <w:pPr>
              <w:pStyle w:val="Compact"/>
              <w:spacing w:before="20" w:after="20" w:line="240" w:lineRule="auto"/>
              <w:jc w:val="center"/>
              <w:keepNext/>
            </w:pPr>
            <w:r>
              <w:rPr>
                <w:sz w:val="16"/>
                <w:szCs w:val="16"/>
              </w:rPr>
              <w:t xml:space="preserve">0.003</w:t>
            </w:r>
          </w:p>
        </w:tc>
      </w:tr>
      <w:tr>
        <w:trPr>
          <w:cantSplit/>
        </w:trPr>
        <w:tc>
          <w:tcPr>
            <w:tcW w:type="dxa" w:w="1780"/>
          </w:tcPr>
          <w:p>
            <w:pPr>
              <w:pStyle w:val="Compact"/>
              <w:spacing w:before="20" w:after="20" w:line="240" w:lineRule="auto"/>
              <w:keepNext/>
            </w:pPr>
            <w:r>
              <w:rPr>
                <w:sz w:val="16"/>
                <w:szCs w:val="16"/>
              </w:rPr>
              <w:t xml:space="preserve">EPO(EP)</w:t>
            </w:r>
          </w:p>
        </w:tc>
        <w:tc>
          <w:tcPr>
            <w:tcW w:type="dxa" w:w="970"/>
          </w:tcPr>
          <w:p>
            <w:pPr>
              <w:pStyle w:val="Compact"/>
              <w:spacing w:before="20" w:after="20" w:line="240" w:lineRule="auto"/>
              <w:jc w:val="center"/>
              <w:keepNext/>
            </w:pPr>
            <w:r>
              <w:rPr>
                <w:sz w:val="16"/>
                <w:szCs w:val="16"/>
              </w:rPr>
              <w:t xml:space="preserve">1.307</w:t>
            </w:r>
          </w:p>
        </w:tc>
        <w:tc>
          <w:tcPr>
            <w:tcW w:type="dxa" w:w="1602"/>
          </w:tcPr>
          <w:p>
            <w:pPr>
              <w:pStyle w:val="Compact"/>
              <w:spacing w:before="20" w:after="20" w:line="240" w:lineRule="auto"/>
              <w:jc w:val="center"/>
              <w:keepNext/>
            </w:pPr>
            <w:r>
              <w:rPr>
                <w:sz w:val="16"/>
                <w:szCs w:val="16"/>
              </w:rPr>
              <w:t xml:space="preserve">(0.291)</w:t>
            </w:r>
          </w:p>
        </w:tc>
        <w:tc>
          <w:tcPr>
            <w:tcW w:type="dxa" w:w="890"/>
          </w:tcPr>
          <w:p>
            <w:pPr>
              <w:pStyle w:val="Compact"/>
              <w:spacing w:before="20" w:after="20" w:line="240" w:lineRule="auto"/>
              <w:jc w:val="center"/>
              <w:keepNext/>
            </w:pPr>
            <w:r>
              <w:rPr>
                <w:sz w:val="16"/>
                <w:szCs w:val="16"/>
              </w:rPr>
              <w:t xml:space="preserve">0.358</w:t>
            </w:r>
          </w:p>
        </w:tc>
        <w:tc>
          <w:tcPr>
            <w:tcW w:type="dxa" w:w="1335"/>
          </w:tcPr>
          <w:p>
            <w:pPr>
              <w:pStyle w:val="Compact"/>
              <w:spacing w:before="20" w:after="20" w:line="240" w:lineRule="auto"/>
              <w:jc w:val="center"/>
              <w:keepNext/>
            </w:pPr>
            <w:r>
              <w:rPr>
                <w:sz w:val="16"/>
                <w:szCs w:val="16"/>
              </w:rPr>
              <w:t xml:space="preserve">0.858</w:t>
            </w:r>
          </w:p>
        </w:tc>
        <w:tc>
          <w:tcPr>
            <w:tcW w:type="dxa" w:w="1602"/>
          </w:tcPr>
          <w:p>
            <w:pPr>
              <w:pStyle w:val="Compact"/>
              <w:spacing w:before="20" w:after="20" w:line="240" w:lineRule="auto"/>
              <w:jc w:val="center"/>
              <w:keepNext/>
            </w:pPr>
            <w:r>
              <w:rPr>
                <w:sz w:val="16"/>
                <w:szCs w:val="16"/>
              </w:rPr>
              <w:t xml:space="preserve">(0.438)</w:t>
            </w:r>
          </w:p>
        </w:tc>
        <w:tc>
          <w:tcPr>
            <w:tcW w:type="dxa" w:w="890"/>
          </w:tcPr>
          <w:p>
            <w:pPr>
              <w:pStyle w:val="Compact"/>
              <w:spacing w:before="20" w:after="20" w:line="240" w:lineRule="auto"/>
              <w:jc w:val="center"/>
              <w:keepNext/>
            </w:pPr>
            <w:r>
              <w:rPr>
                <w:sz w:val="16"/>
                <w:szCs w:val="16"/>
              </w:rPr>
              <w:t xml:space="preserve">0.726</w:t>
            </w:r>
          </w:p>
        </w:tc>
      </w:tr>
      <w:tr>
        <w:trPr>
          <w:cantSplit/>
        </w:trPr>
        <w:tc>
          <w:tcPr>
            <w:tcW w:type="dxa" w:w="1780"/>
          </w:tcPr>
          <w:p>
            <w:pPr>
              <w:pStyle w:val="Compact"/>
              <w:spacing w:before="20" w:after="20" w:line="240" w:lineRule="auto"/>
              <w:keepNext/>
            </w:pPr>
            <w:r>
              <w:rPr>
                <w:sz w:val="16"/>
                <w:szCs w:val="16"/>
              </w:rPr>
              <w:t xml:space="preserve">PCT(WO)</w:t>
            </w:r>
          </w:p>
        </w:tc>
        <w:tc>
          <w:tcPr>
            <w:tcW w:type="dxa" w:w="970"/>
          </w:tcPr>
          <w:p>
            <w:pPr>
              <w:pStyle w:val="Compact"/>
              <w:spacing w:before="20" w:after="20" w:line="240" w:lineRule="auto"/>
              <w:jc w:val="center"/>
              <w:keepNext/>
            </w:pPr>
            <w:r>
              <w:rPr>
                <w:sz w:val="16"/>
                <w:szCs w:val="16"/>
              </w:rPr>
              <w:t xml:space="preserve">1.126</w:t>
            </w:r>
          </w:p>
        </w:tc>
        <w:tc>
          <w:tcPr>
            <w:tcW w:type="dxa" w:w="1602"/>
          </w:tcPr>
          <w:p>
            <w:pPr>
              <w:pStyle w:val="Compact"/>
              <w:spacing w:before="20" w:after="20" w:line="240" w:lineRule="auto"/>
              <w:jc w:val="center"/>
              <w:keepNext/>
            </w:pPr>
            <w:r>
              <w:rPr>
                <w:sz w:val="16"/>
                <w:szCs w:val="16"/>
              </w:rPr>
              <w:t xml:space="preserve">(0.268)</w:t>
            </w:r>
          </w:p>
        </w:tc>
        <w:tc>
          <w:tcPr>
            <w:tcW w:type="dxa" w:w="890"/>
          </w:tcPr>
          <w:p>
            <w:pPr>
              <w:pStyle w:val="Compact"/>
              <w:spacing w:before="20" w:after="20" w:line="240" w:lineRule="auto"/>
              <w:jc w:val="center"/>
              <w:keepNext/>
            </w:pPr>
            <w:r>
              <w:rPr>
                <w:sz w:val="16"/>
                <w:szCs w:val="16"/>
              </w:rPr>
              <w:t xml:space="preserve">0.659</w:t>
            </w:r>
          </w:p>
        </w:tc>
        <w:tc>
          <w:tcPr>
            <w:tcW w:type="dxa" w:w="1335"/>
          </w:tcPr>
          <w:p>
            <w:pPr>
              <w:pStyle w:val="Compact"/>
              <w:spacing w:before="20" w:after="20" w:line="240" w:lineRule="auto"/>
              <w:jc w:val="center"/>
              <w:keepNext/>
            </w:pPr>
            <w:r>
              <w:rPr>
                <w:sz w:val="16"/>
                <w:szCs w:val="16"/>
              </w:rPr>
              <w:t xml:space="preserve">1.997**</w:t>
            </w:r>
          </w:p>
        </w:tc>
        <w:tc>
          <w:tcPr>
            <w:tcW w:type="dxa" w:w="1602"/>
          </w:tcPr>
          <w:p>
            <w:pPr>
              <w:pStyle w:val="Compact"/>
              <w:spacing w:before="20" w:after="20" w:line="240" w:lineRule="auto"/>
              <w:jc w:val="center"/>
              <w:keepNext/>
            </w:pPr>
            <w:r>
              <w:rPr>
                <w:sz w:val="16"/>
                <w:szCs w:val="16"/>
              </w:rPr>
              <w:t xml:space="preserve">(0.323)</w:t>
            </w:r>
          </w:p>
        </w:tc>
        <w:tc>
          <w:tcPr>
            <w:tcW w:type="dxa" w:w="890"/>
          </w:tcPr>
          <w:p>
            <w:pPr>
              <w:pStyle w:val="Compact"/>
              <w:spacing w:before="20" w:after="20" w:line="240" w:lineRule="auto"/>
              <w:jc w:val="center"/>
              <w:keepNext/>
            </w:pPr>
            <w:r>
              <w:rPr>
                <w:sz w:val="16"/>
                <w:szCs w:val="16"/>
              </w:rPr>
              <w:t xml:space="preserve">0.032</w:t>
            </w:r>
          </w:p>
        </w:tc>
      </w:tr>
      <w:tr>
        <w:trPr>
          <w:cantSplit/>
        </w:trPr>
        <w:tc>
          <w:tcPr>
            <w:tcW w:type="dxa" w:w="1780"/>
          </w:tcPr>
          <w:p>
            <w:pPr>
              <w:pStyle w:val="Compact"/>
              <w:spacing w:before="20" w:after="20" w:line="240" w:lineRule="auto"/>
              <w:keepNext/>
            </w:pPr>
            <w:r>
              <w:rPr>
                <w:sz w:val="16"/>
                <w:szCs w:val="16"/>
              </w:rPr>
              <w:t xml:space="preserve">기타</w:t>
            </w:r>
          </w:p>
        </w:tc>
        <w:tc>
          <w:tcPr>
            <w:tcW w:type="dxa" w:w="970"/>
          </w:tcPr>
          <w:p>
            <w:pPr>
              <w:pStyle w:val="Compact"/>
              <w:spacing w:before="20" w:after="20" w:line="240" w:lineRule="auto"/>
              <w:jc w:val="center"/>
              <w:keepNext/>
            </w:pPr>
            <w:r>
              <w:rPr>
                <w:sz w:val="16"/>
                <w:szCs w:val="16"/>
              </w:rPr>
              <w:t xml:space="preserve">2.326</w:t>
            </w:r>
          </w:p>
        </w:tc>
        <w:tc>
          <w:tcPr>
            <w:tcW w:type="dxa" w:w="1602"/>
          </w:tcPr>
          <w:p>
            <w:pPr>
              <w:pStyle w:val="Compact"/>
              <w:spacing w:before="20" w:after="20" w:line="240" w:lineRule="auto"/>
              <w:jc w:val="center"/>
              <w:keepNext/>
            </w:pPr>
            <w:r>
              <w:rPr>
                <w:sz w:val="16"/>
                <w:szCs w:val="16"/>
              </w:rPr>
              <w:t xml:space="preserve">(0.681)</w:t>
            </w:r>
          </w:p>
        </w:tc>
        <w:tc>
          <w:tcPr>
            <w:tcW w:type="dxa" w:w="890"/>
          </w:tcPr>
          <w:p>
            <w:pPr>
              <w:pStyle w:val="Compact"/>
              <w:spacing w:before="20" w:after="20" w:line="240" w:lineRule="auto"/>
              <w:jc w:val="center"/>
              <w:keepNext/>
            </w:pPr>
            <w:r>
              <w:rPr>
                <w:sz w:val="16"/>
                <w:szCs w:val="16"/>
              </w:rPr>
              <w:t xml:space="preserve">0.215</w:t>
            </w:r>
          </w:p>
        </w:tc>
        <w:tc>
          <w:tcPr>
            <w:tcW w:type="dxa" w:w="1335"/>
          </w:tcPr>
          <w:p>
            <w:pPr>
              <w:pStyle w:val="Compact"/>
              <w:spacing w:before="20" w:after="20" w:line="240" w:lineRule="auto"/>
              <w:jc w:val="center"/>
              <w:keepNext/>
            </w:pPr>
            <w:r>
              <w:rPr>
                <w:sz w:val="16"/>
                <w:szCs w:val="16"/>
              </w:rPr>
              <w:t xml:space="preserve">1.901</w:t>
            </w:r>
          </w:p>
        </w:tc>
        <w:tc>
          <w:tcPr>
            <w:tcW w:type="dxa" w:w="1602"/>
          </w:tcPr>
          <w:p>
            <w:pPr>
              <w:pStyle w:val="Compact"/>
              <w:spacing w:before="20" w:after="20" w:line="240" w:lineRule="auto"/>
              <w:jc w:val="center"/>
              <w:keepNext/>
            </w:pPr>
            <w:r>
              <w:rPr>
                <w:sz w:val="16"/>
                <w:szCs w:val="16"/>
              </w:rPr>
              <w:t xml:space="preserve">(0.779)</w:t>
            </w:r>
          </w:p>
        </w:tc>
        <w:tc>
          <w:tcPr>
            <w:tcW w:type="dxa" w:w="890"/>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8" name="Picture"/>
            <a:graphic>
              <a:graphicData uri="http://schemas.openxmlformats.org/drawingml/2006/picture">
                <pic:pic>
                  <pic:nvPicPr>
                    <pic:cNvPr descr="figures/fig6_predicted_process_only_ko.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출원청별 공정 단독형의 평균 예측확률(다항 로짓; 다른 변수는 각 출원의 관측값에 둔 채 출원청만 바꾸어 표본 전체에서 평균한 값; 모수 추정치의 표본추출 분포에서 얻은 95% 신뢰구간; N = 928, 출원청별 N은 표 4. 일본(26건)과 기타(16건)는 구간이 넓어 해석하지 않는다).</w:t>
      </w:r>
    </w:p>
    <w:p>
      <w:pPr>
        <w:pStyle w:val="BodyText"/>
      </w:pPr>
      <w:r>
        <w:rPr>
          <w:b/>
          <w:bCs/>
        </w:rPr>
        <w:t xml:space="preserve">시기별 분포.</w:t>
      </w:r>
      <w:r>
        <w:t xml:space="preserve"> </w:t>
      </w:r>
      <w:r>
        <w:t xml:space="preserve">선형 연도 추세는 통합형 비중의 오르내림을 가린다. 표 8과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조립 단독형은 25.1%와 23.0%에서 45.4%로 늘었다.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8.</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1" name="Picture"/>
            <a:graphic>
              <a:graphicData uri="http://schemas.openxmlformats.org/drawingml/2006/picture">
                <pic:pic>
                  <pic:nvPicPr>
                    <pic:cNvPr descr="figures/fig7_period_shares_ko.png" id="42" name="Picture"/>
                    <pic:cNvPicPr>
                      <a:picLocks noChangeArrowheads="1" noChangeAspect="1"/>
                    </pic:cNvPicPr>
                  </pic:nvPicPr>
                  <pic:blipFill>
                    <a:blip r:embed="rId40"/>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bookmarkEnd w:id="43"/>
    <w:bookmarkStart w:id="44"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9는 핵심 계수를 비교하고, 전체 계수는 부록 B에 실었다.</w:t>
      </w:r>
    </w:p>
    <w:p>
      <w:pPr>
        <w:pStyle w:val="BodyText"/>
        <w:keepNext/>
      </w:pPr>
      <w:r>
        <w:rPr>
          <w:b/>
          <w:bCs/>
        </w:rPr>
        <w:t xml:space="preserve">표 9.</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59"/>
        <w:gridCol w:w="480"/>
        <w:gridCol w:w="1143"/>
        <w:gridCol w:w="1583"/>
        <w:gridCol w:w="1583"/>
        <w:gridCol w:w="1319"/>
      </w:tblGrid>
      <w:tr>
        <w:trPr>
          <w:tblHeader w:val="on"/>
          <w:cantSplit/>
        </w:trPr>
        <w:tc>
          <w:tcPr>
            <w:tcW w:type="dxa" w:w="2959"/>
            <w:tcBorders>
              <w:bottom w:val="single" w:sz="4" w:space="0" w:color="000000"/>
            </w:tcBorders>
          </w:tcPr>
          <w:p>
            <w:pPr>
              <w:pStyle w:val="Compact"/>
              <w:spacing w:before="20" w:after="20" w:line="240" w:lineRule="auto"/>
              <w:keepNext/>
            </w:pPr>
            <w:r>
              <w:rPr>
                <w:sz w:val="14"/>
                <w:szCs w:val="14"/>
              </w:rPr>
              <w:t xml:space="preserve">표본·변수</w:t>
            </w:r>
          </w:p>
        </w:tc>
        <w:tc>
          <w:tcPr>
            <w:tcW w:type="dxa" w:w="480"/>
            <w:tcBorders>
              <w:bottom w:val="single" w:sz="4" w:space="0" w:color="000000"/>
            </w:tcBorders>
          </w:tcPr>
          <w:p>
            <w:pPr>
              <w:pStyle w:val="Compact"/>
              <w:spacing w:before="20" w:after="20" w:line="240" w:lineRule="auto"/>
              <w:jc w:val="right"/>
              <w:keepNext/>
            </w:pPr>
            <w:r>
              <w:rPr>
                <w:sz w:val="14"/>
                <w:szCs w:val="14"/>
              </w:rPr>
              <w:t xml:space="preserve">N</w:t>
            </w:r>
          </w:p>
        </w:tc>
        <w:tc>
          <w:tcPr>
            <w:tcW w:type="dxa" w:w="1143"/>
            <w:tcBorders>
              <w:bottom w:val="single" w:sz="4" w:space="0" w:color="000000"/>
            </w:tcBorders>
          </w:tcPr>
          <w:p>
            <w:pPr>
              <w:pStyle w:val="Compact"/>
              <w:spacing w:before="20" w:after="20" w:line="240" w:lineRule="auto"/>
              <w:keepNext/>
            </w:pPr>
            <w:r>
              <w:rPr>
                <w:sz w:val="14"/>
                <w:szCs w:val="14"/>
              </w:rPr>
              <w:t xml:space="preserve">범위 → 통합형</w:t>
            </w:r>
          </w:p>
        </w:tc>
        <w:tc>
          <w:tcPr>
            <w:tcW w:type="dxa" w:w="1583"/>
            <w:tcBorders>
              <w:bottom w:val="single" w:sz="4" w:space="0" w:color="000000"/>
            </w:tcBorders>
          </w:tcPr>
          <w:p>
            <w:pPr>
              <w:pStyle w:val="Compact"/>
              <w:spacing w:before="20" w:after="20" w:line="240" w:lineRule="auto"/>
              <w:keepNext/>
            </w:pPr>
            <w:r>
              <w:rPr>
                <w:sz w:val="14"/>
                <w:szCs w:val="14"/>
              </w:rPr>
              <w:t xml:space="preserve">연도 → 공정 단독형</w:t>
            </w:r>
          </w:p>
        </w:tc>
        <w:tc>
          <w:tcPr>
            <w:tcW w:type="dxa" w:w="1583"/>
            <w:tcBorders>
              <w:bottom w:val="single" w:sz="4" w:space="0" w:color="000000"/>
            </w:tcBorders>
          </w:tcPr>
          <w:p>
            <w:pPr>
              <w:pStyle w:val="Compact"/>
              <w:spacing w:before="20" w:after="20" w:line="240" w:lineRule="auto"/>
              <w:keepNext/>
            </w:pPr>
            <w:r>
              <w:rPr>
                <w:sz w:val="14"/>
                <w:szCs w:val="14"/>
              </w:rPr>
              <w:t xml:space="preserve">중국 → 공정 단독형</w:t>
            </w:r>
          </w:p>
        </w:tc>
        <w:tc>
          <w:tcPr>
            <w:tcW w:type="dxa" w:w="1319"/>
            <w:tcBorders>
              <w:bottom w:val="single" w:sz="4" w:space="0" w:color="000000"/>
            </w:tcBorders>
          </w:tcPr>
          <w:p>
            <w:pPr>
              <w:pStyle w:val="Compact"/>
              <w:spacing w:before="20" w:after="20" w:line="240" w:lineRule="auto"/>
              <w:keepNext/>
            </w:pPr>
            <w:r>
              <w:rPr>
                <w:sz w:val="14"/>
                <w:szCs w:val="14"/>
              </w:rPr>
              <w:t xml:space="preserve">중국 → 범위(IRR)</w:t>
            </w:r>
          </w:p>
        </w:tc>
      </w:tr>
      <w:tr>
        <w:trPr>
          <w:cantSplit/>
        </w:trPr>
        <w:tc>
          <w:tcPr>
            <w:tcW w:type="dxa" w:w="2959"/>
          </w:tcPr>
          <w:p>
            <w:pPr>
              <w:pStyle w:val="Compact"/>
              <w:spacing w:before="20" w:after="20" w:line="240" w:lineRule="auto"/>
              <w:keepNext/>
            </w:pPr>
            <w:r>
              <w:rPr>
                <w:sz w:val="14"/>
                <w:szCs w:val="14"/>
              </w:rPr>
              <w:t xml:space="preserve">기준(표 5·7)</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기준 + 동일 제목 군집 표준오차</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동일 제목 중복 제거(제목당 1건)</w:t>
            </w:r>
          </w:p>
        </w:tc>
        <w:tc>
          <w:tcPr>
            <w:tcW w:type="dxa" w:w="480"/>
          </w:tcPr>
          <w:p>
            <w:pPr>
              <w:pStyle w:val="Compact"/>
              <w:spacing w:before="20" w:after="20" w:line="240" w:lineRule="auto"/>
              <w:jc w:val="right"/>
              <w:keepNext/>
            </w:pPr>
            <w:r>
              <w:rPr>
                <w:sz w:val="14"/>
                <w:szCs w:val="14"/>
              </w:rPr>
              <w:t xml:space="preserve">473</w:t>
            </w:r>
          </w:p>
        </w:tc>
        <w:tc>
          <w:tcPr>
            <w:tcW w:type="dxa" w:w="1143"/>
          </w:tcPr>
          <w:p>
            <w:pPr>
              <w:pStyle w:val="Compact"/>
              <w:spacing w:before="20" w:after="20" w:line="240" w:lineRule="auto"/>
              <w:keepNext/>
            </w:pPr>
            <w:r>
              <w:rPr>
                <w:sz w:val="14"/>
                <w:szCs w:val="14"/>
              </w:rPr>
              <w:t xml:space="preserve">1.295***</w:t>
            </w:r>
          </w:p>
        </w:tc>
        <w:tc>
          <w:tcPr>
            <w:tcW w:type="dxa" w:w="1583"/>
          </w:tcPr>
          <w:p>
            <w:pPr>
              <w:pStyle w:val="Compact"/>
              <w:spacing w:before="20" w:after="20" w:line="240" w:lineRule="auto"/>
              <w:keepNext/>
            </w:pPr>
            <w:r>
              <w:rPr>
                <w:sz w:val="14"/>
                <w:szCs w:val="14"/>
              </w:rPr>
              <w:t xml:space="preserve">0.935***</w:t>
            </w:r>
          </w:p>
        </w:tc>
        <w:tc>
          <w:tcPr>
            <w:tcW w:type="dxa" w:w="1583"/>
          </w:tcPr>
          <w:p>
            <w:pPr>
              <w:pStyle w:val="Compact"/>
              <w:spacing w:before="20" w:after="20" w:line="240" w:lineRule="auto"/>
              <w:keepNext/>
            </w:pPr>
            <w:r>
              <w:rPr>
                <w:sz w:val="14"/>
                <w:szCs w:val="14"/>
              </w:rPr>
              <w:t xml:space="preserve">2.721***</w:t>
            </w:r>
          </w:p>
        </w:tc>
        <w:tc>
          <w:tcPr>
            <w:tcW w:type="dxa" w:w="1319"/>
          </w:tcPr>
          <w:p>
            <w:pPr>
              <w:pStyle w:val="Compact"/>
              <w:spacing w:before="20" w:after="20" w:line="240" w:lineRule="auto"/>
              <w:keepNext/>
            </w:pPr>
            <w:r>
              <w:rPr>
                <w:sz w:val="14"/>
                <w:szCs w:val="14"/>
              </w:rPr>
              <w:t xml:space="preserve">0.792***</w:t>
            </w:r>
          </w:p>
        </w:tc>
      </w:tr>
      <w:tr>
        <w:trPr>
          <w:cantSplit/>
        </w:trPr>
        <w:tc>
          <w:tcPr>
            <w:tcW w:type="dxa" w:w="2959"/>
          </w:tcPr>
          <w:p>
            <w:pPr>
              <w:pStyle w:val="Compact"/>
              <w:spacing w:before="20" w:after="20" w:line="240" w:lineRule="auto"/>
              <w:keepNext/>
            </w:pPr>
            <w:r>
              <w:rPr>
                <w:sz w:val="14"/>
                <w:szCs w:val="14"/>
              </w:rPr>
              <w:t xml:space="preserve">좁은 전공정 정의(조립 단계 공정 제외)</w:t>
            </w:r>
          </w:p>
        </w:tc>
        <w:tc>
          <w:tcPr>
            <w:tcW w:type="dxa" w:w="480"/>
          </w:tcPr>
          <w:p>
            <w:pPr>
              <w:pStyle w:val="Compact"/>
              <w:spacing w:before="20" w:after="20" w:line="240" w:lineRule="auto"/>
              <w:jc w:val="right"/>
              <w:keepNext/>
            </w:pPr>
            <w:r>
              <w:rPr>
                <w:sz w:val="14"/>
                <w:szCs w:val="14"/>
              </w:rPr>
              <w:t xml:space="preserve">908</w:t>
            </w:r>
          </w:p>
        </w:tc>
        <w:tc>
          <w:tcPr>
            <w:tcW w:type="dxa" w:w="1143"/>
          </w:tcPr>
          <w:p>
            <w:pPr>
              <w:pStyle w:val="Compact"/>
              <w:spacing w:before="20" w:after="20" w:line="240" w:lineRule="auto"/>
              <w:keepNext/>
            </w:pPr>
            <w:r>
              <w:rPr>
                <w:sz w:val="14"/>
                <w:szCs w:val="14"/>
              </w:rPr>
              <w:t xml:space="preserve">1.352***</w:t>
            </w:r>
          </w:p>
        </w:tc>
        <w:tc>
          <w:tcPr>
            <w:tcW w:type="dxa" w:w="1583"/>
          </w:tcPr>
          <w:p>
            <w:pPr>
              <w:pStyle w:val="Compact"/>
              <w:spacing w:before="20" w:after="20" w:line="240" w:lineRule="auto"/>
              <w:keepNext/>
            </w:pPr>
            <w:r>
              <w:rPr>
                <w:sz w:val="14"/>
                <w:szCs w:val="14"/>
              </w:rPr>
              <w:t xml:space="preserve">0.898***</w:t>
            </w:r>
          </w:p>
        </w:tc>
        <w:tc>
          <w:tcPr>
            <w:tcW w:type="dxa" w:w="1583"/>
          </w:tcPr>
          <w:p>
            <w:pPr>
              <w:pStyle w:val="Compact"/>
              <w:spacing w:before="20" w:after="20" w:line="240" w:lineRule="auto"/>
              <w:keepNext/>
            </w:pPr>
            <w:r>
              <w:rPr>
                <w:sz w:val="14"/>
                <w:szCs w:val="14"/>
              </w:rPr>
              <w:t xml:space="preserve">3.299***</w:t>
            </w:r>
          </w:p>
        </w:tc>
        <w:tc>
          <w:tcPr>
            <w:tcW w:type="dxa" w:w="1319"/>
          </w:tcPr>
          <w:p>
            <w:pPr>
              <w:pStyle w:val="Compact"/>
              <w:spacing w:before="20" w:after="20" w:line="240" w:lineRule="auto"/>
              <w:keepNext/>
            </w:pPr>
            <w:r>
              <w:rPr>
                <w:sz w:val="14"/>
                <w:szCs w:val="14"/>
              </w:rPr>
              <w:t xml:space="preserve">—</w:t>
            </w:r>
          </w:p>
        </w:tc>
      </w:tr>
      <w:tr>
        <w:trPr>
          <w:cantSplit/>
        </w:trPr>
        <w:tc>
          <w:tcPr>
            <w:tcW w:type="dxa" w:w="2959"/>
          </w:tcPr>
          <w:p>
            <w:pPr>
              <w:pStyle w:val="Compact"/>
              <w:spacing w:before="20" w:after="20" w:line="240" w:lineRule="auto"/>
              <w:keepNext/>
            </w:pPr>
            <w:r>
              <w:rPr>
                <w:sz w:val="14"/>
                <w:szCs w:val="14"/>
              </w:rPr>
              <w:t xml:space="preserve">무관 용법 68건 제외</w:t>
            </w:r>
          </w:p>
        </w:tc>
        <w:tc>
          <w:tcPr>
            <w:tcW w:type="dxa" w:w="480"/>
          </w:tcPr>
          <w:p>
            <w:pPr>
              <w:pStyle w:val="Compact"/>
              <w:spacing w:before="20" w:after="20" w:line="240" w:lineRule="auto"/>
              <w:jc w:val="right"/>
              <w:keepNext/>
            </w:pPr>
            <w:r>
              <w:rPr>
                <w:sz w:val="14"/>
                <w:szCs w:val="14"/>
              </w:rPr>
              <w:t xml:space="preserve">860</w:t>
            </w:r>
          </w:p>
        </w:tc>
        <w:tc>
          <w:tcPr>
            <w:tcW w:type="dxa" w:w="1143"/>
          </w:tcPr>
          <w:p>
            <w:pPr>
              <w:pStyle w:val="Compact"/>
              <w:spacing w:before="20" w:after="20" w:line="240" w:lineRule="auto"/>
              <w:keepNext/>
            </w:pPr>
            <w:r>
              <w:rPr>
                <w:sz w:val="14"/>
                <w:szCs w:val="14"/>
              </w:rPr>
              <w:t xml:space="preserve">1.384***</w:t>
            </w:r>
          </w:p>
        </w:tc>
        <w:tc>
          <w:tcPr>
            <w:tcW w:type="dxa" w:w="1583"/>
          </w:tcPr>
          <w:p>
            <w:pPr>
              <w:pStyle w:val="Compact"/>
              <w:spacing w:before="20" w:after="20" w:line="240" w:lineRule="auto"/>
              <w:keepNext/>
            </w:pPr>
            <w:r>
              <w:rPr>
                <w:sz w:val="14"/>
                <w:szCs w:val="14"/>
              </w:rPr>
              <w:t xml:space="preserve">0.820***</w:t>
            </w:r>
          </w:p>
        </w:tc>
        <w:tc>
          <w:tcPr>
            <w:tcW w:type="dxa" w:w="1583"/>
          </w:tcPr>
          <w:p>
            <w:pPr>
              <w:pStyle w:val="Compact"/>
              <w:spacing w:before="20" w:after="20" w:line="240" w:lineRule="auto"/>
              <w:keepNext/>
            </w:pPr>
            <w:r>
              <w:rPr>
                <w:sz w:val="14"/>
                <w:szCs w:val="14"/>
              </w:rPr>
              <w:t xml:space="preserve">3.235***</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핵심 표본(제목에 hybrid bonding)</w:t>
            </w:r>
          </w:p>
        </w:tc>
        <w:tc>
          <w:tcPr>
            <w:tcW w:type="dxa" w:w="480"/>
          </w:tcPr>
          <w:p>
            <w:pPr>
              <w:pStyle w:val="Compact"/>
              <w:spacing w:before="20" w:after="20" w:line="240" w:lineRule="auto"/>
              <w:jc w:val="right"/>
              <w:keepNext/>
            </w:pPr>
            <w:r>
              <w:rPr>
                <w:sz w:val="14"/>
                <w:szCs w:val="14"/>
              </w:rPr>
              <w:t xml:space="preserve">467</w:t>
            </w:r>
          </w:p>
        </w:tc>
        <w:tc>
          <w:tcPr>
            <w:tcW w:type="dxa" w:w="1143"/>
          </w:tcPr>
          <w:p>
            <w:pPr>
              <w:pStyle w:val="Compact"/>
              <w:spacing w:before="20" w:after="20" w:line="240" w:lineRule="auto"/>
              <w:keepNext/>
            </w:pPr>
            <w:r>
              <w:rPr>
                <w:sz w:val="14"/>
                <w:szCs w:val="14"/>
              </w:rPr>
              <w:t xml:space="preserve">1.485***</w:t>
            </w:r>
          </w:p>
        </w:tc>
        <w:tc>
          <w:tcPr>
            <w:tcW w:type="dxa" w:w="1583"/>
          </w:tcPr>
          <w:p>
            <w:pPr>
              <w:pStyle w:val="Compact"/>
              <w:spacing w:before="20" w:after="20" w:line="240" w:lineRule="auto"/>
              <w:keepNext/>
            </w:pPr>
            <w:r>
              <w:rPr>
                <w:sz w:val="14"/>
                <w:szCs w:val="14"/>
              </w:rPr>
              <w:t xml:space="preserve">1.029</w:t>
            </w:r>
          </w:p>
        </w:tc>
        <w:tc>
          <w:tcPr>
            <w:tcW w:type="dxa" w:w="1583"/>
          </w:tcPr>
          <w:p>
            <w:pPr>
              <w:pStyle w:val="Compact"/>
              <w:spacing w:before="20" w:after="20" w:line="240" w:lineRule="auto"/>
              <w:keepNext/>
            </w:pPr>
            <w:r>
              <w:rPr>
                <w:sz w:val="14"/>
                <w:szCs w:val="14"/>
              </w:rPr>
              <w:t xml:space="preserve">7.211***</w:t>
            </w:r>
          </w:p>
        </w:tc>
        <w:tc>
          <w:tcPr>
            <w:tcW w:type="dxa" w:w="1319"/>
          </w:tcPr>
          <w:p>
            <w:pPr>
              <w:pStyle w:val="Compact"/>
              <w:spacing w:before="20" w:after="20" w:line="240" w:lineRule="auto"/>
              <w:keepNext/>
            </w:pPr>
            <w:r>
              <w:rPr>
                <w:sz w:val="14"/>
                <w:szCs w:val="14"/>
              </w:rPr>
              <w:t xml:space="preserve">0.786***</w:t>
            </w:r>
          </w:p>
        </w:tc>
      </w:tr>
      <w:tr>
        <w:trPr>
          <w:cantSplit/>
        </w:trPr>
        <w:tc>
          <w:tcPr>
            <w:tcW w:type="dxa" w:w="2959"/>
          </w:tcPr>
          <w:p>
            <w:pPr>
              <w:pStyle w:val="Compact"/>
              <w:spacing w:before="20" w:after="20" w:line="240" w:lineRule="auto"/>
              <w:keepNext/>
            </w:pPr>
            <w:r>
              <w:rPr>
                <w:sz w:val="14"/>
                <w:szCs w:val="14"/>
              </w:rPr>
              <w:t xml:space="preserve">2023–2024년 제외</w:t>
            </w:r>
          </w:p>
        </w:tc>
        <w:tc>
          <w:tcPr>
            <w:tcW w:type="dxa" w:w="480"/>
          </w:tcPr>
          <w:p>
            <w:pPr>
              <w:pStyle w:val="Compact"/>
              <w:spacing w:before="20" w:after="20" w:line="240" w:lineRule="auto"/>
              <w:jc w:val="right"/>
              <w:keepNext/>
            </w:pPr>
            <w:r>
              <w:rPr>
                <w:sz w:val="14"/>
                <w:szCs w:val="14"/>
              </w:rPr>
              <w:t xml:space="preserve">753</w:t>
            </w:r>
          </w:p>
        </w:tc>
        <w:tc>
          <w:tcPr>
            <w:tcW w:type="dxa" w:w="1143"/>
          </w:tcPr>
          <w:p>
            <w:pPr>
              <w:pStyle w:val="Compact"/>
              <w:spacing w:before="20" w:after="20" w:line="240" w:lineRule="auto"/>
              <w:keepNext/>
            </w:pPr>
            <w:r>
              <w:rPr>
                <w:sz w:val="14"/>
                <w:szCs w:val="14"/>
              </w:rPr>
              <w:t xml:space="preserve">1.418***</w:t>
            </w:r>
          </w:p>
        </w:tc>
        <w:tc>
          <w:tcPr>
            <w:tcW w:type="dxa" w:w="1583"/>
          </w:tcPr>
          <w:p>
            <w:pPr>
              <w:pStyle w:val="Compact"/>
              <w:spacing w:before="20" w:after="20" w:line="240" w:lineRule="auto"/>
              <w:keepNext/>
            </w:pPr>
            <w:r>
              <w:rPr>
                <w:sz w:val="14"/>
                <w:szCs w:val="14"/>
              </w:rPr>
              <w:t xml:space="preserve">0.909***</w:t>
            </w:r>
          </w:p>
        </w:tc>
        <w:tc>
          <w:tcPr>
            <w:tcW w:type="dxa" w:w="1583"/>
          </w:tcPr>
          <w:p>
            <w:pPr>
              <w:pStyle w:val="Compact"/>
              <w:spacing w:before="20" w:after="20" w:line="240" w:lineRule="auto"/>
              <w:keepNext/>
            </w:pPr>
            <w:r>
              <w:rPr>
                <w:sz w:val="14"/>
                <w:szCs w:val="14"/>
              </w:rPr>
              <w:t xml:space="preserve">1.651</w:t>
            </w:r>
          </w:p>
        </w:tc>
        <w:tc>
          <w:tcPr>
            <w:tcW w:type="dxa" w:w="1319"/>
          </w:tcPr>
          <w:p>
            <w:pPr>
              <w:pStyle w:val="Compact"/>
              <w:spacing w:before="20" w:after="20" w:line="240" w:lineRule="auto"/>
              <w:keepNext/>
            </w:pPr>
            <w:r>
              <w:rPr>
                <w:sz w:val="14"/>
                <w:szCs w:val="14"/>
              </w:rPr>
              <w:t xml:space="preserve">0.808***</w:t>
            </w:r>
          </w:p>
        </w:tc>
      </w:tr>
    </w:tbl>
    <w:p>
      <w:pPr>
        <w:pStyle w:val="BodyText"/>
      </w:pPr>
      <w:r>
        <w:rPr>
          <w:i/>
          <w:iCs/>
        </w:rPr>
        <w:t xml:space="preserve">주:</w:t>
      </w:r>
      <w:r>
        <w:t xml:space="preserve"> </w:t>
      </w:r>
      <w:r>
        <w:t xml:space="preserve">군집 표준오차 행은 점추정치가 기준과 같고 유의성만 동일 제목 군집 기준이다. 좁은 전공정 정의는 기술범위 변수를 바꾸지 않으므로 마지막 열은 기준과 같다. 표준오차와 나머지 계수, 그리고 유형 최소치 조정 CPC 범위(breadth_adj)의 탐색적 결과는 부록 B에 있다.</w:t>
      </w:r>
    </w:p>
    <w:p>
      <w:pPr>
        <w:pStyle w:val="BodyText"/>
      </w:pPr>
      <w:r>
        <w:rPr>
          <w:b/>
          <w:bCs/>
        </w:rPr>
        <w:t xml:space="preserve">관측치의 독립성.</w:t>
      </w:r>
      <w:r>
        <w:t xml:space="preserve"> </w:t>
      </w:r>
      <w:r>
        <w:t xml:space="preserve">같은 제목의 출원을 한 군집으로 묶어 표준오차를 다시 계산해도 표 9의 네 계수는 모두 1% 수준에서 유의하다. 유의성을 잃는 것은 범위 → 공정 단독형(RRR 0.905, p = 0.29)과 일본 → 공정 단독형(p = 0.06) 두 계수뿐이다.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그래서 보유 클래스마다 최소 1개 기호를 차감한 유형 최소치 조정 CPC 범위(breadth_adj, 제4.3절)로 다시 추정해 보면, 통합형의 RRR은 1.403에서 1.262로 줄지만 방향은 유지된다(부록 B). 유형의 최소 구성을 제외한 추가 CPC 다양성도 통합형과 관련된다는 뜻이다. 그렇다고 이 지표가 기계적 연관을 완전히 걷어낸 독립적 검정인 것은 아니다. 조정 지표 역시 유형 정보를 이용해 만들어지기 때문이다. 그래서 이 결과를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네 가설의 핵심 계수는 모두 1% 수준에서 유지된다. 같은 제목의 미국–중국 출원 쌍 37개를 보면 기술범위는 34쌍, 유형은 36쌍에서 같다. 따라서 출원청 간 차이는 같은 발명의 분류가 관할권마다 달라서가 아니라, 어떤 발명이 어느 출원청에 진입했는가의 선택 차이를 반영할 가능성이 크다.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네 가설의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 중국 → 공정 단독형(7.211), 중국 → 범위(IRR 0.786)는 모두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H3b는 최근 출원 구성에 민감한 제한적 증거이며 제한적 지지로 판정한다.</w:t>
      </w:r>
    </w:p>
    <w:bookmarkEnd w:id="44"/>
    <w:bookmarkStart w:id="45" w:name="가설-판정"/>
    <w:p>
      <w:pPr>
        <w:pStyle w:val="Heading3"/>
      </w:pPr>
      <w:r>
        <w:t xml:space="preserve">5.5 가설 판정</w:t>
      </w:r>
    </w:p>
    <w:p>
      <w:pPr>
        <w:pStyle w:val="FirstParagraph"/>
      </w:pPr>
      <w:r>
        <w:t xml:space="preserve">표 10은 기준 모형(표 5·7)과 제5.4절의 재추정 결과를 함께 고려한 가설 판정이다.</w:t>
      </w:r>
    </w:p>
    <w:p>
      <w:pPr>
        <w:pStyle w:val="BodyText"/>
        <w:keepNext/>
      </w:pPr>
      <w:r>
        <w:rPr>
          <w:b/>
          <w:bCs/>
        </w:rPr>
        <w:t xml:space="preserve">표 10.</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99"/>
        <w:gridCol w:w="2698"/>
        <w:gridCol w:w="3298"/>
        <w:gridCol w:w="2473"/>
      </w:tblGrid>
      <w:tr>
        <w:trPr>
          <w:tblHeader w:val="on"/>
          <w:cantSplit/>
        </w:trPr>
        <w:tc>
          <w:tcPr>
            <w:tcW w:type="dxa" w:w="599"/>
            <w:tcBorders>
              <w:bottom w:val="single" w:sz="4" w:space="0" w:color="000000"/>
            </w:tcBorders>
          </w:tcPr>
          <w:p>
            <w:pPr>
              <w:pStyle w:val="Compact"/>
              <w:spacing w:before="20" w:after="20" w:line="240" w:lineRule="auto"/>
              <w:keepNext/>
            </w:pPr>
            <w:r>
              <w:rPr>
                <w:sz w:val="15"/>
                <w:szCs w:val="15"/>
              </w:rPr>
              <w:t xml:space="preserve">가설</w:t>
            </w:r>
          </w:p>
        </w:tc>
        <w:tc>
          <w:tcPr>
            <w:tcW w:type="dxa" w:w="2698"/>
            <w:tcBorders>
              <w:bottom w:val="single" w:sz="4" w:space="0" w:color="000000"/>
            </w:tcBorders>
          </w:tcPr>
          <w:p>
            <w:pPr>
              <w:pStyle w:val="Compact"/>
              <w:spacing w:before="20" w:after="20" w:line="240" w:lineRule="auto"/>
              <w:keepNext/>
            </w:pPr>
            <w:r>
              <w:rPr>
                <w:sz w:val="15"/>
                <w:szCs w:val="15"/>
              </w:rPr>
              <w:t xml:space="preserve">예측</w:t>
            </w:r>
          </w:p>
        </w:tc>
        <w:tc>
          <w:tcPr>
            <w:tcW w:type="dxa" w:w="3298"/>
            <w:tcBorders>
              <w:bottom w:val="single" w:sz="4" w:space="0" w:color="000000"/>
            </w:tcBorders>
          </w:tcPr>
          <w:p>
            <w:pPr>
              <w:pStyle w:val="Compact"/>
              <w:spacing w:before="20" w:after="20" w:line="240" w:lineRule="auto"/>
              <w:keepNext/>
            </w:pPr>
            <w:r>
              <w:rPr>
                <w:sz w:val="15"/>
                <w:szCs w:val="15"/>
              </w:rPr>
              <w:t xml:space="preserve">주요 증거</w:t>
            </w:r>
          </w:p>
        </w:tc>
        <w:tc>
          <w:tcPr>
            <w:tcW w:type="dxa" w:w="2473"/>
            <w:tcBorders>
              <w:bottom w:val="single" w:sz="4" w:space="0" w:color="000000"/>
            </w:tcBorders>
          </w:tcPr>
          <w:p>
            <w:pPr>
              <w:pStyle w:val="Compact"/>
              <w:spacing w:before="20" w:after="20" w:line="240" w:lineRule="auto"/>
              <w:keepNext/>
            </w:pPr>
            <w:r>
              <w:rPr>
                <w:sz w:val="15"/>
                <w:szCs w:val="15"/>
              </w:rPr>
              <w:t xml:space="preserve">판정</w:t>
            </w:r>
          </w:p>
        </w:tc>
      </w:tr>
      <w:tr>
        <w:trPr>
          <w:cantSplit/>
        </w:trPr>
        <w:tc>
          <w:tcPr>
            <w:tcW w:type="dxa" w:w="599"/>
          </w:tcPr>
          <w:p>
            <w:pPr>
              <w:pStyle w:val="Compact"/>
              <w:spacing w:before="20" w:after="20" w:line="240" w:lineRule="auto"/>
              <w:keepNext/>
            </w:pPr>
            <w:r>
              <w:rPr>
                <w:sz w:val="15"/>
                <w:szCs w:val="15"/>
              </w:rPr>
              <w:t xml:space="preserve">H1</w:t>
            </w:r>
          </w:p>
        </w:tc>
        <w:tc>
          <w:tcPr>
            <w:tcW w:type="dxa" w:w="2698"/>
          </w:tcPr>
          <w:p>
            <w:pPr>
              <w:pStyle w:val="Compact"/>
              <w:spacing w:before="20" w:after="20" w:line="240" w:lineRule="auto"/>
              <w:keepNext/>
            </w:pPr>
            <w:r>
              <w:rPr>
                <w:sz w:val="15"/>
                <w:szCs w:val="15"/>
              </w:rPr>
              <w:t xml:space="preserve">세부 기술이 다양할수록 통합형</w:t>
            </w:r>
          </w:p>
        </w:tc>
        <w:tc>
          <w:tcPr>
            <w:tcW w:type="dxa" w:w="3298"/>
          </w:tcPr>
          <w:p>
            <w:pPr>
              <w:pStyle w:val="Compact"/>
              <w:spacing w:before="20" w:after="20" w:line="240" w:lineRule="auto"/>
              <w:keepNext/>
            </w:pPr>
            <w:r>
              <w:rPr>
                <w:sz w:val="15"/>
                <w:szCs w:val="15"/>
              </w:rPr>
              <w:t xml:space="preserve">RRR 1.403***(95% CI 1.321–1.489; 표 7); 모든 재추정에서 1.295–1.485***(표 9)</w:t>
            </w:r>
          </w:p>
        </w:tc>
        <w:tc>
          <w:tcPr>
            <w:tcW w:type="dxa" w:w="2473"/>
          </w:tcPr>
          <w:p>
            <w:pPr>
              <w:pStyle w:val="Compact"/>
              <w:spacing w:before="20" w:after="20" w:line="240" w:lineRule="auto"/>
              <w:keepNext/>
            </w:pPr>
            <w:r>
              <w:rPr>
                <w:sz w:val="15"/>
                <w:szCs w:val="15"/>
              </w:rPr>
              <w:t xml:space="preserve">지지(구성적 연관)</w:t>
            </w:r>
          </w:p>
        </w:tc>
      </w:tr>
      <w:tr>
        <w:trPr>
          <w:cantSplit/>
        </w:trPr>
        <w:tc>
          <w:tcPr>
            <w:tcW w:type="dxa" w:w="599"/>
          </w:tcPr>
          <w:p>
            <w:pPr>
              <w:pStyle w:val="Compact"/>
              <w:spacing w:before="20" w:after="20" w:line="240" w:lineRule="auto"/>
              <w:keepNext/>
            </w:pPr>
            <w:r>
              <w:rPr>
                <w:sz w:val="15"/>
                <w:szCs w:val="15"/>
              </w:rPr>
              <w:t xml:space="preserve">H2</w:t>
            </w:r>
          </w:p>
        </w:tc>
        <w:tc>
          <w:tcPr>
            <w:tcW w:type="dxa" w:w="2698"/>
          </w:tcPr>
          <w:p>
            <w:pPr>
              <w:pStyle w:val="Compact"/>
              <w:spacing w:before="20" w:after="20" w:line="240" w:lineRule="auto"/>
              <w:keepNext/>
            </w:pPr>
            <w:r>
              <w:rPr>
                <w:sz w:val="15"/>
                <w:szCs w:val="15"/>
              </w:rPr>
              <w:t xml:space="preserve">최근 출원일수록 공정 단독형이 드묾</w:t>
            </w:r>
          </w:p>
        </w:tc>
        <w:tc>
          <w:tcPr>
            <w:tcW w:type="dxa" w:w="3298"/>
          </w:tcPr>
          <w:p>
            <w:pPr>
              <w:pStyle w:val="Compact"/>
              <w:spacing w:before="20" w:after="20" w:line="240" w:lineRule="auto"/>
              <w:keepNext/>
            </w:pPr>
            <w:r>
              <w:rPr>
                <w:sz w:val="15"/>
                <w:szCs w:val="15"/>
              </w:rPr>
              <w:t xml:space="preserve">RRR 0.913***(95% CI 0.887–0.940; 표 7); 기간 더미 0.273***/0.101***; 재추정에서 0.820–0.935***(표 9); 다만 2015년 이전 출원이 30건뿐인 핵심 표본에서는 시간 추세가 식별되지 않음</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H3a</w:t>
            </w:r>
          </w:p>
        </w:tc>
        <w:tc>
          <w:tcPr>
            <w:tcW w:type="dxa" w:w="2698"/>
          </w:tcPr>
          <w:p>
            <w:pPr>
              <w:pStyle w:val="Compact"/>
              <w:spacing w:before="20" w:after="20" w:line="240" w:lineRule="auto"/>
              <w:keepNext/>
            </w:pPr>
            <w:r>
              <w:rPr>
                <w:sz w:val="15"/>
                <w:szCs w:val="15"/>
              </w:rPr>
              <w:t xml:space="preserve">중국 출원청 출원은 범위가 좁음</w:t>
            </w:r>
          </w:p>
        </w:tc>
        <w:tc>
          <w:tcPr>
            <w:tcW w:type="dxa" w:w="3298"/>
          </w:tcPr>
          <w:p>
            <w:pPr>
              <w:pStyle w:val="Compact"/>
              <w:spacing w:before="20" w:after="20" w:line="240" w:lineRule="auto"/>
              <w:keepNext/>
            </w:pPr>
            <w:r>
              <w:rPr>
                <w:sz w:val="15"/>
                <w:szCs w:val="15"/>
              </w:rPr>
              <w:t xml:space="preserve">IRR 0.785***(95% CI 0.695–0.887; 표 5); 모든 재추정에서 0.785–0.808***(표 9)</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H3b</w:t>
            </w:r>
          </w:p>
        </w:tc>
        <w:tc>
          <w:tcPr>
            <w:tcW w:type="dxa" w:w="2698"/>
          </w:tcPr>
          <w:p>
            <w:pPr>
              <w:pStyle w:val="Compact"/>
              <w:spacing w:before="20" w:after="20" w:line="240" w:lineRule="auto"/>
              <w:keepNext/>
            </w:pPr>
            <w:r>
              <w:rPr>
                <w:sz w:val="15"/>
                <w:szCs w:val="15"/>
              </w:rPr>
              <w:t xml:space="preserve">중국 출원청 출원은 공정 단독형이 많음</w:t>
            </w:r>
          </w:p>
        </w:tc>
        <w:tc>
          <w:tcPr>
            <w:tcW w:type="dxa" w:w="3298"/>
          </w:tcPr>
          <w:p>
            <w:pPr>
              <w:pStyle w:val="Compact"/>
              <w:spacing w:before="20" w:after="20" w:line="240" w:lineRule="auto"/>
              <w:keepNext/>
            </w:pPr>
            <w:r>
              <w:rPr>
                <w:sz w:val="15"/>
                <w:szCs w:val="15"/>
              </w:rPr>
              <w:t xml:space="preserve">RRR 2.687***(95% CI 1.566–4.611; 표 7); 재추정에서 2.721–7.211***(표 9); 다만 2023–2024년 제외 시 1.651(비유의)</w:t>
            </w:r>
          </w:p>
        </w:tc>
        <w:tc>
          <w:tcPr>
            <w:tcW w:type="dxa" w:w="2473"/>
          </w:tcPr>
          <w:p>
            <w:pPr>
              <w:pStyle w:val="Compact"/>
              <w:spacing w:before="20" w:after="20" w:line="240" w:lineRule="auto"/>
              <w:keepNext/>
            </w:pPr>
            <w:r>
              <w:rPr>
                <w:sz w:val="15"/>
                <w:szCs w:val="15"/>
              </w:rPr>
              <w:t xml:space="preserve">제한적 지지(최근 출원 구성에 민감)</w:t>
            </w:r>
          </w:p>
        </w:tc>
      </w:tr>
    </w:tbl>
    <w:bookmarkEnd w:id="45"/>
    <w:bookmarkEnd w:id="46"/>
    <w:bookmarkStart w:id="50" w:name="논의"/>
    <w:p>
      <w:pPr>
        <w:pStyle w:val="Heading2"/>
      </w:pPr>
      <w:r>
        <w:t xml:space="preserve">6. 논의</w:t>
      </w:r>
    </w:p>
    <w:bookmarkStart w:id="47"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본 연구는 산업 아키텍처의 변화를 직접 검정하지 않는다. 다만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융합의 미시 메커니즘으로서의 다양성.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두 변수가 같은 CPC 정보에서 만들어지므로 이는 결정요인이 아니라 통합형 특허의 구성적 특징이다(제5.4절).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8). 2014년 이전에서 2015–2019년으로 가면서 공정 단독형은 43.6%에서 14.8%로 줄고 통합형은 31.3%에서 62.2%로 늘었다. 초기에 중요했던 평탄화, 표면 활성화, 어닐링 같은 공정 발명이 성숙기에는 홀로 분류되기보다 접합 구조와 함께 분류되기 시작한 것이다. 2020–2024년에는 통합형이 44.3%로 낮아지고 조립 단독형이 45.4%로 늘었다. 기간별 기호 수도 같은 방향이다. 출원당 접합 계열(H01L24) 기호는 2014년 이전 3.03개에서 2015–2019년 4.73개로 늘었다가 2020–2024년 3.91개로 줄었고, 제조공정 계열(H01L21) 기호는 2.12개와 2.23개에서 1.46개로 줄었다. 적용이 웨이퍼 단위에서 다이 단위 접합으로 넓어지고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분류에 남기는 흔적.</w:t>
      </w:r>
      <w:r>
        <w:t xml:space="preserve"> </w:t>
      </w:r>
      <w:r>
        <w:t xml:space="preserve">출원청 간 차이가 드러난 곳은 통합형이 아니었다. 공정 단독형과 기술범위였다. 중국 출원청에 진입한 발명 포트폴리오는 범위가 좁고 특정 제조공정에 집중된 출원이 상대적으로 많은데, 이는 적층 전체를 포괄하기 전에 특정 제조 단계부터 확보하는 추격 단계의 출원 양상(Lee and Lim, 2001)과 맞고, 중국 특허의 양적 팽창과 보조금 정책을 다룬 Hu와 Jefferson(2009), Dang과 Motohashi(2015)의 증거와도 어긋나지 않는다. 그렇다고 추격 전략의 직접 증거로 읽을 수는 없다. 출원청 계수는 관할권의 인과효과가 아니라 각 출원청에 제출된 발명 포트폴리오의 조건부 구성 차이이고, 출원인과 패밀리 정보도 통제되지 않았다. 출원인의 국적과 유형, 같은 발명의 해외 출원 여부, 심사 기준과 분류 관행이 그 계수 안에 함께 섞여 있으며, 공정 단독형 편중은 최근 출원 구성에 민감한 제한적 결과이기도 하다. 더 분명하게 말할 수 있는 것은 하나다. 범위와 시점을 통제하면 통합형의 비중 자체는 출원청 간에 다르지 않다. 본 표본에서 출원청별 차이는 공동분류형보다 한 영역에만 분류된 출원에서 더 두드러지게 관찰되었다. 한국과 대만이 범위와 통합형에서 미국과 비슷한 것도, 미국 출원인과 정면으로 경쟁하는 메모리 제조사와 파운드리의 위치를 생각하면 뜻밖의 결과는 아니다.</w:t>
      </w:r>
    </w:p>
    <w:bookmarkEnd w:id="47"/>
    <w:bookmarkStart w:id="48" w:name="실무적정책적-함의"/>
    <w:p>
      <w:pPr>
        <w:pStyle w:val="Heading3"/>
      </w:pPr>
      <w:r>
        <w:t xml:space="preserve">6.2 실무적·정책적 함의</w:t>
      </w:r>
    </w:p>
    <w:p>
      <w:pPr>
        <w:pStyle w:val="FirstParagraph"/>
      </w:pPr>
      <w:r>
        <w:t xml:space="preserve">자료가 출원인의 유형을 구분해 주지 않으므로 실무적 함의는 가능성의 수준에서만 적는다. 조립·테스트 전문업체의 성과나 특허 경쟁력을 직접 비교한 연구가 아니라는 점을 먼저 밝혀 둔다. 그럼에도 상당수 출원이 제조공정과 접합 기술을 함께 포함한다는 결과에서 한 가지를 읽을 수 있다. 하이브리드 본딩에서는 접합 장비를 잘 다루는 것으로 끝나지 않고, 표면 평탄화, 오염 제어, 표면 화학, 정렬까지 아우르는 인접 공정 지식이 중요해질 수 있다는 것이다. KnowMade(2024)의 독립적 산업 분석이 파운드리, 종합반도체기업, 라이선싱 기업을 특허 활동을 주도하는 출원인으로 꼽는 것도 같은 방향이다. 파운드리와 종합반도체기업의 패키징 내재화를 이 결과가 직접 입증하지는 않지만, 제조공정과 접합 기술의 공동분류가 빈번하다는 사실은 두 공정 영역을 잇는 지식 범위가 하이브리드 본딩 관련 특허 활동에서 중요함을 보여주며, Kapoor와 Adner(2012)가 말한 지식 경계의 논리와도 통한다.</w:t>
      </w:r>
    </w:p>
    <w:p>
      <w:pPr>
        <w:pStyle w:val="BodyText"/>
      </w:pPr>
      <w:r>
        <w:t xml:space="preserve">정책 면에서 눈여겨볼 것은 관할권 비교다. 중국 출원청 표본의 좁은 클래스 내 CPC 범위는 견고하게 관찰되었다. 그 원인이 Dang과 Motohashi(2015)가 다룬 보조금 정책인지, 출원인 구성인지, 기술 단계나 출원 선택인지는 이 자료로는 가릴 수 없다. 한국 출원청의 계수는 기준 모형에서 유의하지 않았으므로, 한국에 관한 함의는 표본 전체의 패턴에서 끌어낸 것이다. 차세대 HBM을 하이브리드 본딩에 기대고 있는 한국 메모리 산업에 이 결과가 던지는 시사점은, 패키징 경쟁력이 패키징 노하우 하나에 달려 있지 않을 수 있다는 점이다. 평탄화, 표면 화학, 정렬 계측 같은 제조공정 역량, 그리고 이를 하나의 특허출원에서 통합적으로 보호하는 능력이 함께 필요할 수 있다.</w:t>
      </w:r>
    </w:p>
    <w:bookmarkEnd w:id="48"/>
    <w:bookmarkStart w:id="49"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조립 단계의 제조공정도 들어 있고, 기술범위는 유형과 같은 CPC 정보에서 만들어진다. 좁은 정의로도 회귀 결과는 유지되지만 통합형의 비중 같은 기술통계는 정의에 따라 달라진다.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 두 클래스 밖의 CPC 기호가 자료에 없다. 이 때문에 중국 출원청의 프로필이 어떤 출원인 집단에서 비롯되는지는 가리지 못하며, PATSTAT의 출원인 정보와 정식 패밀리 식별자, 전체 CPC 기호를 결합하는 것이 다음 단계다. 다섯째, 시간과 공개 시차다. 초기 출원은 드물고, 연도 효과는 선형으로 가정했으며, 2023–2024년 출원은 불완전하게 관측된다. 또한 CPC는 주기적으로 개정되며 과거 출원도 소급 재분류될 수 있다. 본 연구는 사용된 PATSTAT 판본의 분류 스냅샷을 이용했으므로, 관찰된 시간 패턴의 일부는 기술 변화뿐 아니라 분류 관행의 변화도 반영할 수 있다. 여섯째, 인과성이다. 다양성과 유형은 함께 결정될 가능성이 높고 적절한 도구변수가 없으므로 인과관계는 주장하지 않으며, 출원청 계수는 관할권의 효과가 아니고, 산업 아키텍처와 기업 전략은 직접 검정하지 않는다.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9"/>
    <w:bookmarkEnd w:id="50"/>
    <w:bookmarkStart w:id="51" w:name="결론"/>
    <w:p>
      <w:pPr>
        <w:pStyle w:val="Heading2"/>
      </w:pPr>
      <w:r>
        <w:t xml:space="preserve">7. 결론</w:t>
      </w:r>
    </w:p>
    <w:p>
      <w:pPr>
        <w:pStyle w:val="FirstParagraph"/>
      </w:pPr>
      <w:r>
        <w:t xml:space="preserve">기술융합은 그동안 주로 산업과 산업의 만남으로 연구되어 왔다. 본 연구는 융합이 한 산업의 공정 단계 사이에서도 일어나는지를 개별 출원 수준에서 물었다. 하이브리드 본딩 관련 출원 928건에 부여된 CPC 기호를 기준으로 각 출원을 조립 단독형, 공정 단독형, 통합형으로 나누고, 어떤 특성의 출원이 두 영역의 분류를 함께 가지는지를 추정하였다.</w:t>
      </w:r>
    </w:p>
    <w:p>
      <w:pPr>
        <w:pStyle w:val="BodyText"/>
      </w:pPr>
      <w:r>
        <w:t xml:space="preserve">결과는 견고성에 따라 세 층으로 나누어 읽는 것이 정직하다. 가장 견고한 층에는 세 가지가 있다. 이 논문의 검색식으로 식별된 하이브리드 본딩 관련 출원에서 제조공정과 접합 기술의 공동분류는 45.8%였고 보수적 정의로도 37.2%여서, 예외적인 현상이라고는 보기 어렵다. 공정 단독형의 상대위험은 표본과 정의를 어떻게 바꾸어도 최근 출원일수록 낮았다. 중국 출원청 출원은 미국 출원청 출원보다 두 클래스 안의 CPC 범위가 좁았고, 이 차이 역시 모든 표본에서 살아남았다.</w:t>
      </w:r>
    </w:p>
    <w:p>
      <w:pPr>
        <w:pStyle w:val="BodyText"/>
      </w:pPr>
      <w:r>
        <w:t xml:space="preserve">그다음 층의 보조 결과로는 통합형과 높은 기술적 다양성의 연관, 그리고 통합형 비중이 늘었다가 줄어든 시기별 움직임이 있다. 앞의 것은 통합형의 구성적 특징으로, 뒤의 것은 탐색적 해석으로 제시하였다. 제한적 결과는 중국 출원청의 공정 단독형 편중인데, 이는 최근 출원 구성에 민감하다. 출원인과 공식 패밀리 정보가 없는 본 자료에서 출원청별 차이는 관할권의 인과효과가 아니라 각 출원청에 진입한 발명 포트폴리오의 구성 차이로 해석해야 하며, 산업 아키텍처의 변화는 직접 검정하지 않았다.</w:t>
      </w:r>
    </w:p>
    <w:p>
      <w:pPr>
        <w:pStyle w:val="BodyText"/>
      </w:pPr>
      <w:r>
        <w:t xml:space="preserve">본 연구의 핵심 기여는 새로운 융합지수를 제안한 데 있지 않다. 공동분류를 개별 특허의 유형으로 재구성하여 특허 수준의 이질성과 관련 요인을 추정할 수 있게 하고, 이를 산업 내 공정 단계 간 융합이라는 새로운 사례에 적용한 데 있다.</w:t>
      </w:r>
    </w:p>
    <w:p>
      <w:r>
        <w:pict>
          <v:rect style="width:0;height:1.5pt" o:hralign="center" o:hrstd="t" o:hr="t"/>
        </w:pict>
      </w:r>
    </w:p>
    <w:bookmarkEnd w:id="51"/>
    <w:bookmarkStart w:id="52"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Brown, C., Linden, G., 2009. Chips and Change: How Crisis Reshapes the Semiconductor Industry. MIT Press, Cambridge, MA.</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2"/>
    <w:bookmarkStart w:id="56" w:name="부록"/>
    <w:p>
      <w:pPr>
        <w:pStyle w:val="Heading2"/>
      </w:pPr>
      <w:r>
        <w:t xml:space="preserve">부록</w:t>
      </w:r>
    </w:p>
    <w:bookmarkStart w:id="53" w:name="부록-a.-기술범위-모형의-비교"/>
    <w:p>
      <w:pPr>
        <w:pStyle w:val="Heading3"/>
      </w:pPr>
      <w:r>
        <w:t xml:space="preserve">부록 A. 기술범위 모형의 비교</w:t>
      </w:r>
    </w:p>
    <w:p>
      <w:pPr>
        <w:pStyle w:val="FirstParagraph"/>
      </w:pPr>
      <w:r>
        <w:t xml:space="preserve">표 A1은 본문의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관련 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53"/>
    <w:bookmarkStart w:id="54" w:name="부록-b.-재추정-결과-전체"/>
    <w:p>
      <w:pPr>
        <w:pStyle w:val="Heading3"/>
      </w:pPr>
      <w:r>
        <w:t xml:space="preserve">부록 B. 재추정 결과 전체</w:t>
      </w:r>
    </w:p>
    <w:p>
      <w:pPr>
        <w:pStyle w:val="FirstParagraph"/>
      </w:pPr>
      <w:r>
        <w:t xml:space="preserve">표 B1과 B2는 본문의 강건성 요약표에 실은 재추정의 전체 계수다. 각 열은 표본 또는 변수 정의를 하나씩 바꾼 다항 로짓이며, 기준 열은 본문의 다항 로짓 표와 같다. 조정 범위는 출원이 보유한 클래스마다 최소 1개 기호를 차감한 유형 최소치 조정 CPC 범위(breadth_adj)를, 동일 제목 중복 제거는 같은 제목의 출원 가운데 가장 이른 1건만 남긴 표본을, 좁은 전공정 정의는 H01L21의 조립 단계 공정 기호를 제조공정으로 세지 않은 변수를, 무관 용법 제외는 부록 C의 68건을 뺀 표본을, 핵심 표본은 제목에 hybrid bonding이 들어 있는 출원만 남긴 표본을, 2023–2024년 제외는 공개 시차의 영향을 받는 두 해를 뺀 표본을 뜻한다. 2010년 이후 표본은 본문 제5.1절과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1.205 (0.233)</w:t>
            </w:r>
          </w:p>
        </w:tc>
        <w:tc>
          <w:tcPr>
            <w:tcW w:type="dxa" w:w="980"/>
          </w:tcPr>
          <w:p>
            <w:pPr>
              <w:pStyle w:val="Compact"/>
              <w:spacing w:before="20" w:after="20" w:line="240" w:lineRule="auto"/>
              <w:jc w:val="center"/>
              <w:keepNext/>
            </w:pPr>
            <w:r>
              <w:rPr>
                <w:sz w:val="13"/>
                <w:szCs w:val="13"/>
              </w:rPr>
              <w:t xml:space="preserve">1.096 (0.220)</w:t>
            </w:r>
          </w:p>
        </w:tc>
        <w:tc>
          <w:tcPr>
            <w:tcW w:type="dxa" w:w="980"/>
          </w:tcPr>
          <w:p>
            <w:pPr>
              <w:pStyle w:val="Compact"/>
              <w:spacing w:before="20" w:after="20" w:line="240" w:lineRule="auto"/>
              <w:jc w:val="center"/>
              <w:keepNext/>
            </w:pPr>
            <w:r>
              <w:rPr>
                <w:sz w:val="13"/>
                <w:szCs w:val="13"/>
              </w:rPr>
              <w:t xml:space="preserve">1.366 (0.288)</w:t>
            </w:r>
          </w:p>
        </w:tc>
        <w:tc>
          <w:tcPr>
            <w:tcW w:type="dxa" w:w="980"/>
          </w:tcPr>
          <w:p>
            <w:pPr>
              <w:pStyle w:val="Compact"/>
              <w:spacing w:before="20" w:after="20" w:line="240" w:lineRule="auto"/>
              <w:jc w:val="center"/>
              <w:keepNext/>
            </w:pPr>
            <w:r>
              <w:rPr>
                <w:sz w:val="13"/>
                <w:szCs w:val="13"/>
              </w:rPr>
              <w:t xml:space="preserve">1.401 (0.235)</w:t>
            </w:r>
          </w:p>
        </w:tc>
        <w:tc>
          <w:tcPr>
            <w:tcW w:type="dxa" w:w="980"/>
          </w:tcPr>
          <w:p>
            <w:pPr>
              <w:pStyle w:val="Compact"/>
              <w:spacing w:before="20" w:after="20" w:line="240" w:lineRule="auto"/>
              <w:jc w:val="center"/>
              <w:keepNext/>
            </w:pPr>
            <w:r>
              <w:rPr>
                <w:sz w:val="13"/>
                <w:szCs w:val="13"/>
              </w:rPr>
              <w:t xml:space="preserve">1.350 (0.241)</w:t>
            </w:r>
          </w:p>
        </w:tc>
        <w:tc>
          <w:tcPr>
            <w:tcW w:type="dxa" w:w="980"/>
          </w:tcPr>
          <w:p>
            <w:pPr>
              <w:pStyle w:val="Compact"/>
              <w:spacing w:before="20" w:after="20" w:line="240" w:lineRule="auto"/>
              <w:jc w:val="center"/>
              <w:keepNext/>
            </w:pPr>
            <w:r>
              <w:rPr>
                <w:sz w:val="13"/>
                <w:szCs w:val="13"/>
              </w:rPr>
              <w:t xml:space="preserve">1.690 (0.329)</w:t>
            </w:r>
          </w:p>
        </w:tc>
        <w:tc>
          <w:tcPr>
            <w:tcW w:type="dxa" w:w="1106"/>
          </w:tcPr>
          <w:p>
            <w:pPr>
              <w:pStyle w:val="Compact"/>
              <w:spacing w:before="20" w:after="20" w:line="240" w:lineRule="auto"/>
              <w:jc w:val="center"/>
              <w:keepNext/>
            </w:pPr>
            <w:r>
              <w:rPr>
                <w:sz w:val="13"/>
                <w:szCs w:val="13"/>
              </w:rPr>
              <w:t xml:space="preserve">1.231 (0.258)</w:t>
            </w:r>
          </w:p>
        </w:tc>
        <w:tc>
          <w:tcPr>
            <w:tcW w:type="dxa" w:w="980"/>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1.166 (0.381)</w:t>
            </w:r>
          </w:p>
        </w:tc>
        <w:tc>
          <w:tcPr>
            <w:tcW w:type="dxa" w:w="980"/>
          </w:tcPr>
          <w:p>
            <w:pPr>
              <w:pStyle w:val="Compact"/>
              <w:spacing w:before="20" w:after="20" w:line="240" w:lineRule="auto"/>
              <w:jc w:val="center"/>
              <w:keepNext/>
            </w:pPr>
            <w:r>
              <w:rPr>
                <w:sz w:val="13"/>
                <w:szCs w:val="13"/>
              </w:rPr>
              <w:t xml:space="preserve">1.161 (0.360)</w:t>
            </w:r>
          </w:p>
        </w:tc>
        <w:tc>
          <w:tcPr>
            <w:tcW w:type="dxa" w:w="980"/>
          </w:tcPr>
          <w:p>
            <w:pPr>
              <w:pStyle w:val="Compact"/>
              <w:spacing w:before="20" w:after="20" w:line="240" w:lineRule="auto"/>
              <w:jc w:val="center"/>
              <w:keepNext/>
            </w:pPr>
            <w:r>
              <w:rPr>
                <w:sz w:val="13"/>
                <w:szCs w:val="13"/>
              </w:rPr>
              <w:t xml:space="preserve">1.429 (0.485)</w:t>
            </w:r>
          </w:p>
        </w:tc>
        <w:tc>
          <w:tcPr>
            <w:tcW w:type="dxa" w:w="980"/>
          </w:tcPr>
          <w:p>
            <w:pPr>
              <w:pStyle w:val="Compact"/>
              <w:spacing w:before="20" w:after="20" w:line="240" w:lineRule="auto"/>
              <w:jc w:val="center"/>
              <w:keepNext/>
            </w:pPr>
            <w:r>
              <w:rPr>
                <w:sz w:val="13"/>
                <w:szCs w:val="13"/>
              </w:rPr>
              <w:t xml:space="preserve">1.684 (0.371)</w:t>
            </w:r>
          </w:p>
        </w:tc>
        <w:tc>
          <w:tcPr>
            <w:tcW w:type="dxa" w:w="980"/>
          </w:tcPr>
          <w:p>
            <w:pPr>
              <w:pStyle w:val="Compact"/>
              <w:spacing w:before="20" w:after="20" w:line="240" w:lineRule="auto"/>
              <w:jc w:val="center"/>
              <w:keepNext/>
            </w:pPr>
            <w:r>
              <w:rPr>
                <w:sz w:val="13"/>
                <w:szCs w:val="13"/>
              </w:rPr>
              <w:t xml:space="preserve">1.128 (0.385)</w:t>
            </w:r>
          </w:p>
        </w:tc>
        <w:tc>
          <w:tcPr>
            <w:tcW w:type="dxa" w:w="980"/>
          </w:tcPr>
          <w:p>
            <w:pPr>
              <w:pStyle w:val="Compact"/>
              <w:spacing w:before="20" w:after="20" w:line="240" w:lineRule="auto"/>
              <w:jc w:val="center"/>
              <w:keepNext/>
            </w:pPr>
            <w:r>
              <w:rPr>
                <w:sz w:val="13"/>
                <w:szCs w:val="13"/>
              </w:rPr>
              <w:t xml:space="preserve">1.334 (0.541)</w:t>
            </w:r>
          </w:p>
        </w:tc>
        <w:tc>
          <w:tcPr>
            <w:tcW w:type="dxa" w:w="1106"/>
          </w:tcPr>
          <w:p>
            <w:pPr>
              <w:pStyle w:val="Compact"/>
              <w:spacing w:before="20" w:after="20" w:line="240" w:lineRule="auto"/>
              <w:jc w:val="center"/>
              <w:keepNext/>
            </w:pPr>
            <w:r>
              <w:rPr>
                <w:sz w:val="13"/>
                <w:szCs w:val="13"/>
              </w:rPr>
              <w:t xml:space="preserve">1.095 (0.396)</w:t>
            </w:r>
          </w:p>
        </w:tc>
        <w:tc>
          <w:tcPr>
            <w:tcW w:type="dxa" w:w="980"/>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1.312 (0.322)</w:t>
            </w:r>
          </w:p>
        </w:tc>
        <w:tc>
          <w:tcPr>
            <w:tcW w:type="dxa" w:w="980"/>
          </w:tcPr>
          <w:p>
            <w:pPr>
              <w:pStyle w:val="Compact"/>
              <w:spacing w:before="20" w:after="20" w:line="240" w:lineRule="auto"/>
              <w:jc w:val="center"/>
              <w:keepNext/>
            </w:pPr>
            <w:r>
              <w:rPr>
                <w:sz w:val="13"/>
                <w:szCs w:val="13"/>
              </w:rPr>
              <w:t xml:space="preserve">1.297 (0.302)</w:t>
            </w:r>
          </w:p>
        </w:tc>
        <w:tc>
          <w:tcPr>
            <w:tcW w:type="dxa" w:w="980"/>
          </w:tcPr>
          <w:p>
            <w:pPr>
              <w:pStyle w:val="Compact"/>
              <w:spacing w:before="20" w:after="20" w:line="240" w:lineRule="auto"/>
              <w:jc w:val="center"/>
              <w:keepNext/>
            </w:pPr>
            <w:r>
              <w:rPr>
                <w:sz w:val="13"/>
                <w:szCs w:val="13"/>
              </w:rPr>
              <w:t xml:space="preserve">1.267 (0.633)</w:t>
            </w:r>
          </w:p>
        </w:tc>
        <w:tc>
          <w:tcPr>
            <w:tcW w:type="dxa" w:w="980"/>
          </w:tcPr>
          <w:p>
            <w:pPr>
              <w:pStyle w:val="Compact"/>
              <w:spacing w:before="20" w:after="20" w:line="240" w:lineRule="auto"/>
              <w:jc w:val="center"/>
              <w:keepNext/>
            </w:pPr>
            <w:r>
              <w:rPr>
                <w:sz w:val="13"/>
                <w:szCs w:val="13"/>
              </w:rPr>
              <w:t xml:space="preserve">1.763* (0.315)</w:t>
            </w:r>
          </w:p>
        </w:tc>
        <w:tc>
          <w:tcPr>
            <w:tcW w:type="dxa" w:w="980"/>
          </w:tcPr>
          <w:p>
            <w:pPr>
              <w:pStyle w:val="Compact"/>
              <w:spacing w:before="20" w:after="20" w:line="240" w:lineRule="auto"/>
              <w:jc w:val="center"/>
              <w:keepNext/>
            </w:pPr>
            <w:r>
              <w:rPr>
                <w:sz w:val="13"/>
                <w:szCs w:val="13"/>
              </w:rPr>
              <w:t xml:space="preserve">1.402 (0.323)</w:t>
            </w:r>
          </w:p>
        </w:tc>
        <w:tc>
          <w:tcPr>
            <w:tcW w:type="dxa" w:w="980"/>
          </w:tcPr>
          <w:p>
            <w:pPr>
              <w:pStyle w:val="Compact"/>
              <w:spacing w:before="20" w:after="20" w:line="240" w:lineRule="auto"/>
              <w:jc w:val="center"/>
              <w:keepNext/>
            </w:pPr>
            <w:r>
              <w:rPr>
                <w:sz w:val="13"/>
                <w:szCs w:val="13"/>
              </w:rPr>
              <w:t xml:space="preserve">1.950 (0.447)</w:t>
            </w:r>
          </w:p>
        </w:tc>
        <w:tc>
          <w:tcPr>
            <w:tcW w:type="dxa" w:w="1106"/>
          </w:tcPr>
          <w:p>
            <w:pPr>
              <w:pStyle w:val="Compact"/>
              <w:spacing w:before="20" w:after="20" w:line="240" w:lineRule="auto"/>
              <w:jc w:val="center"/>
              <w:keepNext/>
            </w:pPr>
            <w:r>
              <w:rPr>
                <w:sz w:val="13"/>
                <w:szCs w:val="13"/>
              </w:rPr>
              <w:t xml:space="preserve">1.480 (0.381)</w:t>
            </w:r>
          </w:p>
        </w:tc>
        <w:tc>
          <w:tcPr>
            <w:tcW w:type="dxa" w:w="980"/>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1.046 (0.557)</w:t>
            </w:r>
          </w:p>
        </w:tc>
        <w:tc>
          <w:tcPr>
            <w:tcW w:type="dxa" w:w="980"/>
          </w:tcPr>
          <w:p>
            <w:pPr>
              <w:pStyle w:val="Compact"/>
              <w:spacing w:before="20" w:after="20" w:line="240" w:lineRule="auto"/>
              <w:jc w:val="center"/>
              <w:keepNext/>
            </w:pPr>
            <w:r>
              <w:rPr>
                <w:sz w:val="13"/>
                <w:szCs w:val="13"/>
              </w:rPr>
              <w:t xml:space="preserve">1.053 (0.526)</w:t>
            </w:r>
          </w:p>
        </w:tc>
        <w:tc>
          <w:tcPr>
            <w:tcW w:type="dxa" w:w="980"/>
          </w:tcPr>
          <w:p>
            <w:pPr>
              <w:pStyle w:val="Compact"/>
              <w:spacing w:before="20" w:after="20" w:line="240" w:lineRule="auto"/>
              <w:jc w:val="center"/>
              <w:keepNext/>
            </w:pPr>
            <w:r>
              <w:rPr>
                <w:sz w:val="13"/>
                <w:szCs w:val="13"/>
              </w:rPr>
              <w:t xml:space="preserve">1.572 (0.673)</w:t>
            </w:r>
          </w:p>
        </w:tc>
        <w:tc>
          <w:tcPr>
            <w:tcW w:type="dxa" w:w="980"/>
          </w:tcPr>
          <w:p>
            <w:pPr>
              <w:pStyle w:val="Compact"/>
              <w:spacing w:before="20" w:after="20" w:line="240" w:lineRule="auto"/>
              <w:jc w:val="center"/>
              <w:keepNext/>
            </w:pPr>
            <w:r>
              <w:rPr>
                <w:sz w:val="13"/>
                <w:szCs w:val="13"/>
              </w:rPr>
              <w:t xml:space="preserve">1.401 (0.536)</w:t>
            </w:r>
          </w:p>
        </w:tc>
        <w:tc>
          <w:tcPr>
            <w:tcW w:type="dxa" w:w="980"/>
          </w:tcPr>
          <w:p>
            <w:pPr>
              <w:pStyle w:val="Compact"/>
              <w:spacing w:before="20" w:after="20" w:line="240" w:lineRule="auto"/>
              <w:jc w:val="center"/>
              <w:keepNext/>
            </w:pPr>
            <w:r>
              <w:rPr>
                <w:sz w:val="13"/>
                <w:szCs w:val="13"/>
              </w:rPr>
              <w:t xml:space="preserve">1.643 (0.654)</w:t>
            </w:r>
          </w:p>
        </w:tc>
        <w:tc>
          <w:tcPr>
            <w:tcW w:type="dxa" w:w="980"/>
          </w:tcPr>
          <w:p>
            <w:pPr>
              <w:pStyle w:val="Compact"/>
              <w:spacing w:before="20" w:after="20" w:line="240" w:lineRule="auto"/>
              <w:jc w:val="center"/>
              <w:keepNext/>
            </w:pPr>
            <w:r>
              <w:rPr>
                <w:sz w:val="13"/>
                <w:szCs w:val="13"/>
              </w:rPr>
              <w:t xml:space="preserve">1.833 (1.325)</w:t>
            </w:r>
          </w:p>
        </w:tc>
        <w:tc>
          <w:tcPr>
            <w:tcW w:type="dxa" w:w="1106"/>
          </w:tcPr>
          <w:p>
            <w:pPr>
              <w:pStyle w:val="Compact"/>
              <w:spacing w:before="20" w:after="20" w:line="240" w:lineRule="auto"/>
              <w:jc w:val="center"/>
              <w:keepNext/>
            </w:pPr>
            <w:r>
              <w:rPr>
                <w:sz w:val="13"/>
                <w:szCs w:val="13"/>
              </w:rPr>
              <w:t xml:space="preserve">0.400 (0.748)</w:t>
            </w:r>
          </w:p>
        </w:tc>
        <w:tc>
          <w:tcPr>
            <w:tcW w:type="dxa" w:w="980"/>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1.307 (0.291)</w:t>
            </w:r>
          </w:p>
        </w:tc>
        <w:tc>
          <w:tcPr>
            <w:tcW w:type="dxa" w:w="980"/>
          </w:tcPr>
          <w:p>
            <w:pPr>
              <w:pStyle w:val="Compact"/>
              <w:spacing w:before="20" w:after="20" w:line="240" w:lineRule="auto"/>
              <w:jc w:val="center"/>
              <w:keepNext/>
            </w:pPr>
            <w:r>
              <w:rPr>
                <w:sz w:val="13"/>
                <w:szCs w:val="13"/>
              </w:rPr>
              <w:t xml:space="preserve">1.302 (0.278)</w:t>
            </w:r>
          </w:p>
        </w:tc>
        <w:tc>
          <w:tcPr>
            <w:tcW w:type="dxa" w:w="980"/>
          </w:tcPr>
          <w:p>
            <w:pPr>
              <w:pStyle w:val="Compact"/>
              <w:spacing w:before="20" w:after="20" w:line="240" w:lineRule="auto"/>
              <w:jc w:val="center"/>
              <w:keepNext/>
            </w:pPr>
            <w:r>
              <w:rPr>
                <w:sz w:val="13"/>
                <w:szCs w:val="13"/>
              </w:rPr>
              <w:t xml:space="preserve">2.412* (0.480)</w:t>
            </w:r>
          </w:p>
        </w:tc>
        <w:tc>
          <w:tcPr>
            <w:tcW w:type="dxa" w:w="980"/>
          </w:tcPr>
          <w:p>
            <w:pPr>
              <w:pStyle w:val="Compact"/>
              <w:spacing w:before="20" w:after="20" w:line="240" w:lineRule="auto"/>
              <w:jc w:val="center"/>
              <w:keepNext/>
            </w:pPr>
            <w:r>
              <w:rPr>
                <w:sz w:val="13"/>
                <w:szCs w:val="13"/>
              </w:rPr>
              <w:t xml:space="preserve">1.215 (0.288)</w:t>
            </w:r>
          </w:p>
        </w:tc>
        <w:tc>
          <w:tcPr>
            <w:tcW w:type="dxa" w:w="980"/>
          </w:tcPr>
          <w:p>
            <w:pPr>
              <w:pStyle w:val="Compact"/>
              <w:spacing w:before="20" w:after="20" w:line="240" w:lineRule="auto"/>
              <w:jc w:val="center"/>
              <w:keepNext/>
            </w:pPr>
            <w:r>
              <w:rPr>
                <w:sz w:val="13"/>
                <w:szCs w:val="13"/>
              </w:rPr>
              <w:t xml:space="preserve">1.522 (0.306)</w:t>
            </w:r>
          </w:p>
        </w:tc>
        <w:tc>
          <w:tcPr>
            <w:tcW w:type="dxa" w:w="980"/>
          </w:tcPr>
          <w:p>
            <w:pPr>
              <w:pStyle w:val="Compact"/>
              <w:spacing w:before="20" w:after="20" w:line="240" w:lineRule="auto"/>
              <w:jc w:val="center"/>
              <w:keepNext/>
            </w:pPr>
            <w:r>
              <w:rPr>
                <w:sz w:val="13"/>
                <w:szCs w:val="13"/>
              </w:rPr>
              <w:t xml:space="preserve">1.267 (0.506)</w:t>
            </w:r>
          </w:p>
        </w:tc>
        <w:tc>
          <w:tcPr>
            <w:tcW w:type="dxa" w:w="1106"/>
          </w:tcPr>
          <w:p>
            <w:pPr>
              <w:pStyle w:val="Compact"/>
              <w:spacing w:before="20" w:after="20" w:line="240" w:lineRule="auto"/>
              <w:jc w:val="center"/>
              <w:keepNext/>
            </w:pPr>
            <w:r>
              <w:rPr>
                <w:sz w:val="13"/>
                <w:szCs w:val="13"/>
              </w:rPr>
              <w:t xml:space="preserve">1.078 (0.313)</w:t>
            </w:r>
          </w:p>
        </w:tc>
        <w:tc>
          <w:tcPr>
            <w:tcW w:type="dxa" w:w="980"/>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1.126 (0.268)</w:t>
            </w:r>
          </w:p>
        </w:tc>
        <w:tc>
          <w:tcPr>
            <w:tcW w:type="dxa" w:w="980"/>
          </w:tcPr>
          <w:p>
            <w:pPr>
              <w:pStyle w:val="Compact"/>
              <w:spacing w:before="20" w:after="20" w:line="240" w:lineRule="auto"/>
              <w:jc w:val="center"/>
              <w:keepNext/>
            </w:pPr>
            <w:r>
              <w:rPr>
                <w:sz w:val="13"/>
                <w:szCs w:val="13"/>
              </w:rPr>
              <w:t xml:space="preserve">1.031 (0.254)</w:t>
            </w:r>
          </w:p>
        </w:tc>
        <w:tc>
          <w:tcPr>
            <w:tcW w:type="dxa" w:w="980"/>
          </w:tcPr>
          <w:p>
            <w:pPr>
              <w:pStyle w:val="Compact"/>
              <w:spacing w:before="20" w:after="20" w:line="240" w:lineRule="auto"/>
              <w:jc w:val="center"/>
              <w:keepNext/>
            </w:pPr>
            <w:r>
              <w:rPr>
                <w:sz w:val="13"/>
                <w:szCs w:val="13"/>
              </w:rPr>
              <w:t xml:space="preserve">1.042 (0.489)</w:t>
            </w:r>
          </w:p>
        </w:tc>
        <w:tc>
          <w:tcPr>
            <w:tcW w:type="dxa" w:w="980"/>
          </w:tcPr>
          <w:p>
            <w:pPr>
              <w:pStyle w:val="Compact"/>
              <w:spacing w:before="20" w:after="20" w:line="240" w:lineRule="auto"/>
              <w:jc w:val="center"/>
              <w:keepNext/>
            </w:pPr>
            <w:r>
              <w:rPr>
                <w:sz w:val="13"/>
                <w:szCs w:val="13"/>
              </w:rPr>
              <w:t xml:space="preserve">1.193 (0.274)</w:t>
            </w:r>
          </w:p>
        </w:tc>
        <w:tc>
          <w:tcPr>
            <w:tcW w:type="dxa" w:w="980"/>
          </w:tcPr>
          <w:p>
            <w:pPr>
              <w:pStyle w:val="Compact"/>
              <w:spacing w:before="20" w:after="20" w:line="240" w:lineRule="auto"/>
              <w:jc w:val="center"/>
              <w:keepNext/>
            </w:pPr>
            <w:r>
              <w:rPr>
                <w:sz w:val="13"/>
                <w:szCs w:val="13"/>
              </w:rPr>
              <w:t xml:space="preserve">1.145 (0.274)</w:t>
            </w:r>
          </w:p>
        </w:tc>
        <w:tc>
          <w:tcPr>
            <w:tcW w:type="dxa" w:w="980"/>
          </w:tcPr>
          <w:p>
            <w:pPr>
              <w:pStyle w:val="Compact"/>
              <w:spacing w:before="20" w:after="20" w:line="240" w:lineRule="auto"/>
              <w:jc w:val="center"/>
              <w:keepNext/>
            </w:pPr>
            <w:r>
              <w:rPr>
                <w:sz w:val="13"/>
                <w:szCs w:val="13"/>
              </w:rPr>
              <w:t xml:space="preserve">1.194 (0.369)</w:t>
            </w:r>
          </w:p>
        </w:tc>
        <w:tc>
          <w:tcPr>
            <w:tcW w:type="dxa" w:w="1106"/>
          </w:tcPr>
          <w:p>
            <w:pPr>
              <w:pStyle w:val="Compact"/>
              <w:spacing w:before="20" w:after="20" w:line="240" w:lineRule="auto"/>
              <w:jc w:val="center"/>
              <w:keepNext/>
            </w:pPr>
            <w:r>
              <w:rPr>
                <w:sz w:val="13"/>
                <w:szCs w:val="13"/>
              </w:rPr>
              <w:t xml:space="preserve">1.387 (0.335)</w:t>
            </w:r>
          </w:p>
        </w:tc>
        <w:tc>
          <w:tcPr>
            <w:tcW w:type="dxa" w:w="980"/>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2.326 (0.681)</w:t>
            </w:r>
          </w:p>
        </w:tc>
        <w:tc>
          <w:tcPr>
            <w:tcW w:type="dxa" w:w="980"/>
          </w:tcPr>
          <w:p>
            <w:pPr>
              <w:pStyle w:val="Compact"/>
              <w:spacing w:before="20" w:after="20" w:line="240" w:lineRule="auto"/>
              <w:jc w:val="center"/>
              <w:keepNext/>
            </w:pPr>
            <w:r>
              <w:rPr>
                <w:sz w:val="13"/>
                <w:szCs w:val="13"/>
              </w:rPr>
              <w:t xml:space="preserve">2.021 (0.664)</w:t>
            </w:r>
          </w:p>
        </w:tc>
        <w:tc>
          <w:tcPr>
            <w:tcW w:type="dxa" w:w="980"/>
          </w:tcPr>
          <w:p>
            <w:pPr>
              <w:pStyle w:val="Compact"/>
              <w:spacing w:before="20" w:after="20" w:line="240" w:lineRule="auto"/>
              <w:jc w:val="center"/>
              <w:keepNext/>
            </w:pPr>
            <w:r>
              <w:rPr>
                <w:sz w:val="13"/>
                <w:szCs w:val="13"/>
              </w:rPr>
              <w:t xml:space="preserve">0.167 (2.128)</w:t>
            </w:r>
          </w:p>
        </w:tc>
        <w:tc>
          <w:tcPr>
            <w:tcW w:type="dxa" w:w="980"/>
          </w:tcPr>
          <w:p>
            <w:pPr>
              <w:pStyle w:val="Compact"/>
              <w:spacing w:before="20" w:after="20" w:line="240" w:lineRule="auto"/>
              <w:jc w:val="center"/>
              <w:keepNext/>
            </w:pPr>
            <w:r>
              <w:rPr>
                <w:sz w:val="13"/>
                <w:szCs w:val="13"/>
              </w:rPr>
              <w:t xml:space="preserve">2.631 (0.663)</w:t>
            </w:r>
          </w:p>
        </w:tc>
        <w:tc>
          <w:tcPr>
            <w:tcW w:type="dxa" w:w="980"/>
          </w:tcPr>
          <w:p>
            <w:pPr>
              <w:pStyle w:val="Compact"/>
              <w:spacing w:before="20" w:after="20" w:line="240" w:lineRule="auto"/>
              <w:jc w:val="center"/>
              <w:keepNext/>
            </w:pPr>
            <w:r>
              <w:rPr>
                <w:sz w:val="13"/>
                <w:szCs w:val="13"/>
              </w:rPr>
              <w:t xml:space="preserve">2.051 (0.680)</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2.979 (0.747)</w:t>
            </w:r>
          </w:p>
        </w:tc>
        <w:tc>
          <w:tcPr>
            <w:tcW w:type="dxa" w:w="980"/>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0.913*** (0.015)</w:t>
            </w:r>
          </w:p>
        </w:tc>
        <w:tc>
          <w:tcPr>
            <w:tcW w:type="dxa" w:w="980"/>
          </w:tcPr>
          <w:p>
            <w:pPr>
              <w:pStyle w:val="Compact"/>
              <w:spacing w:before="20" w:after="20" w:line="240" w:lineRule="auto"/>
              <w:jc w:val="center"/>
              <w:keepNext/>
            </w:pPr>
            <w:r>
              <w:rPr>
                <w:sz w:val="13"/>
                <w:szCs w:val="13"/>
              </w:rPr>
              <w:t xml:space="preserve">0.911*** (0.015)</w:t>
            </w:r>
          </w:p>
        </w:tc>
        <w:tc>
          <w:tcPr>
            <w:tcW w:type="dxa" w:w="980"/>
          </w:tcPr>
          <w:p>
            <w:pPr>
              <w:pStyle w:val="Compact"/>
              <w:spacing w:before="20" w:after="20" w:line="240" w:lineRule="auto"/>
              <w:jc w:val="center"/>
              <w:keepNext/>
            </w:pPr>
            <w:r>
              <w:rPr>
                <w:sz w:val="13"/>
                <w:szCs w:val="13"/>
              </w:rPr>
              <w:t xml:space="preserve">0.935*** (0.016)</w:t>
            </w:r>
          </w:p>
        </w:tc>
        <w:tc>
          <w:tcPr>
            <w:tcW w:type="dxa" w:w="980"/>
          </w:tcPr>
          <w:p>
            <w:pPr>
              <w:pStyle w:val="Compact"/>
              <w:spacing w:before="20" w:after="20" w:line="240" w:lineRule="auto"/>
              <w:jc w:val="center"/>
              <w:keepNext/>
            </w:pPr>
            <w:r>
              <w:rPr>
                <w:sz w:val="13"/>
                <w:szCs w:val="13"/>
              </w:rPr>
              <w:t xml:space="preserve">0.898*** (0.015)</w:t>
            </w:r>
          </w:p>
        </w:tc>
        <w:tc>
          <w:tcPr>
            <w:tcW w:type="dxa" w:w="980"/>
          </w:tcPr>
          <w:p>
            <w:pPr>
              <w:pStyle w:val="Compact"/>
              <w:spacing w:before="20" w:after="20" w:line="240" w:lineRule="auto"/>
              <w:jc w:val="center"/>
              <w:keepNext/>
            </w:pPr>
            <w:r>
              <w:rPr>
                <w:sz w:val="13"/>
                <w:szCs w:val="13"/>
              </w:rPr>
              <w:t xml:space="preserve">0.820*** (0.023)</w:t>
            </w:r>
          </w:p>
        </w:tc>
        <w:tc>
          <w:tcPr>
            <w:tcW w:type="dxa" w:w="9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80"/>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0.905** (0.048)</w:t>
            </w:r>
          </w:p>
        </w:tc>
        <w:tc>
          <w:tcPr>
            <w:tcW w:type="dxa" w:w="980"/>
          </w:tcPr>
          <w:p>
            <w:pPr>
              <w:pStyle w:val="Compact"/>
              <w:spacing w:before="20" w:after="20" w:line="240" w:lineRule="auto"/>
              <w:jc w:val="center"/>
              <w:keepNext/>
            </w:pPr>
            <w:r>
              <w:rPr>
                <w:sz w:val="13"/>
                <w:szCs w:val="13"/>
              </w:rPr>
              <w:t xml:space="preserve">0.915** (0.044)</w:t>
            </w:r>
          </w:p>
        </w:tc>
        <w:tc>
          <w:tcPr>
            <w:tcW w:type="dxa" w:w="980"/>
          </w:tcPr>
          <w:p>
            <w:pPr>
              <w:pStyle w:val="Compact"/>
              <w:spacing w:before="20" w:after="20" w:line="240" w:lineRule="auto"/>
              <w:jc w:val="center"/>
              <w:keepNext/>
            </w:pPr>
            <w:r>
              <w:rPr>
                <w:sz w:val="13"/>
                <w:szCs w:val="13"/>
              </w:rPr>
              <w:t xml:space="preserve">0.826*** (0.061)</w:t>
            </w:r>
          </w:p>
        </w:tc>
        <w:tc>
          <w:tcPr>
            <w:tcW w:type="dxa" w:w="980"/>
          </w:tcPr>
          <w:p>
            <w:pPr>
              <w:pStyle w:val="Compact"/>
              <w:spacing w:before="20" w:after="20" w:line="240" w:lineRule="auto"/>
              <w:jc w:val="center"/>
              <w:keepNext/>
            </w:pPr>
            <w:r>
              <w:rPr>
                <w:sz w:val="13"/>
                <w:szCs w:val="13"/>
              </w:rPr>
              <w:t xml:space="preserve">0.923* (0.045)</w:t>
            </w:r>
          </w:p>
        </w:tc>
        <w:tc>
          <w:tcPr>
            <w:tcW w:type="dxa" w:w="980"/>
          </w:tcPr>
          <w:p>
            <w:pPr>
              <w:pStyle w:val="Compact"/>
              <w:spacing w:before="20" w:after="20" w:line="240" w:lineRule="auto"/>
              <w:jc w:val="center"/>
              <w:keepNext/>
            </w:pPr>
            <w:r>
              <w:rPr>
                <w:sz w:val="13"/>
                <w:szCs w:val="13"/>
              </w:rPr>
              <w:t xml:space="preserve">0.916* (0.050)</w:t>
            </w:r>
          </w:p>
        </w:tc>
        <w:tc>
          <w:tcPr>
            <w:tcW w:type="dxa" w:w="9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80"/>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2.687*** (0.276)</w:t>
            </w:r>
          </w:p>
        </w:tc>
        <w:tc>
          <w:tcPr>
            <w:tcW w:type="dxa" w:w="980"/>
          </w:tcPr>
          <w:p>
            <w:pPr>
              <w:pStyle w:val="Compact"/>
              <w:spacing w:before="20" w:after="20" w:line="240" w:lineRule="auto"/>
              <w:jc w:val="center"/>
              <w:keepNext/>
            </w:pPr>
            <w:r>
              <w:rPr>
                <w:sz w:val="13"/>
                <w:szCs w:val="13"/>
              </w:rPr>
              <w:t xml:space="preserve">2.720*** (0.274)</w:t>
            </w:r>
          </w:p>
        </w:tc>
        <w:tc>
          <w:tcPr>
            <w:tcW w:type="dxa" w:w="980"/>
          </w:tcPr>
          <w:p>
            <w:pPr>
              <w:pStyle w:val="Compact"/>
              <w:spacing w:before="20" w:after="20" w:line="240" w:lineRule="auto"/>
              <w:jc w:val="center"/>
              <w:keepNext/>
            </w:pPr>
            <w:r>
              <w:rPr>
                <w:sz w:val="13"/>
                <w:szCs w:val="13"/>
              </w:rPr>
              <w:t xml:space="preserve">2.721*** (0.320)</w:t>
            </w:r>
          </w:p>
        </w:tc>
        <w:tc>
          <w:tcPr>
            <w:tcW w:type="dxa" w:w="980"/>
          </w:tcPr>
          <w:p>
            <w:pPr>
              <w:pStyle w:val="Compact"/>
              <w:spacing w:before="20" w:after="20" w:line="240" w:lineRule="auto"/>
              <w:jc w:val="center"/>
              <w:keepNext/>
            </w:pPr>
            <w:r>
              <w:rPr>
                <w:sz w:val="13"/>
                <w:szCs w:val="13"/>
              </w:rPr>
              <w:t xml:space="preserve">3.299*** (0.285)</w:t>
            </w:r>
          </w:p>
        </w:tc>
        <w:tc>
          <w:tcPr>
            <w:tcW w:type="dxa" w:w="980"/>
          </w:tcPr>
          <w:p>
            <w:pPr>
              <w:pStyle w:val="Compact"/>
              <w:spacing w:before="20" w:after="20" w:line="240" w:lineRule="auto"/>
              <w:jc w:val="center"/>
              <w:keepNext/>
            </w:pPr>
            <w:r>
              <w:rPr>
                <w:sz w:val="13"/>
                <w:szCs w:val="13"/>
              </w:rPr>
              <w:t xml:space="preserve">3.235*** (0.303)</w:t>
            </w:r>
          </w:p>
        </w:tc>
        <w:tc>
          <w:tcPr>
            <w:tcW w:type="dxa" w:w="980"/>
          </w:tcPr>
          <w:p>
            <w:pPr>
              <w:pStyle w:val="Compact"/>
              <w:spacing w:before="20" w:after="20" w:line="240" w:lineRule="auto"/>
              <w:jc w:val="center"/>
              <w:keepNext/>
            </w:pPr>
            <w:r>
              <w:rPr>
                <w:sz w:val="13"/>
                <w:szCs w:val="13"/>
              </w:rPr>
              <w:t xml:space="preserve">7.211*** (0.407)</w:t>
            </w:r>
          </w:p>
        </w:tc>
        <w:tc>
          <w:tcPr>
            <w:tcW w:type="dxa" w:w="1106"/>
          </w:tcPr>
          <w:p>
            <w:pPr>
              <w:pStyle w:val="Compact"/>
              <w:spacing w:before="20" w:after="20" w:line="240" w:lineRule="auto"/>
              <w:jc w:val="center"/>
              <w:keepNext/>
            </w:pPr>
            <w:r>
              <w:rPr>
                <w:sz w:val="13"/>
                <w:szCs w:val="13"/>
              </w:rPr>
              <w:t xml:space="preserve">1.651 (0.319)</w:t>
            </w:r>
          </w:p>
        </w:tc>
        <w:tc>
          <w:tcPr>
            <w:tcW w:type="dxa" w:w="980"/>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1.906 (0.419)</w:t>
            </w:r>
          </w:p>
        </w:tc>
        <w:tc>
          <w:tcPr>
            <w:tcW w:type="dxa" w:w="980"/>
          </w:tcPr>
          <w:p>
            <w:pPr>
              <w:pStyle w:val="Compact"/>
              <w:spacing w:before="20" w:after="20" w:line="240" w:lineRule="auto"/>
              <w:jc w:val="center"/>
              <w:keepNext/>
            </w:pPr>
            <w:r>
              <w:rPr>
                <w:sz w:val="13"/>
                <w:szCs w:val="13"/>
              </w:rPr>
              <w:t xml:space="preserve">1.913 (0.419)</w:t>
            </w:r>
          </w:p>
        </w:tc>
        <w:tc>
          <w:tcPr>
            <w:tcW w:type="dxa" w:w="980"/>
          </w:tcPr>
          <w:p>
            <w:pPr>
              <w:pStyle w:val="Compact"/>
              <w:spacing w:before="20" w:after="20" w:line="240" w:lineRule="auto"/>
              <w:jc w:val="center"/>
              <w:keepNext/>
            </w:pPr>
            <w:r>
              <w:rPr>
                <w:sz w:val="13"/>
                <w:szCs w:val="13"/>
              </w:rPr>
              <w:t xml:space="preserve">1.807 (0.499)</w:t>
            </w:r>
          </w:p>
        </w:tc>
        <w:tc>
          <w:tcPr>
            <w:tcW w:type="dxa" w:w="980"/>
          </w:tcPr>
          <w:p>
            <w:pPr>
              <w:pStyle w:val="Compact"/>
              <w:spacing w:before="20" w:after="20" w:line="240" w:lineRule="auto"/>
              <w:jc w:val="center"/>
              <w:keepNext/>
            </w:pPr>
            <w:r>
              <w:rPr>
                <w:sz w:val="13"/>
                <w:szCs w:val="13"/>
              </w:rPr>
              <w:t xml:space="preserve">2.636** (0.422)</w:t>
            </w:r>
          </w:p>
        </w:tc>
        <w:tc>
          <w:tcPr>
            <w:tcW w:type="dxa" w:w="980"/>
          </w:tcPr>
          <w:p>
            <w:pPr>
              <w:pStyle w:val="Compact"/>
              <w:spacing w:before="20" w:after="20" w:line="240" w:lineRule="auto"/>
              <w:jc w:val="center"/>
              <w:keepNext/>
            </w:pPr>
            <w:r>
              <w:rPr>
                <w:sz w:val="13"/>
                <w:szCs w:val="13"/>
              </w:rPr>
              <w:t xml:space="preserve">1.175 (0.510)</w:t>
            </w:r>
          </w:p>
        </w:tc>
        <w:tc>
          <w:tcPr>
            <w:tcW w:type="dxa" w:w="980"/>
          </w:tcPr>
          <w:p>
            <w:pPr>
              <w:pStyle w:val="Compact"/>
              <w:spacing w:before="20" w:after="20" w:line="240" w:lineRule="auto"/>
              <w:jc w:val="center"/>
              <w:keepNext/>
            </w:pPr>
            <w:r>
              <w:rPr>
                <w:sz w:val="13"/>
                <w:szCs w:val="13"/>
              </w:rPr>
              <w:t xml:space="preserve">1.901 (0.863)</w:t>
            </w:r>
          </w:p>
        </w:tc>
        <w:tc>
          <w:tcPr>
            <w:tcW w:type="dxa" w:w="1106"/>
          </w:tcPr>
          <w:p>
            <w:pPr>
              <w:pStyle w:val="Compact"/>
              <w:spacing w:before="20" w:after="20" w:line="240" w:lineRule="auto"/>
              <w:jc w:val="center"/>
              <w:keepNext/>
            </w:pPr>
            <w:r>
              <w:rPr>
                <w:sz w:val="13"/>
                <w:szCs w:val="13"/>
              </w:rPr>
              <w:t xml:space="preserve">1.808 (0.430)</w:t>
            </w:r>
          </w:p>
        </w:tc>
        <w:tc>
          <w:tcPr>
            <w:tcW w:type="dxa" w:w="980"/>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2.102* (0.407)</w:t>
            </w:r>
          </w:p>
        </w:tc>
        <w:tc>
          <w:tcPr>
            <w:tcW w:type="dxa" w:w="980"/>
          </w:tcPr>
          <w:p>
            <w:pPr>
              <w:pStyle w:val="Compact"/>
              <w:spacing w:before="20" w:after="20" w:line="240" w:lineRule="auto"/>
              <w:jc w:val="center"/>
              <w:keepNext/>
            </w:pPr>
            <w:r>
              <w:rPr>
                <w:sz w:val="13"/>
                <w:szCs w:val="13"/>
              </w:rPr>
              <w:t xml:space="preserve">2.131* (0.406)</w:t>
            </w:r>
          </w:p>
        </w:tc>
        <w:tc>
          <w:tcPr>
            <w:tcW w:type="dxa" w:w="980"/>
          </w:tcPr>
          <w:p>
            <w:pPr>
              <w:pStyle w:val="Compact"/>
              <w:spacing w:before="20" w:after="20" w:line="240" w:lineRule="auto"/>
              <w:jc w:val="center"/>
              <w:keepNext/>
            </w:pPr>
            <w:r>
              <w:rPr>
                <w:sz w:val="13"/>
                <w:szCs w:val="13"/>
              </w:rPr>
              <w:t xml:space="preserve">3.485** (0.636)</w:t>
            </w:r>
          </w:p>
        </w:tc>
        <w:tc>
          <w:tcPr>
            <w:tcW w:type="dxa" w:w="980"/>
          </w:tcPr>
          <w:p>
            <w:pPr>
              <w:pStyle w:val="Compact"/>
              <w:spacing w:before="20" w:after="20" w:line="240" w:lineRule="auto"/>
              <w:jc w:val="center"/>
              <w:keepNext/>
            </w:pPr>
            <w:r>
              <w:rPr>
                <w:sz w:val="13"/>
                <w:szCs w:val="13"/>
              </w:rPr>
              <w:t xml:space="preserve">2.683** (0.416)</w:t>
            </w:r>
          </w:p>
        </w:tc>
        <w:tc>
          <w:tcPr>
            <w:tcW w:type="dxa" w:w="980"/>
          </w:tcPr>
          <w:p>
            <w:pPr>
              <w:pStyle w:val="Compact"/>
              <w:spacing w:before="20" w:after="20" w:line="240" w:lineRule="auto"/>
              <w:jc w:val="center"/>
              <w:keepNext/>
            </w:pPr>
            <w:r>
              <w:rPr>
                <w:sz w:val="13"/>
                <w:szCs w:val="13"/>
              </w:rPr>
              <w:t xml:space="preserve">2.294* (0.445)</w:t>
            </w:r>
          </w:p>
        </w:tc>
        <w:tc>
          <w:tcPr>
            <w:tcW w:type="dxa" w:w="980"/>
          </w:tcPr>
          <w:p>
            <w:pPr>
              <w:pStyle w:val="Compact"/>
              <w:spacing w:before="20" w:after="20" w:line="240" w:lineRule="auto"/>
              <w:jc w:val="center"/>
              <w:keepNext/>
            </w:pPr>
            <w:r>
              <w:rPr>
                <w:sz w:val="13"/>
                <w:szCs w:val="13"/>
              </w:rPr>
              <w:t xml:space="preserve">4.229** (0.567)</w:t>
            </w:r>
          </w:p>
        </w:tc>
        <w:tc>
          <w:tcPr>
            <w:tcW w:type="dxa" w:w="1106"/>
          </w:tcPr>
          <w:p>
            <w:pPr>
              <w:pStyle w:val="Compact"/>
              <w:spacing w:before="20" w:after="20" w:line="240" w:lineRule="auto"/>
              <w:jc w:val="center"/>
              <w:keepNext/>
            </w:pPr>
            <w:r>
              <w:rPr>
                <w:sz w:val="13"/>
                <w:szCs w:val="13"/>
              </w:rPr>
              <w:t xml:space="preserve">1.876 (0.492)</w:t>
            </w:r>
          </w:p>
        </w:tc>
        <w:tc>
          <w:tcPr>
            <w:tcW w:type="dxa" w:w="980"/>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0.086*** (0.816)</w:t>
            </w:r>
          </w:p>
        </w:tc>
        <w:tc>
          <w:tcPr>
            <w:tcW w:type="dxa" w:w="980"/>
          </w:tcPr>
          <w:p>
            <w:pPr>
              <w:pStyle w:val="Compact"/>
              <w:spacing w:before="20" w:after="20" w:line="240" w:lineRule="auto"/>
              <w:jc w:val="center"/>
              <w:keepNext/>
            </w:pPr>
            <w:r>
              <w:rPr>
                <w:sz w:val="13"/>
                <w:szCs w:val="13"/>
              </w:rPr>
              <w:t xml:space="preserve">0.087*** (0.817)</w:t>
            </w:r>
          </w:p>
        </w:tc>
        <w:tc>
          <w:tcPr>
            <w:tcW w:type="dxa" w:w="980"/>
          </w:tcPr>
          <w:p>
            <w:pPr>
              <w:pStyle w:val="Compact"/>
              <w:spacing w:before="20" w:after="20" w:line="240" w:lineRule="auto"/>
              <w:jc w:val="center"/>
              <w:keepNext/>
            </w:pPr>
            <w:r>
              <w:rPr>
                <w:sz w:val="13"/>
                <w:szCs w:val="13"/>
              </w:rPr>
              <w:t xml:space="preserve">0.061** (1.222)</w:t>
            </w:r>
          </w:p>
        </w:tc>
        <w:tc>
          <w:tcPr>
            <w:tcW w:type="dxa" w:w="980"/>
          </w:tcPr>
          <w:p>
            <w:pPr>
              <w:pStyle w:val="Compact"/>
              <w:spacing w:before="20" w:after="20" w:line="240" w:lineRule="auto"/>
              <w:jc w:val="center"/>
              <w:keepNext/>
            </w:pPr>
            <w:r>
              <w:rPr>
                <w:sz w:val="13"/>
                <w:szCs w:val="13"/>
              </w:rPr>
              <w:t xml:space="preserve">0.103*** (0.833)</w:t>
            </w:r>
          </w:p>
        </w:tc>
        <w:tc>
          <w:tcPr>
            <w:tcW w:type="dxa" w:w="980"/>
          </w:tcPr>
          <w:p>
            <w:pPr>
              <w:pStyle w:val="Compact"/>
              <w:spacing w:before="20" w:after="20" w:line="240" w:lineRule="auto"/>
              <w:jc w:val="center"/>
              <w:keepNext/>
            </w:pPr>
            <w:r>
              <w:rPr>
                <w:sz w:val="13"/>
                <w:szCs w:val="13"/>
              </w:rPr>
              <w:t xml:space="preserve">0.015*** (1.466)</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0.061*** (0.836)</w:t>
            </w:r>
          </w:p>
        </w:tc>
        <w:tc>
          <w:tcPr>
            <w:tcW w:type="dxa" w:w="980"/>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0.858 (0.438)</w:t>
            </w:r>
          </w:p>
        </w:tc>
        <w:tc>
          <w:tcPr>
            <w:tcW w:type="dxa" w:w="980"/>
          </w:tcPr>
          <w:p>
            <w:pPr>
              <w:pStyle w:val="Compact"/>
              <w:spacing w:before="20" w:after="20" w:line="240" w:lineRule="auto"/>
              <w:jc w:val="center"/>
              <w:keepNext/>
            </w:pPr>
            <w:r>
              <w:rPr>
                <w:sz w:val="13"/>
                <w:szCs w:val="13"/>
              </w:rPr>
              <w:t xml:space="preserve">0.868 (0.435)</w:t>
            </w:r>
          </w:p>
        </w:tc>
        <w:tc>
          <w:tcPr>
            <w:tcW w:type="dxa" w:w="980"/>
          </w:tcPr>
          <w:p>
            <w:pPr>
              <w:pStyle w:val="Compact"/>
              <w:spacing w:before="20" w:after="20" w:line="240" w:lineRule="auto"/>
              <w:jc w:val="center"/>
              <w:keepNext/>
            </w:pPr>
            <w:r>
              <w:rPr>
                <w:sz w:val="13"/>
                <w:szCs w:val="13"/>
              </w:rPr>
              <w:t xml:space="preserve">0.699 (0.764)</w:t>
            </w:r>
          </w:p>
        </w:tc>
        <w:tc>
          <w:tcPr>
            <w:tcW w:type="dxa" w:w="980"/>
          </w:tcPr>
          <w:p>
            <w:pPr>
              <w:pStyle w:val="Compact"/>
              <w:spacing w:before="20" w:after="20" w:line="240" w:lineRule="auto"/>
              <w:jc w:val="center"/>
              <w:keepNext/>
            </w:pPr>
            <w:r>
              <w:rPr>
                <w:sz w:val="13"/>
                <w:szCs w:val="13"/>
              </w:rPr>
              <w:t xml:space="preserve">0.956 (0.443)</w:t>
            </w:r>
          </w:p>
        </w:tc>
        <w:tc>
          <w:tcPr>
            <w:tcW w:type="dxa" w:w="980"/>
          </w:tcPr>
          <w:p>
            <w:pPr>
              <w:pStyle w:val="Compact"/>
              <w:spacing w:before="20" w:after="20" w:line="240" w:lineRule="auto"/>
              <w:jc w:val="center"/>
              <w:keepNext/>
            </w:pPr>
            <w:r>
              <w:rPr>
                <w:sz w:val="13"/>
                <w:szCs w:val="13"/>
              </w:rPr>
              <w:t xml:space="preserve">1.089 (0.494)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0.804 (0.449)</w:t>
            </w:r>
          </w:p>
        </w:tc>
        <w:tc>
          <w:tcPr>
            <w:tcW w:type="dxa" w:w="980"/>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1.997** (0.323)</w:t>
            </w:r>
          </w:p>
        </w:tc>
        <w:tc>
          <w:tcPr>
            <w:tcW w:type="dxa" w:w="980"/>
          </w:tcPr>
          <w:p>
            <w:pPr>
              <w:pStyle w:val="Compact"/>
              <w:spacing w:before="20" w:after="20" w:line="240" w:lineRule="auto"/>
              <w:jc w:val="center"/>
              <w:keepNext/>
            </w:pPr>
            <w:r>
              <w:rPr>
                <w:sz w:val="13"/>
                <w:szCs w:val="13"/>
              </w:rPr>
              <w:t xml:space="preserve">2.016** (0.322)</w:t>
            </w:r>
          </w:p>
        </w:tc>
        <w:tc>
          <w:tcPr>
            <w:tcW w:type="dxa" w:w="980"/>
          </w:tcPr>
          <w:p>
            <w:pPr>
              <w:pStyle w:val="Compact"/>
              <w:spacing w:before="20" w:after="20" w:line="240" w:lineRule="auto"/>
              <w:jc w:val="center"/>
              <w:keepNext/>
            </w:pPr>
            <w:r>
              <w:rPr>
                <w:sz w:val="13"/>
                <w:szCs w:val="13"/>
              </w:rPr>
              <w:t xml:space="preserve">1.636 (0.496)</w:t>
            </w:r>
          </w:p>
        </w:tc>
        <w:tc>
          <w:tcPr>
            <w:tcW w:type="dxa" w:w="980"/>
          </w:tcPr>
          <w:p>
            <w:pPr>
              <w:pStyle w:val="Compact"/>
              <w:spacing w:before="20" w:after="20" w:line="240" w:lineRule="auto"/>
              <w:jc w:val="center"/>
              <w:keepNext/>
            </w:pPr>
            <w:r>
              <w:rPr>
                <w:sz w:val="13"/>
                <w:szCs w:val="13"/>
              </w:rPr>
              <w:t xml:space="preserve">2.170** (0.339)</w:t>
            </w:r>
          </w:p>
        </w:tc>
        <w:tc>
          <w:tcPr>
            <w:tcW w:type="dxa" w:w="980"/>
          </w:tcPr>
          <w:p>
            <w:pPr>
              <w:pStyle w:val="Compact"/>
              <w:spacing w:before="20" w:after="20" w:line="240" w:lineRule="auto"/>
              <w:jc w:val="center"/>
              <w:keepNext/>
            </w:pPr>
            <w:r>
              <w:rPr>
                <w:sz w:val="13"/>
                <w:szCs w:val="13"/>
              </w:rPr>
              <w:t xml:space="preserve">2.046* (0.366)</w:t>
            </w:r>
          </w:p>
        </w:tc>
        <w:tc>
          <w:tcPr>
            <w:tcW w:type="dxa" w:w="980"/>
          </w:tcPr>
          <w:p>
            <w:pPr>
              <w:pStyle w:val="Compact"/>
              <w:spacing w:before="20" w:after="20" w:line="240" w:lineRule="auto"/>
              <w:jc w:val="center"/>
              <w:keepNext/>
            </w:pPr>
            <w:r>
              <w:rPr>
                <w:sz w:val="13"/>
                <w:szCs w:val="13"/>
              </w:rPr>
              <w:t xml:space="preserve">1.957 (0.530)</w:t>
            </w:r>
          </w:p>
        </w:tc>
        <w:tc>
          <w:tcPr>
            <w:tcW w:type="dxa" w:w="1106"/>
          </w:tcPr>
          <w:p>
            <w:pPr>
              <w:pStyle w:val="Compact"/>
              <w:spacing w:before="20" w:after="20" w:line="240" w:lineRule="auto"/>
              <w:jc w:val="center"/>
              <w:keepNext/>
            </w:pPr>
            <w:r>
              <w:rPr>
                <w:sz w:val="13"/>
                <w:szCs w:val="13"/>
              </w:rPr>
              <w:t xml:space="preserve">2.167** (0.385)</w:t>
            </w:r>
          </w:p>
        </w:tc>
        <w:tc>
          <w:tcPr>
            <w:tcW w:type="dxa" w:w="980"/>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1.901 (0.779)</w:t>
            </w:r>
          </w:p>
        </w:tc>
        <w:tc>
          <w:tcPr>
            <w:tcW w:type="dxa" w:w="980"/>
          </w:tcPr>
          <w:p>
            <w:pPr>
              <w:pStyle w:val="Compact"/>
              <w:spacing w:before="20" w:after="20" w:line="240" w:lineRule="auto"/>
              <w:jc w:val="center"/>
              <w:keepNext/>
            </w:pPr>
            <w:r>
              <w:rPr>
                <w:sz w:val="13"/>
                <w:szCs w:val="13"/>
              </w:rPr>
              <w:t xml:space="preserve">1.923 (0.775)</w:t>
            </w:r>
          </w:p>
        </w:tc>
        <w:tc>
          <w:tcPr>
            <w:tcW w:type="dxa" w:w="980"/>
          </w:tcPr>
          <w:p>
            <w:pPr>
              <w:pStyle w:val="Compact"/>
              <w:spacing w:before="20" w:after="20" w:line="240" w:lineRule="auto"/>
              <w:jc w:val="center"/>
              <w:keepNext/>
            </w:pPr>
            <w:r>
              <w:rPr>
                <w:sz w:val="13"/>
                <w:szCs w:val="13"/>
              </w:rPr>
              <w:t xml:space="preserve">1.847 (1.010)</w:t>
            </w:r>
          </w:p>
        </w:tc>
        <w:tc>
          <w:tcPr>
            <w:tcW w:type="dxa" w:w="980"/>
          </w:tcPr>
          <w:p>
            <w:pPr>
              <w:pStyle w:val="Compact"/>
              <w:spacing w:before="20" w:after="20" w:line="240" w:lineRule="auto"/>
              <w:jc w:val="center"/>
              <w:keepNext/>
            </w:pPr>
            <w:r>
              <w:rPr>
                <w:sz w:val="13"/>
                <w:szCs w:val="13"/>
              </w:rPr>
              <w:t xml:space="preserve">2.385 (0.758)</w:t>
            </w:r>
          </w:p>
        </w:tc>
        <w:tc>
          <w:tcPr>
            <w:tcW w:type="dxa" w:w="980"/>
          </w:tcPr>
          <w:p>
            <w:pPr>
              <w:pStyle w:val="Compact"/>
              <w:spacing w:before="20" w:after="20" w:line="240" w:lineRule="auto"/>
              <w:jc w:val="center"/>
              <w:keepNext/>
            </w:pPr>
            <w:r>
              <w:rPr>
                <w:sz w:val="13"/>
                <w:szCs w:val="13"/>
              </w:rPr>
              <w:t xml:space="preserve">0.996 (0.914)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2.172 (0.837)</w:t>
            </w:r>
          </w:p>
        </w:tc>
        <w:tc>
          <w:tcPr>
            <w:tcW w:type="dxa" w:w="980"/>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 식별되지 않는 계수(해당 범주에 관측치가 없는 경우)는 —로 표시하였다.</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60"/>
        <w:gridCol w:w="1318"/>
        <w:gridCol w:w="1318"/>
        <w:gridCol w:w="1318"/>
        <w:gridCol w:w="1318"/>
        <w:gridCol w:w="1318"/>
        <w:gridCol w:w="1318"/>
      </w:tblGrid>
      <w:tr>
        <w:trPr>
          <w:tblHeader w:val="on"/>
          <w:cantSplit/>
        </w:trPr>
        <w:tc>
          <w:tcPr>
            <w:tcW w:type="dxa" w:w="1160"/>
            <w:tcBorders>
              <w:bottom w:val="single" w:sz="4" w:space="0" w:color="000000"/>
            </w:tcBorders>
          </w:tcPr>
          <w:p>
            <w:pPr>
              <w:pStyle w:val="Compact"/>
              <w:spacing w:before="20" w:after="20" w:line="240" w:lineRule="auto"/>
              <w:keepNext/>
            </w:pPr>
          </w:p>
        </w:tc>
        <w:tc>
          <w:tcPr>
            <w:tcW w:type="dxa" w:w="1318"/>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60"/>
          </w:tcPr>
          <w:p>
            <w:pPr>
              <w:pStyle w:val="Compact"/>
              <w:spacing w:before="20" w:after="20" w:line="240" w:lineRule="auto"/>
              <w:keepNext/>
            </w:pPr>
            <w:r>
              <w:rPr>
                <w:sz w:val="13"/>
                <w:szCs w:val="13"/>
              </w:rPr>
              <w:t xml:space="preserve">출원연도(yc)</w:t>
            </w:r>
          </w:p>
        </w:tc>
        <w:tc>
          <w:tcPr>
            <w:tcW w:type="dxa" w:w="1318"/>
          </w:tcPr>
          <w:p>
            <w:pPr>
              <w:pStyle w:val="Compact"/>
              <w:spacing w:before="20" w:after="20" w:line="240" w:lineRule="auto"/>
              <w:jc w:val="center"/>
              <w:keepNext/>
            </w:pPr>
            <w:r>
              <w:rPr>
                <w:sz w:val="13"/>
                <w:szCs w:val="13"/>
              </w:rPr>
              <w:t xml:space="preserve">1.015*** (0.003)</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1.001 (0.004)</w:t>
            </w:r>
          </w:p>
        </w:tc>
        <w:tc>
          <w:tcPr>
            <w:tcW w:type="dxa" w:w="1318"/>
          </w:tcPr>
          <w:p>
            <w:pPr>
              <w:pStyle w:val="Compact"/>
              <w:spacing w:before="20" w:after="20" w:line="240" w:lineRule="auto"/>
              <w:jc w:val="center"/>
              <w:keepNext/>
            </w:pPr>
            <w:r>
              <w:rPr>
                <w:sz w:val="13"/>
                <w:szCs w:val="13"/>
              </w:rPr>
              <w:t xml:space="preserve">0.964*** (0.008)</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0.970*** (0.006)</w:t>
            </w:r>
          </w:p>
        </w:tc>
      </w:tr>
      <w:tr>
        <w:trPr>
          <w:cantSplit/>
        </w:trPr>
        <w:tc>
          <w:tcPr>
            <w:tcW w:type="dxa" w:w="1160"/>
          </w:tcPr>
          <w:p>
            <w:pPr>
              <w:pStyle w:val="Compact"/>
              <w:spacing w:before="20" w:after="20" w:line="240" w:lineRule="auto"/>
              <w:keepNext/>
            </w:pPr>
            <w:r>
              <w:rPr>
                <w:sz w:val="13"/>
                <w:szCs w:val="13"/>
              </w:rPr>
              <w:t xml:space="preserve">중국(CN)</w:t>
            </w:r>
          </w:p>
        </w:tc>
        <w:tc>
          <w:tcPr>
            <w:tcW w:type="dxa" w:w="1318"/>
          </w:tcPr>
          <w:p>
            <w:pPr>
              <w:pStyle w:val="Compact"/>
              <w:spacing w:before="20" w:after="20" w:line="240" w:lineRule="auto"/>
              <w:jc w:val="center"/>
              <w:keepNext/>
            </w:pPr>
            <w:r>
              <w:rPr>
                <w:sz w:val="13"/>
                <w:szCs w:val="13"/>
              </w:rPr>
              <w:t xml:space="preserve">0.785*** (0.062)</w:t>
            </w:r>
          </w:p>
        </w:tc>
        <w:tc>
          <w:tcPr>
            <w:tcW w:type="dxa" w:w="1318"/>
          </w:tcPr>
          <w:p>
            <w:pPr>
              <w:pStyle w:val="Compact"/>
              <w:spacing w:before="20" w:after="20" w:line="240" w:lineRule="auto"/>
              <w:jc w:val="center"/>
              <w:keepNext/>
            </w:pPr>
            <w:r>
              <w:rPr>
                <w:sz w:val="13"/>
                <w:szCs w:val="13"/>
              </w:rPr>
              <w:t xml:space="preserve">0.792*** (0.077)</w:t>
            </w:r>
          </w:p>
        </w:tc>
        <w:tc>
          <w:tcPr>
            <w:tcW w:type="dxa" w:w="1318"/>
          </w:tcPr>
          <w:p>
            <w:pPr>
              <w:pStyle w:val="Compact"/>
              <w:spacing w:before="20" w:after="20" w:line="240" w:lineRule="auto"/>
              <w:jc w:val="center"/>
              <w:keepNext/>
            </w:pPr>
            <w:r>
              <w:rPr>
                <w:sz w:val="13"/>
                <w:szCs w:val="13"/>
              </w:rPr>
              <w:t xml:space="preserve">0.785*** (0.063)</w:t>
            </w:r>
          </w:p>
        </w:tc>
        <w:tc>
          <w:tcPr>
            <w:tcW w:type="dxa" w:w="1318"/>
          </w:tcPr>
          <w:p>
            <w:pPr>
              <w:pStyle w:val="Compact"/>
              <w:spacing w:before="20" w:after="20" w:line="240" w:lineRule="auto"/>
              <w:jc w:val="center"/>
              <w:keepNext/>
            </w:pPr>
            <w:r>
              <w:rPr>
                <w:sz w:val="13"/>
                <w:szCs w:val="13"/>
              </w:rPr>
              <w:t xml:space="preserve">0.786*** (0.073)</w:t>
            </w:r>
          </w:p>
        </w:tc>
        <w:tc>
          <w:tcPr>
            <w:tcW w:type="dxa" w:w="1318"/>
          </w:tcPr>
          <w:p>
            <w:pPr>
              <w:pStyle w:val="Compact"/>
              <w:spacing w:before="20" w:after="20" w:line="240" w:lineRule="auto"/>
              <w:jc w:val="center"/>
              <w:keepNext/>
            </w:pPr>
            <w:r>
              <w:rPr>
                <w:sz w:val="13"/>
                <w:szCs w:val="13"/>
              </w:rPr>
              <w:t xml:space="preserve">0.808*** (0.071)</w:t>
            </w:r>
          </w:p>
        </w:tc>
        <w:tc>
          <w:tcPr>
            <w:tcW w:type="dxa" w:w="1318"/>
          </w:tcPr>
          <w:p>
            <w:pPr>
              <w:pStyle w:val="Compact"/>
              <w:spacing w:before="20" w:after="20" w:line="240" w:lineRule="auto"/>
              <w:jc w:val="center"/>
              <w:keepNext/>
            </w:pPr>
            <w:r>
              <w:rPr>
                <w:sz w:val="13"/>
                <w:szCs w:val="13"/>
              </w:rPr>
              <w:t xml:space="preserve">0.794*** (0.057)</w:t>
            </w:r>
          </w:p>
        </w:tc>
      </w:tr>
      <w:tr>
        <w:trPr>
          <w:cantSplit/>
        </w:trPr>
        <w:tc>
          <w:tcPr>
            <w:tcW w:type="dxa" w:w="1160"/>
          </w:tcPr>
          <w:p>
            <w:pPr>
              <w:pStyle w:val="Compact"/>
              <w:spacing w:before="20" w:after="20" w:line="240" w:lineRule="auto"/>
              <w:keepNext/>
            </w:pPr>
            <w:r>
              <w:rPr>
                <w:sz w:val="13"/>
                <w:szCs w:val="13"/>
              </w:rPr>
              <w:t xml:space="preserve">한국(KR)</w:t>
            </w:r>
          </w:p>
        </w:tc>
        <w:tc>
          <w:tcPr>
            <w:tcW w:type="dxa" w:w="1318"/>
          </w:tcPr>
          <w:p>
            <w:pPr>
              <w:pStyle w:val="Compact"/>
              <w:spacing w:before="20" w:after="20" w:line="240" w:lineRule="auto"/>
              <w:jc w:val="center"/>
              <w:keepNext/>
            </w:pPr>
            <w:r>
              <w:rPr>
                <w:sz w:val="13"/>
                <w:szCs w:val="13"/>
              </w:rPr>
              <w:t xml:space="preserve">1.018 (0.094)</w:t>
            </w:r>
          </w:p>
        </w:tc>
        <w:tc>
          <w:tcPr>
            <w:tcW w:type="dxa" w:w="1318"/>
          </w:tcPr>
          <w:p>
            <w:pPr>
              <w:pStyle w:val="Compact"/>
              <w:spacing w:before="20" w:after="20" w:line="240" w:lineRule="auto"/>
              <w:jc w:val="center"/>
              <w:keepNext/>
            </w:pPr>
            <w:r>
              <w:rPr>
                <w:sz w:val="13"/>
                <w:szCs w:val="13"/>
              </w:rPr>
              <w:t xml:space="preserve">0.919 (0.127)</w:t>
            </w:r>
          </w:p>
        </w:tc>
        <w:tc>
          <w:tcPr>
            <w:tcW w:type="dxa" w:w="1318"/>
          </w:tcPr>
          <w:p>
            <w:pPr>
              <w:pStyle w:val="Compact"/>
              <w:spacing w:before="20" w:after="20" w:line="240" w:lineRule="auto"/>
              <w:jc w:val="center"/>
              <w:keepNext/>
            </w:pPr>
            <w:r>
              <w:rPr>
                <w:sz w:val="13"/>
                <w:szCs w:val="13"/>
              </w:rPr>
              <w:t xml:space="preserve">0.961 (0.094)</w:t>
            </w:r>
          </w:p>
        </w:tc>
        <w:tc>
          <w:tcPr>
            <w:tcW w:type="dxa" w:w="1318"/>
          </w:tcPr>
          <w:p>
            <w:pPr>
              <w:pStyle w:val="Compact"/>
              <w:spacing w:before="20" w:after="20" w:line="240" w:lineRule="auto"/>
              <w:jc w:val="center"/>
              <w:keepNext/>
            </w:pPr>
            <w:r>
              <w:rPr>
                <w:sz w:val="13"/>
                <w:szCs w:val="13"/>
              </w:rPr>
              <w:t xml:space="preserve">1.135 (0.120)</w:t>
            </w:r>
          </w:p>
        </w:tc>
        <w:tc>
          <w:tcPr>
            <w:tcW w:type="dxa" w:w="1318"/>
          </w:tcPr>
          <w:p>
            <w:pPr>
              <w:pStyle w:val="Compact"/>
              <w:spacing w:before="20" w:after="20" w:line="240" w:lineRule="auto"/>
              <w:jc w:val="center"/>
              <w:keepNext/>
            </w:pPr>
            <w:r>
              <w:rPr>
                <w:sz w:val="13"/>
                <w:szCs w:val="13"/>
              </w:rPr>
              <w:t xml:space="preserve">1.017 (0.099)</w:t>
            </w:r>
          </w:p>
        </w:tc>
        <w:tc>
          <w:tcPr>
            <w:tcW w:type="dxa" w:w="1318"/>
          </w:tcPr>
          <w:p>
            <w:pPr>
              <w:pStyle w:val="Compact"/>
              <w:spacing w:before="20" w:after="20" w:line="240" w:lineRule="auto"/>
              <w:jc w:val="center"/>
              <w:keepNext/>
            </w:pPr>
            <w:r>
              <w:rPr>
                <w:sz w:val="13"/>
                <w:szCs w:val="13"/>
              </w:rPr>
              <w:t xml:space="preserve">0.999 (0.096)</w:t>
            </w:r>
          </w:p>
        </w:tc>
      </w:tr>
      <w:tr>
        <w:trPr>
          <w:cantSplit/>
        </w:trPr>
        <w:tc>
          <w:tcPr>
            <w:tcW w:type="dxa" w:w="1160"/>
          </w:tcPr>
          <w:p>
            <w:pPr>
              <w:pStyle w:val="Compact"/>
              <w:spacing w:before="20" w:after="20" w:line="240" w:lineRule="auto"/>
              <w:keepNext/>
            </w:pPr>
            <w:r>
              <w:rPr>
                <w:sz w:val="13"/>
                <w:szCs w:val="13"/>
              </w:rPr>
              <w:t xml:space="preserve">대만(TW)</w:t>
            </w:r>
          </w:p>
        </w:tc>
        <w:tc>
          <w:tcPr>
            <w:tcW w:type="dxa" w:w="1318"/>
          </w:tcPr>
          <w:p>
            <w:pPr>
              <w:pStyle w:val="Compact"/>
              <w:spacing w:before="20" w:after="20" w:line="240" w:lineRule="auto"/>
              <w:jc w:val="center"/>
              <w:keepNext/>
            </w:pPr>
            <w:r>
              <w:rPr>
                <w:sz w:val="13"/>
                <w:szCs w:val="13"/>
              </w:rPr>
              <w:t xml:space="preserve">1.021 (0.083)</w:t>
            </w:r>
          </w:p>
        </w:tc>
        <w:tc>
          <w:tcPr>
            <w:tcW w:type="dxa" w:w="1318"/>
          </w:tcPr>
          <w:p>
            <w:pPr>
              <w:pStyle w:val="Compact"/>
              <w:spacing w:before="20" w:after="20" w:line="240" w:lineRule="auto"/>
              <w:jc w:val="center"/>
              <w:keepNext/>
            </w:pPr>
            <w:r>
              <w:rPr>
                <w:sz w:val="13"/>
                <w:szCs w:val="13"/>
              </w:rPr>
              <w:t xml:space="preserve">1.111 (0.149)</w:t>
            </w:r>
          </w:p>
        </w:tc>
        <w:tc>
          <w:tcPr>
            <w:tcW w:type="dxa" w:w="1318"/>
          </w:tcPr>
          <w:p>
            <w:pPr>
              <w:pStyle w:val="Compact"/>
              <w:spacing w:before="20" w:after="20" w:line="240" w:lineRule="auto"/>
              <w:jc w:val="center"/>
              <w:keepNext/>
            </w:pPr>
            <w:r>
              <w:rPr>
                <w:sz w:val="13"/>
                <w:szCs w:val="13"/>
              </w:rPr>
              <w:t xml:space="preserve">1.012 (0.082)</w:t>
            </w:r>
          </w:p>
        </w:tc>
        <w:tc>
          <w:tcPr>
            <w:tcW w:type="dxa" w:w="1318"/>
          </w:tcPr>
          <w:p>
            <w:pPr>
              <w:pStyle w:val="Compact"/>
              <w:spacing w:before="20" w:after="20" w:line="240" w:lineRule="auto"/>
              <w:jc w:val="center"/>
              <w:keepNext/>
            </w:pPr>
            <w:r>
              <w:rPr>
                <w:sz w:val="13"/>
                <w:szCs w:val="13"/>
              </w:rPr>
              <w:t xml:space="preserve">1.079 (0.093)</w:t>
            </w:r>
          </w:p>
        </w:tc>
        <w:tc>
          <w:tcPr>
            <w:tcW w:type="dxa" w:w="1318"/>
          </w:tcPr>
          <w:p>
            <w:pPr>
              <w:pStyle w:val="Compact"/>
              <w:spacing w:before="20" w:after="20" w:line="240" w:lineRule="auto"/>
              <w:jc w:val="center"/>
              <w:keepNext/>
            </w:pPr>
            <w:r>
              <w:rPr>
                <w:sz w:val="13"/>
                <w:szCs w:val="13"/>
              </w:rPr>
              <w:t xml:space="preserve">1.108 (0.095)</w:t>
            </w:r>
          </w:p>
        </w:tc>
        <w:tc>
          <w:tcPr>
            <w:tcW w:type="dxa" w:w="1318"/>
          </w:tcPr>
          <w:p>
            <w:pPr>
              <w:pStyle w:val="Compact"/>
              <w:spacing w:before="20" w:after="20" w:line="240" w:lineRule="auto"/>
              <w:jc w:val="center"/>
              <w:keepNext/>
            </w:pPr>
            <w:r>
              <w:rPr>
                <w:sz w:val="13"/>
                <w:szCs w:val="13"/>
              </w:rPr>
              <w:t xml:space="preserve">1.021 (0.076)</w:t>
            </w:r>
          </w:p>
        </w:tc>
      </w:tr>
      <w:tr>
        <w:trPr>
          <w:cantSplit/>
        </w:trPr>
        <w:tc>
          <w:tcPr>
            <w:tcW w:type="dxa" w:w="1160"/>
          </w:tcPr>
          <w:p>
            <w:pPr>
              <w:pStyle w:val="Compact"/>
              <w:spacing w:before="20" w:after="20" w:line="240" w:lineRule="auto"/>
              <w:keepNext/>
            </w:pPr>
            <w:r>
              <w:rPr>
                <w:sz w:val="13"/>
                <w:szCs w:val="13"/>
              </w:rPr>
              <w:t xml:space="preserve">일본(JP)</w:t>
            </w:r>
          </w:p>
        </w:tc>
        <w:tc>
          <w:tcPr>
            <w:tcW w:type="dxa" w:w="1318"/>
          </w:tcPr>
          <w:p>
            <w:pPr>
              <w:pStyle w:val="Compact"/>
              <w:spacing w:before="20" w:after="20" w:line="240" w:lineRule="auto"/>
              <w:jc w:val="center"/>
              <w:keepNext/>
            </w:pPr>
            <w:r>
              <w:rPr>
                <w:sz w:val="13"/>
                <w:szCs w:val="13"/>
              </w:rPr>
              <w:t xml:space="preserve">1.270* (0.133)</w:t>
            </w:r>
          </w:p>
        </w:tc>
        <w:tc>
          <w:tcPr>
            <w:tcW w:type="dxa" w:w="1318"/>
          </w:tcPr>
          <w:p>
            <w:pPr>
              <w:pStyle w:val="Compact"/>
              <w:spacing w:before="20" w:after="20" w:line="240" w:lineRule="auto"/>
              <w:jc w:val="center"/>
              <w:keepNext/>
            </w:pPr>
            <w:r>
              <w:rPr>
                <w:sz w:val="13"/>
                <w:szCs w:val="13"/>
              </w:rPr>
              <w:t xml:space="preserve">1.302 (0.183)</w:t>
            </w:r>
          </w:p>
        </w:tc>
        <w:tc>
          <w:tcPr>
            <w:tcW w:type="dxa" w:w="1318"/>
          </w:tcPr>
          <w:p>
            <w:pPr>
              <w:pStyle w:val="Compact"/>
              <w:spacing w:before="20" w:after="20" w:line="240" w:lineRule="auto"/>
              <w:jc w:val="center"/>
              <w:keepNext/>
            </w:pPr>
            <w:r>
              <w:rPr>
                <w:sz w:val="13"/>
                <w:szCs w:val="13"/>
              </w:rPr>
              <w:t xml:space="preserve">1.397** (0.145)</w:t>
            </w:r>
          </w:p>
        </w:tc>
        <w:tc>
          <w:tcPr>
            <w:tcW w:type="dxa" w:w="1318"/>
          </w:tcPr>
          <w:p>
            <w:pPr>
              <w:pStyle w:val="Compact"/>
              <w:spacing w:before="20" w:after="20" w:line="240" w:lineRule="auto"/>
              <w:jc w:val="center"/>
              <w:keepNext/>
            </w:pPr>
            <w:r>
              <w:rPr>
                <w:sz w:val="13"/>
                <w:szCs w:val="13"/>
              </w:rPr>
              <w:t xml:space="preserve">1.041 (0.287)</w:t>
            </w:r>
          </w:p>
        </w:tc>
        <w:tc>
          <w:tcPr>
            <w:tcW w:type="dxa" w:w="1318"/>
          </w:tcPr>
          <w:p>
            <w:pPr>
              <w:pStyle w:val="Compact"/>
              <w:spacing w:before="20" w:after="20" w:line="240" w:lineRule="auto"/>
              <w:jc w:val="center"/>
              <w:keepNext/>
            </w:pPr>
            <w:r>
              <w:rPr>
                <w:sz w:val="13"/>
                <w:szCs w:val="13"/>
              </w:rPr>
              <w:t xml:space="preserve">1.388** (0.153)</w:t>
            </w:r>
          </w:p>
        </w:tc>
        <w:tc>
          <w:tcPr>
            <w:tcW w:type="dxa" w:w="1318"/>
          </w:tcPr>
          <w:p>
            <w:pPr>
              <w:pStyle w:val="Compact"/>
              <w:spacing w:before="20" w:after="20" w:line="240" w:lineRule="auto"/>
              <w:jc w:val="center"/>
              <w:keepNext/>
            </w:pPr>
            <w:r>
              <w:rPr>
                <w:sz w:val="13"/>
                <w:szCs w:val="13"/>
              </w:rPr>
              <w:t xml:space="preserve">1.577*** (0.141)</w:t>
            </w:r>
          </w:p>
        </w:tc>
      </w:tr>
      <w:tr>
        <w:trPr>
          <w:cantSplit/>
        </w:trPr>
        <w:tc>
          <w:tcPr>
            <w:tcW w:type="dxa" w:w="1160"/>
          </w:tcPr>
          <w:p>
            <w:pPr>
              <w:pStyle w:val="Compact"/>
              <w:spacing w:before="20" w:after="20" w:line="240" w:lineRule="auto"/>
              <w:keepNext/>
            </w:pPr>
            <w:r>
              <w:rPr>
                <w:sz w:val="13"/>
                <w:szCs w:val="13"/>
              </w:rPr>
              <w:t xml:space="preserve">EPO(EP)</w:t>
            </w:r>
          </w:p>
        </w:tc>
        <w:tc>
          <w:tcPr>
            <w:tcW w:type="dxa" w:w="1318"/>
          </w:tcPr>
          <w:p>
            <w:pPr>
              <w:pStyle w:val="Compact"/>
              <w:spacing w:before="20" w:after="20" w:line="240" w:lineRule="auto"/>
              <w:jc w:val="center"/>
              <w:keepNext/>
            </w:pPr>
            <w:r>
              <w:rPr>
                <w:sz w:val="13"/>
                <w:szCs w:val="13"/>
              </w:rPr>
              <w:t xml:space="preserve">0.993 (0.080)</w:t>
            </w:r>
          </w:p>
        </w:tc>
        <w:tc>
          <w:tcPr>
            <w:tcW w:type="dxa" w:w="1318"/>
          </w:tcPr>
          <w:p>
            <w:pPr>
              <w:pStyle w:val="Compact"/>
              <w:spacing w:before="20" w:after="20" w:line="240" w:lineRule="auto"/>
              <w:jc w:val="center"/>
              <w:keepNext/>
            </w:pPr>
            <w:r>
              <w:rPr>
                <w:sz w:val="13"/>
                <w:szCs w:val="13"/>
              </w:rPr>
              <w:t xml:space="preserve">1.435*** (0.119)</w:t>
            </w:r>
          </w:p>
        </w:tc>
        <w:tc>
          <w:tcPr>
            <w:tcW w:type="dxa" w:w="1318"/>
          </w:tcPr>
          <w:p>
            <w:pPr>
              <w:pStyle w:val="Compact"/>
              <w:spacing w:before="20" w:after="20" w:line="240" w:lineRule="auto"/>
              <w:jc w:val="center"/>
              <w:keepNext/>
            </w:pPr>
            <w:r>
              <w:rPr>
                <w:sz w:val="13"/>
                <w:szCs w:val="13"/>
              </w:rPr>
              <w:t xml:space="preserve">0.989 (0.082)</w:t>
            </w:r>
          </w:p>
        </w:tc>
        <w:tc>
          <w:tcPr>
            <w:tcW w:type="dxa" w:w="1318"/>
          </w:tcPr>
          <w:p>
            <w:pPr>
              <w:pStyle w:val="Compact"/>
              <w:spacing w:before="20" w:after="20" w:line="240" w:lineRule="auto"/>
              <w:jc w:val="center"/>
              <w:keepNext/>
            </w:pPr>
            <w:r>
              <w:rPr>
                <w:sz w:val="13"/>
                <w:szCs w:val="13"/>
              </w:rPr>
              <w:t xml:space="preserve">1.084 (0.121)</w:t>
            </w:r>
          </w:p>
        </w:tc>
        <w:tc>
          <w:tcPr>
            <w:tcW w:type="dxa" w:w="1318"/>
          </w:tcPr>
          <w:p>
            <w:pPr>
              <w:pStyle w:val="Compact"/>
              <w:spacing w:before="20" w:after="20" w:line="240" w:lineRule="auto"/>
              <w:jc w:val="center"/>
              <w:keepNext/>
            </w:pPr>
            <w:r>
              <w:rPr>
                <w:sz w:val="13"/>
                <w:szCs w:val="13"/>
              </w:rPr>
              <w:t xml:space="preserve">0.988 (0.087)</w:t>
            </w:r>
          </w:p>
        </w:tc>
        <w:tc>
          <w:tcPr>
            <w:tcW w:type="dxa" w:w="1318"/>
          </w:tcPr>
          <w:p>
            <w:pPr>
              <w:pStyle w:val="Compact"/>
              <w:spacing w:before="20" w:after="20" w:line="240" w:lineRule="auto"/>
              <w:jc w:val="center"/>
              <w:keepNext/>
            </w:pPr>
            <w:r>
              <w:rPr>
                <w:sz w:val="13"/>
                <w:szCs w:val="13"/>
              </w:rPr>
              <w:t xml:space="preserve">1.014 (0.076)</w:t>
            </w:r>
          </w:p>
        </w:tc>
      </w:tr>
      <w:tr>
        <w:trPr>
          <w:cantSplit/>
        </w:trPr>
        <w:tc>
          <w:tcPr>
            <w:tcW w:type="dxa" w:w="1160"/>
          </w:tcPr>
          <w:p>
            <w:pPr>
              <w:pStyle w:val="Compact"/>
              <w:spacing w:before="20" w:after="20" w:line="240" w:lineRule="auto"/>
              <w:keepNext/>
            </w:pPr>
            <w:r>
              <w:rPr>
                <w:sz w:val="13"/>
                <w:szCs w:val="13"/>
              </w:rPr>
              <w:t xml:space="preserve">PCT(WO)</w:t>
            </w:r>
          </w:p>
        </w:tc>
        <w:tc>
          <w:tcPr>
            <w:tcW w:type="dxa" w:w="1318"/>
          </w:tcPr>
          <w:p>
            <w:pPr>
              <w:pStyle w:val="Compact"/>
              <w:spacing w:before="20" w:after="20" w:line="240" w:lineRule="auto"/>
              <w:jc w:val="center"/>
              <w:keepNext/>
            </w:pPr>
            <w:r>
              <w:rPr>
                <w:sz w:val="13"/>
                <w:szCs w:val="13"/>
              </w:rPr>
              <w:t xml:space="preserve">0.826*** (0.073)</w:t>
            </w:r>
          </w:p>
        </w:tc>
        <w:tc>
          <w:tcPr>
            <w:tcW w:type="dxa" w:w="1318"/>
          </w:tcPr>
          <w:p>
            <w:pPr>
              <w:pStyle w:val="Compact"/>
              <w:spacing w:before="20" w:after="20" w:line="240" w:lineRule="auto"/>
              <w:jc w:val="center"/>
              <w:keepNext/>
            </w:pPr>
            <w:r>
              <w:rPr>
                <w:sz w:val="13"/>
                <w:szCs w:val="13"/>
              </w:rPr>
              <w:t xml:space="preserve">0.751** (0.131)</w:t>
            </w:r>
          </w:p>
        </w:tc>
        <w:tc>
          <w:tcPr>
            <w:tcW w:type="dxa" w:w="1318"/>
          </w:tcPr>
          <w:p>
            <w:pPr>
              <w:pStyle w:val="Compact"/>
              <w:spacing w:before="20" w:after="20" w:line="240" w:lineRule="auto"/>
              <w:jc w:val="center"/>
              <w:keepNext/>
            </w:pPr>
            <w:r>
              <w:rPr>
                <w:sz w:val="13"/>
                <w:szCs w:val="13"/>
              </w:rPr>
              <w:t xml:space="preserve">0.820*** (0.073)</w:t>
            </w:r>
          </w:p>
        </w:tc>
        <w:tc>
          <w:tcPr>
            <w:tcW w:type="dxa" w:w="1318"/>
          </w:tcPr>
          <w:p>
            <w:pPr>
              <w:pStyle w:val="Compact"/>
              <w:spacing w:before="20" w:after="20" w:line="240" w:lineRule="auto"/>
              <w:jc w:val="center"/>
              <w:keepNext/>
            </w:pPr>
            <w:r>
              <w:rPr>
                <w:sz w:val="13"/>
                <w:szCs w:val="13"/>
              </w:rPr>
              <w:t xml:space="preserve">0.868 (0.090)</w:t>
            </w:r>
          </w:p>
        </w:tc>
        <w:tc>
          <w:tcPr>
            <w:tcW w:type="dxa" w:w="1318"/>
          </w:tcPr>
          <w:p>
            <w:pPr>
              <w:pStyle w:val="Compact"/>
              <w:spacing w:before="20" w:after="20" w:line="240" w:lineRule="auto"/>
              <w:jc w:val="center"/>
              <w:keepNext/>
            </w:pPr>
            <w:r>
              <w:rPr>
                <w:sz w:val="13"/>
                <w:szCs w:val="13"/>
              </w:rPr>
              <w:t xml:space="preserve">0.912 (0.087)</w:t>
            </w:r>
          </w:p>
        </w:tc>
        <w:tc>
          <w:tcPr>
            <w:tcW w:type="dxa" w:w="1318"/>
          </w:tcPr>
          <w:p>
            <w:pPr>
              <w:pStyle w:val="Compact"/>
              <w:spacing w:before="20" w:after="20" w:line="240" w:lineRule="auto"/>
              <w:jc w:val="center"/>
              <w:keepNext/>
            </w:pPr>
            <w:r>
              <w:rPr>
                <w:sz w:val="13"/>
                <w:szCs w:val="13"/>
              </w:rPr>
              <w:t xml:space="preserve">0.842** (0.068)</w:t>
            </w:r>
          </w:p>
        </w:tc>
      </w:tr>
      <w:tr>
        <w:trPr>
          <w:cantSplit/>
        </w:trPr>
        <w:tc>
          <w:tcPr>
            <w:tcW w:type="dxa" w:w="1160"/>
          </w:tcPr>
          <w:p>
            <w:pPr>
              <w:pStyle w:val="Compact"/>
              <w:spacing w:before="20" w:after="20" w:line="240" w:lineRule="auto"/>
              <w:keepNext/>
            </w:pPr>
            <w:r>
              <w:rPr>
                <w:sz w:val="13"/>
                <w:szCs w:val="13"/>
              </w:rPr>
              <w:t xml:space="preserve">기타</w:t>
            </w:r>
          </w:p>
        </w:tc>
        <w:tc>
          <w:tcPr>
            <w:tcW w:type="dxa" w:w="1318"/>
          </w:tcPr>
          <w:p>
            <w:pPr>
              <w:pStyle w:val="Compact"/>
              <w:spacing w:before="20" w:after="20" w:line="240" w:lineRule="auto"/>
              <w:jc w:val="center"/>
              <w:keepNext/>
            </w:pPr>
            <w:r>
              <w:rPr>
                <w:sz w:val="13"/>
                <w:szCs w:val="13"/>
              </w:rPr>
              <w:t xml:space="preserve">1.057 (0.171)</w:t>
            </w:r>
          </w:p>
        </w:tc>
        <w:tc>
          <w:tcPr>
            <w:tcW w:type="dxa" w:w="1318"/>
          </w:tcPr>
          <w:p>
            <w:pPr>
              <w:pStyle w:val="Compact"/>
              <w:spacing w:before="20" w:after="20" w:line="240" w:lineRule="auto"/>
              <w:jc w:val="center"/>
              <w:keepNext/>
            </w:pPr>
            <w:r>
              <w:rPr>
                <w:sz w:val="13"/>
                <w:szCs w:val="13"/>
              </w:rPr>
              <w:t xml:space="preserve">1.342 (0.272)</w:t>
            </w:r>
          </w:p>
        </w:tc>
        <w:tc>
          <w:tcPr>
            <w:tcW w:type="dxa" w:w="1318"/>
          </w:tcPr>
          <w:p>
            <w:pPr>
              <w:pStyle w:val="Compact"/>
              <w:spacing w:before="20" w:after="20" w:line="240" w:lineRule="auto"/>
              <w:jc w:val="center"/>
              <w:keepNext/>
            </w:pPr>
            <w:r>
              <w:rPr>
                <w:sz w:val="13"/>
                <w:szCs w:val="13"/>
              </w:rPr>
              <w:t xml:space="preserve">0.938 (0.169)</w:t>
            </w:r>
          </w:p>
        </w:tc>
        <w:tc>
          <w:tcPr>
            <w:tcW w:type="dxa" w:w="1318"/>
          </w:tcPr>
          <w:p>
            <w:pPr>
              <w:pStyle w:val="Compact"/>
              <w:spacing w:before="20" w:after="20" w:line="240" w:lineRule="auto"/>
              <w:jc w:val="center"/>
              <w:keepNext/>
            </w:pPr>
            <w:r>
              <w:rPr>
                <w:sz w:val="13"/>
                <w:szCs w:val="13"/>
              </w:rPr>
              <w:t xml:space="preserve">0.701 (0.652)</w:t>
            </w:r>
          </w:p>
        </w:tc>
        <w:tc>
          <w:tcPr>
            <w:tcW w:type="dxa" w:w="1318"/>
          </w:tcPr>
          <w:p>
            <w:pPr>
              <w:pStyle w:val="Compact"/>
              <w:spacing w:before="20" w:after="20" w:line="240" w:lineRule="auto"/>
              <w:jc w:val="center"/>
              <w:keepNext/>
            </w:pPr>
            <w:r>
              <w:rPr>
                <w:sz w:val="13"/>
                <w:szCs w:val="13"/>
              </w:rPr>
              <w:t xml:space="preserve">1.106 (0.181)</w:t>
            </w:r>
          </w:p>
        </w:tc>
        <w:tc>
          <w:tcPr>
            <w:tcW w:type="dxa" w:w="1318"/>
          </w:tcPr>
          <w:p>
            <w:pPr>
              <w:pStyle w:val="Compact"/>
              <w:spacing w:before="20" w:after="20" w:line="240" w:lineRule="auto"/>
              <w:jc w:val="center"/>
              <w:keepNext/>
            </w:pPr>
            <w:r>
              <w:rPr>
                <w:sz w:val="13"/>
                <w:szCs w:val="13"/>
              </w:rPr>
              <w:t xml:space="preserve">0.716 (0.204)</w:t>
            </w:r>
          </w:p>
        </w:tc>
      </w:tr>
      <w:tr>
        <w:trPr>
          <w:cantSplit/>
        </w:trPr>
        <w:tc>
          <w:tcPr>
            <w:tcW w:type="dxa" w:w="1160"/>
          </w:tcPr>
          <w:p>
            <w:pPr>
              <w:pStyle w:val="Compact"/>
              <w:spacing w:before="20" w:after="20" w:line="240" w:lineRule="auto"/>
              <w:keepNext/>
            </w:pPr>
            <w:r>
              <w:rPr>
                <w:sz w:val="13"/>
                <w:szCs w:val="13"/>
              </w:rPr>
              <w:t xml:space="preserve">N</w:t>
            </w:r>
          </w:p>
        </w:tc>
        <w:tc>
          <w:tcPr>
            <w:tcW w:type="dxa" w:w="1318"/>
          </w:tcPr>
          <w:p>
            <w:pPr>
              <w:pStyle w:val="Compact"/>
              <w:spacing w:before="20" w:after="20" w:line="240" w:lineRule="auto"/>
              <w:jc w:val="center"/>
              <w:keepNext/>
            </w:pPr>
            <w:r>
              <w:rPr>
                <w:sz w:val="13"/>
                <w:szCs w:val="13"/>
              </w:rPr>
              <w:t xml:space="preserve">928</w:t>
            </w:r>
          </w:p>
        </w:tc>
        <w:tc>
          <w:tcPr>
            <w:tcW w:type="dxa" w:w="1318"/>
          </w:tcPr>
          <w:p>
            <w:pPr>
              <w:pStyle w:val="Compact"/>
              <w:spacing w:before="20" w:after="20" w:line="240" w:lineRule="auto"/>
              <w:jc w:val="center"/>
              <w:keepNext/>
            </w:pPr>
            <w:r>
              <w:rPr>
                <w:sz w:val="13"/>
                <w:szCs w:val="13"/>
              </w:rPr>
              <w:t xml:space="preserve">473</w:t>
            </w:r>
          </w:p>
        </w:tc>
        <w:tc>
          <w:tcPr>
            <w:tcW w:type="dxa" w:w="1318"/>
          </w:tcPr>
          <w:p>
            <w:pPr>
              <w:pStyle w:val="Compact"/>
              <w:spacing w:before="20" w:after="20" w:line="240" w:lineRule="auto"/>
              <w:jc w:val="center"/>
              <w:keepNext/>
            </w:pPr>
            <w:r>
              <w:rPr>
                <w:sz w:val="13"/>
                <w:szCs w:val="13"/>
              </w:rPr>
              <w:t xml:space="preserve">860</w:t>
            </w:r>
          </w:p>
        </w:tc>
        <w:tc>
          <w:tcPr>
            <w:tcW w:type="dxa" w:w="1318"/>
          </w:tcPr>
          <w:p>
            <w:pPr>
              <w:pStyle w:val="Compact"/>
              <w:spacing w:before="20" w:after="20" w:line="240" w:lineRule="auto"/>
              <w:jc w:val="center"/>
              <w:keepNext/>
            </w:pPr>
            <w:r>
              <w:rPr>
                <w:sz w:val="13"/>
                <w:szCs w:val="13"/>
              </w:rPr>
              <w:t xml:space="preserve">467</w:t>
            </w:r>
          </w:p>
        </w:tc>
        <w:tc>
          <w:tcPr>
            <w:tcW w:type="dxa" w:w="1318"/>
          </w:tcPr>
          <w:p>
            <w:pPr>
              <w:pStyle w:val="Compact"/>
              <w:spacing w:before="20" w:after="20" w:line="240" w:lineRule="auto"/>
              <w:jc w:val="center"/>
              <w:keepNext/>
            </w:pPr>
            <w:r>
              <w:rPr>
                <w:sz w:val="13"/>
                <w:szCs w:val="13"/>
              </w:rPr>
              <w:t xml:space="preserve">753</w:t>
            </w:r>
          </w:p>
        </w:tc>
        <w:tc>
          <w:tcPr>
            <w:tcW w:type="dxa" w:w="1318"/>
          </w:tcPr>
          <w:p>
            <w:pPr>
              <w:pStyle w:val="Compact"/>
              <w:spacing w:before="20" w:after="20" w:line="240" w:lineRule="auto"/>
              <w:jc w:val="center"/>
              <w:keepNext/>
            </w:pPr>
            <w:r>
              <w:rPr>
                <w:sz w:val="13"/>
                <w:szCs w:val="13"/>
              </w:rPr>
              <w:t xml:space="preserve">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조립 단독형의 이항 로짓을 추정하였다. 기술범위 OR 1.463, 출원연도 0.987, 중국 출원청 1.177로, 주요 계수의 방향과 상대적 크기는 다항 로짓 통합형 방정식의 값(1.403, 0.993, 1.205)과 유사했다. 이는 공정 단독형을 제외해도 통합형 관련 결과의 실질적 해석이 크게 달라지지 않음을 보여주는 민감도 분석이며, 정식 IIA 검정(Hausman–McFadden, Small–Hsiao)을 대체하지는 않는다.</w:t>
      </w:r>
    </w:p>
    <w:p>
      <w:pPr>
        <w:pStyle w:val="BodyText"/>
      </w:pPr>
      <w:r>
        <w:t xml:space="preserve">2010년 이후 표본에서 출원연도의 IRR이 1보다 작아지는 것은 본문 제5.1절에서 언급한 대로다. 2010년 이후 표본의 일본 계수(IRR 1.577)는 기술범위가 21인 같은 제목의 출원 4건에 좌우되며, 이 4건을 빼면 1.057(p = 0.75)이 된다.</w:t>
      </w:r>
    </w:p>
    <w:bookmarkEnd w:id="54"/>
    <w:bookmarkStart w:id="55"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bookmarkEnd w:id="57"/>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9" Type="http://schemas.openxmlformats.org/officeDocument/2006/relationships/image" Target="media/rId29.png"/><Relationship Id="rId37" Type="http://schemas.openxmlformats.org/officeDocument/2006/relationships/image" Target="media/rId37.png"/><Relationship Id="rId40" Type="http://schemas.openxmlformats.org/officeDocument/2006/relationships/image" Target="media/rId40.png"/><Relationship Id="rId17" Type="http://schemas.openxmlformats.org/officeDocument/2006/relationships/image" Target="media/rId17.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2026-09-25T14:50:04Z</dcterms:created>
  <dcterms:modified xsi:type="dcterms:W3CDTF">2026-09-25T14:50:04Z</dcterms:modified>
</cp:coreProperties>
</file>

<file path=docProps/custom.xml><?xml version="1.0" encoding="utf-8"?>
<Properties xmlns="http://schemas.openxmlformats.org/officeDocument/2006/custom-properties" xmlns:vt="http://schemas.openxmlformats.org/officeDocument/2006/docPropsVTypes"/>
</file>