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특허-데이터를-활용한-차세대-반도체-패키징-기술-생태계의-진화"/>
    <w:p>
      <w:pPr>
        <w:pStyle w:val="Heading1"/>
      </w:pPr>
      <w:r>
        <w:t xml:space="preserve">특허 데이터를 활용한 차세대 반도체 패키징 기술 생태계의 진화</w:t>
      </w:r>
    </w:p>
    <w:bookmarkStart w:id="9" w:name="X53636db14a3feea7ae356fc2eb22a820fdfdac2"/>
    <w:p>
      <w:pPr>
        <w:pStyle w:val="Heading2"/>
      </w:pPr>
      <w:r>
        <w:t xml:space="preserve">— 하이브리드 본딩(Hybrid Bonding)을 중심으로 한 거시–미시 다층 분석 〔확장 심화판 rev3〕</w:t>
      </w:r>
    </w:p>
    <w:p>
      <w:pPr>
        <w:pStyle w:val="FirstParagraph"/>
      </w:pPr>
      <w:r>
        <w:rPr>
          <w:i/>
          <w:iCs/>
        </w:rPr>
        <w:t xml:space="preserve">기술경영학과 석사학위논문 (확장 심화 초안 rev3) · 이형규(2025155651)</w:t>
      </w:r>
      <w:r>
        <w:t xml:space="preserve"> </w:t>
      </w:r>
      <w:r>
        <w:rPr>
          <w:i/>
          <w:iCs/>
        </w:rPr>
        <w:t xml:space="preserve">인용양식: APA 7판 · 언어: 한국어(전문용어 영문 병기)</w:t>
      </w:r>
    </w:p>
    <w:p>
      <w:pPr>
        <w:pStyle w:val="BlockText"/>
      </w:pPr>
      <w:r>
        <w:t xml:space="preserve">📌</w:t>
      </w:r>
      <w:r>
        <w:t xml:space="preserve"> </w:t>
      </w:r>
      <w:r>
        <w:rPr>
          <w:b/>
          <w:bCs/>
        </w:rPr>
        <w:t xml:space="preserve">확장 심화판(rev3).</w:t>
      </w:r>
      <w:r>
        <w:t xml:space="preserve"> </w:t>
      </w:r>
      <w:r>
        <w:t xml:space="preserve">본 파일은 이전 버전들(</w:t>
      </w:r>
      <w:r>
        <w:rPr>
          <w:rStyle w:val="VerbatimChar"/>
        </w:rPr>
        <w:t xml:space="preserve">draft.md</w:t>
      </w:r>
      <w:r>
        <w:t xml:space="preserve">·</w:t>
      </w:r>
      <w:r>
        <w:rPr>
          <w:rStyle w:val="VerbatimChar"/>
        </w:rPr>
        <w:t xml:space="preserve">draft_expanded.md</w:t>
      </w:r>
      <w:r>
        <w:t xml:space="preserve">·</w:t>
      </w:r>
      <w:r>
        <w:rPr>
          <w:rStyle w:val="VerbatimChar"/>
        </w:rPr>
        <w:t xml:space="preserve">rev1</w:t>
      </w:r>
      <w:r>
        <w:t xml:space="preserve">·</w:t>
      </w:r>
      <w:r>
        <w:rPr>
          <w:rStyle w:val="VerbatimChar"/>
        </w:rPr>
        <w:t xml:space="preserve">rev2</w:t>
      </w:r>
      <w:r>
        <w:t xml:space="preserve">)을</w:t>
      </w:r>
      <w:r>
        <w:t xml:space="preserve"> </w:t>
      </w:r>
      <w:r>
        <w:rPr>
          <w:b/>
          <w:bCs/>
        </w:rPr>
        <w:t xml:space="preserve">그대로 보존</w:t>
      </w:r>
      <w:r>
        <w:t xml:space="preserve">한 채 만든 별도본으로, 본문을 목표 분량까지 확장한 최신본이다. 1·2·3·4·6·7장과 부록을 폭넓게 보강하였으며, 동일한 논지·수치·구조를 유지하고 모든 실증 수치는 저자의 선행 분석(①②)에서 인용한 것이다(재계산 아님).</w:t>
      </w:r>
    </w:p>
    <w:p>
      <w:r>
        <w:pict>
          <v:rect style="width:0;height:1.5pt" o:hralign="center" o:hrstd="t" o:hr="t"/>
        </w:pict>
      </w:r>
    </w:p>
    <w:bookmarkEnd w:id="9"/>
    <w:bookmarkStart w:id="10" w:name="학위논문-전면부-작성-예정"/>
    <w:p>
      <w:pPr>
        <w:pStyle w:val="Heading2"/>
      </w:pPr>
      <w:r>
        <w:t xml:space="preserve">〔학위논문 전면부 — 작성 예정〕</w:t>
      </w:r>
    </w:p>
    <w:p>
      <w:pPr>
        <w:pStyle w:val="BlockText"/>
      </w:pPr>
      <w:r>
        <w:t xml:space="preserve">아래는 학과 양식 확정 후 채울 전면부 골격이다(분량 산정에는 미포함).</w:t>
      </w:r>
    </w:p>
    <w:p>
      <w:pPr>
        <w:pStyle w:val="Compact"/>
        <w:numPr>
          <w:ilvl w:val="0"/>
          <w:numId w:val="1001"/>
        </w:numPr>
      </w:pPr>
      <w:r>
        <w:t xml:space="preserve">표지 / 제출지 / 인준지(심사위원 서명)</w:t>
      </w:r>
    </w:p>
    <w:p>
      <w:pPr>
        <w:pStyle w:val="Compact"/>
        <w:numPr>
          <w:ilvl w:val="0"/>
          <w:numId w:val="1001"/>
        </w:numPr>
      </w:pPr>
      <w:r>
        <w:t xml:space="preserve">감사의 글</w:t>
      </w:r>
    </w:p>
    <w:p>
      <w:pPr>
        <w:pStyle w:val="Compact"/>
        <w:numPr>
          <w:ilvl w:val="0"/>
          <w:numId w:val="1001"/>
        </w:numPr>
      </w:pPr>
      <w:r>
        <w:t xml:space="preserve">목차 / 표 목차 / 그림 목차</w:t>
      </w:r>
    </w:p>
    <w:p>
      <w:pPr>
        <w:pStyle w:val="Compact"/>
        <w:numPr>
          <w:ilvl w:val="0"/>
          <w:numId w:val="1001"/>
        </w:numPr>
      </w:pPr>
      <w:r>
        <w:rPr>
          <w:b/>
          <w:bCs/>
        </w:rPr>
        <w:t xml:space="preserve">연구윤리 준수 서약</w:t>
      </w:r>
      <w:r>
        <w:t xml:space="preserve"> </w:t>
      </w:r>
      <w:r>
        <w:t xml:space="preserve">— 본 논문이 연구윤리를 준수하여 작성되었음을 서약함.</w:t>
      </w:r>
    </w:p>
    <w:p>
      <w:pPr>
        <w:pStyle w:val="Compact"/>
        <w:numPr>
          <w:ilvl w:val="0"/>
          <w:numId w:val="1001"/>
        </w:numPr>
      </w:pPr>
      <w:r>
        <w:rPr>
          <w:b/>
          <w:bCs/>
        </w:rPr>
        <w:t xml:space="preserve">AI 사용 고지(Disclosure)</w:t>
      </w:r>
      <w:r>
        <w:t xml:space="preserve"> </w:t>
      </w:r>
      <w:r>
        <w:t xml:space="preserve">— 본 논문의 초안 작성·문헌 검색·편집에 AI 보조 도구를 활용하였으며, 모든 핵심 결정과 자료는 저자가 제공·검증하였다(상세는 §저자 고지).</w:t>
      </w:r>
    </w:p>
    <w:p>
      <w:pPr>
        <w:pStyle w:val="BlockText"/>
      </w:pPr>
      <w:r>
        <w:rPr>
          <w:b/>
          <w:bCs/>
        </w:rPr>
        <w:t xml:space="preserve">저자 고지(Disclosure).</w:t>
      </w:r>
      <w:r>
        <w:t xml:space="preserve"> </w:t>
      </w:r>
      <w:r>
        <w:t xml:space="preserve">본 학위논문은 저자가 동일 주제로 수행한 두 편의 선행 제출물 — ①</w:t>
      </w:r>
      <w:r>
        <w:t xml:space="preserve"> </w:t>
      </w:r>
      <w:r>
        <w:rPr>
          <w:i/>
          <w:iCs/>
        </w:rPr>
        <w:t xml:space="preserve">Determinants of Technological Breadth and Strategic Orientation in Hybrid Bonding Patents</w:t>
      </w:r>
      <w:r>
        <w:t xml:space="preserve">(계량분석)와 ②</w:t>
      </w:r>
      <w:r>
        <w:t xml:space="preserve"> </w:t>
      </w:r>
      <w:r>
        <w:rPr>
          <w:i/>
          <w:iCs/>
        </w:rPr>
        <w:t xml:space="preserve">특허 데이터를 활용한 차세대 반도체 패키징 기술 생태계의 진화 메커니즘 연구</w:t>
      </w:r>
      <w:r>
        <w:t xml:space="preserve">(특허분석 학기 과제) — 을 통합·발전시킨 것이다. 본문의 실증 결과는 위 선행 분석에서 인용·재해석한 것이며, 본 논문에서 PATSTAT를 재추출하거나 모형을 재추정하지 않았다.</w:t>
      </w:r>
    </w:p>
    <w:p>
      <w:r>
        <w:pict>
          <v:rect style="width:0;height:1.5pt" o:hralign="center" o:hrstd="t" o:hr="t"/>
        </w:pict>
      </w:r>
    </w:p>
    <w:bookmarkEnd w:id="10"/>
    <w:bookmarkStart w:id="11" w:name="국문-초록"/>
    <w:p>
      <w:pPr>
        <w:pStyle w:val="Heading2"/>
      </w:pPr>
      <w:r>
        <w:t xml:space="preserve">국문 초록</w:t>
      </w:r>
    </w:p>
    <w:p>
      <w:pPr>
        <w:pStyle w:val="FirstParagraph"/>
      </w:pPr>
      <w:r>
        <w:t xml:space="preserve">4차 산업혁명의 가속화로 인공지능(AI)·자율주행·클라우드 컴퓨팅 등 데이터 중심 산업이 급성장하면서, 이를 뒷받침하는 고성능 반도체의 중요성이 국가 전략 자산 수준으로 격상되었다. 그러나 지난 반세기 동안 산업 성장을 견인해 온 무어의 법칙(Moore’s Law)은 회로 선폭 미세화가 물리적·경제적 한계에 봉착하면서 그 효용이 점차 저하되고 있다. 이에 글로벌 반도체 기업들은 단일 칩(monolithic) 설계에서 벗어나 서로 다른 공정·기능으로 제작된 칩(chiplet)을 패키징 단계에서 수직·수평으로 연결하는 이종 집적(Heterogeneous Integration)으로 혁신의 축을 옮기고 있으며, 그 결과 부가가치의 원천이 전공정(front-end)에서 후공정(back-end) 패키징으로 구조적으로 이동하고 있다.</w:t>
      </w:r>
    </w:p>
    <w:p>
      <w:pPr>
        <w:pStyle w:val="BodyText"/>
      </w:pPr>
      <w:r>
        <w:t xml:space="preserve">본 연구는 이 전환의 핵심 단위공정(unit process)인</w:t>
      </w:r>
      <w:r>
        <w:t xml:space="preserve"> </w:t>
      </w:r>
      <w:r>
        <w:rPr>
          <w:b/>
          <w:bCs/>
        </w:rPr>
        <w:t xml:space="preserve">하이브리드 본딩</w:t>
      </w:r>
      <w:r>
        <w:t xml:space="preserve">을 대상으로, 유럽특허청(EPO) PATSTAT 2025에서 추출한 특허 데이터를</w:t>
      </w:r>
      <w:r>
        <w:t xml:space="preserve"> </w:t>
      </w:r>
      <w:r>
        <w:rPr>
          <w:b/>
          <w:bCs/>
        </w:rPr>
        <w:t xml:space="preserve">거시–미시 다층(multi-level)</w:t>
      </w:r>
      <w:r>
        <w:t xml:space="preserve"> </w:t>
      </w:r>
      <w:r>
        <w:t xml:space="preserve">으로 분석하여 차세대 패키징 기술 생태계의 진화 메커니즘을 규명한다. 거시 차원에서는 공정–구조–제품(P–S–P) 프레임 아래 출원 동학, 기술 집중도(RTA)·클러스터·네트워크, 그리고 질적 지표인 시장확보지수(PFS)·과학연계성지수(SLI)·인용영향력지수(CII)·특허인용 감쇠를 통해 생태계 구조와 기업·관할권 전략을 진단한다. 미시 차원에서는 동일 모집단을 출원 단위로 응집한 928개 출원을 대상으로, 기술범위(breadth)를 음이항회귀로, 전략지향(전공정 침투 여부 및 전략유형)을 이항·다항 로짓으로 추정한다.</w:t>
      </w:r>
    </w:p>
    <w:p>
      <w:pPr>
        <w:pStyle w:val="BodyText"/>
      </w:pPr>
      <w:r>
        <w:t xml:space="preserve">분석 결과는 다음과 같다. 첫째, 하이브리드 본딩 출원은 2021년을 기점으로 전년 대비 약 66% 급증하며 제품(HBM) 상용화를 선행하는 양상을 보였다. 둘째, Adeia(Ziptronix·Invensas 계열)와 같은 IP 전문기업이 압도적 인용 영향력(CII)과 과학연계성(SLI)으로 원천 특허 장벽을 구축한 가운데, TSMC(전공정 내재화), YMTC(독자 X-Stacking·고SLI), Samsung·Intel(양적 우위에도 질적 열위) 등 제조기업별 전략이 뚜렷이 분화되었다. 셋째, 특허 수준에서 기술범위는 시간에 따라 확대되며 중국 출원청 출원이 약 21% 좁았고, 전공정 지향 비중은 시간에 따라 감소하되 중국에서 두드러졌으며 일본은 거의 전무하였다. 종합하면 거시 명제(전→후공정 가치 이동)와 미시 증거(후공정 특허의 전공정 침투)는</w:t>
      </w:r>
      <w:r>
        <w:t xml:space="preserve"> </w:t>
      </w:r>
      <w:r>
        <w:rPr>
          <w:b/>
          <w:bCs/>
        </w:rPr>
        <w:t xml:space="preserve">전/후공정 경계의 흐려짐</w:t>
      </w:r>
      <w:r>
        <w:t xml:space="preserve">이라는 하나의 융합 현상으로 수렴하며, 이는 하이브리드 본딩이 단순 패키징 기술을 넘어 범용기술(GPT)적 성격을 띠고 국가적 차원의 전략적 육성을 요함을 시사한다.</w:t>
      </w:r>
    </w:p>
    <w:p>
      <w:pPr>
        <w:pStyle w:val="BodyText"/>
      </w:pPr>
      <w:r>
        <w:rPr>
          <w:b/>
          <w:bCs/>
        </w:rPr>
        <w:t xml:space="preserve">주제어:</w:t>
      </w:r>
      <w:r>
        <w:t xml:space="preserve"> </w:t>
      </w:r>
      <w:r>
        <w:t xml:space="preserve">이종 집적(Heterogeneous Integration), 하이브리드 본딩(Hybrid Bonding), 특허 데이터(Patent Data), 음이항회귀(Negative Binomial Regression), 다항 로짓(Multinomial Logit), 기술융합(Technological Convergence), 범용기술(General Purpose Technology)</w:t>
      </w:r>
    </w:p>
    <w:bookmarkEnd w:id="11"/>
    <w:bookmarkStart w:id="12" w:name="abstract"/>
    <w:p>
      <w:pPr>
        <w:pStyle w:val="Heading2"/>
      </w:pPr>
      <w:r>
        <w:t xml:space="preserve">Abstract</w:t>
      </w:r>
    </w:p>
    <w:p>
      <w:pPr>
        <w:pStyle w:val="FirstParagraph"/>
      </w:pPr>
      <w:r>
        <w:t xml:space="preserve">The rapid rise of data-centric industries—artificial intelligence, autonomous driving, and cloud computing—has elevated high-performance semiconductors to the status of strategic national assets. As Moore’s Law slows under physical and economic limits, value creation in the semiconductor industry is shifting structurally from front-end fabrication to back-end packaging, with heterogeneous integration of chiplets at its core. This thesis examines</w:t>
      </w:r>
      <w:r>
        <w:t xml:space="preserve"> </w:t>
      </w:r>
      <w:r>
        <w:rPr>
          <w:b/>
          <w:bCs/>
        </w:rPr>
        <w:t xml:space="preserve">hybrid bonding</w:t>
      </w:r>
      <w:r>
        <w:t xml:space="preserve">, the key unit process enabling sub-micron interconnect, through a</w:t>
      </w:r>
      <w:r>
        <w:t xml:space="preserve"> </w:t>
      </w:r>
      <w:r>
        <w:rPr>
          <w:b/>
          <w:bCs/>
        </w:rPr>
        <w:t xml:space="preserve">multi-level (macro–micro) analysis</w:t>
      </w:r>
      <w:r>
        <w:t xml:space="preserve"> </w:t>
      </w:r>
      <w:r>
        <w:t xml:space="preserve">of EPO PATSTAT 2025 patent data. At the macro level, within a Process–Structure–Product framework, it diagnoses ecosystem structure and firm/jurisdiction strategy via filing dynamics, technological concentration, clusters, networks, and quality indicators (PFS, SLI, CII, citation decay). At the micro level, using 928 applications, it estimates technological breadth with negative binomial regression and strategic orientation with binary and multinomial logit. The results show an explosive 66% year-on-year surge in hybrid-bonding filings from 2021, strong IP-based entry barriers (Adeia lineage), and clearly differentiated firm strategies; at the patent level, breadth widens over time and is about 21% narrower at the Chinese office, while process orientation declines over time yet remains pronounced in China and nearly absent in Japan. The macro proposition (front-to-back value migration) and the micro evidence (back-end patents reaching into front-end) converge on a single phenomenon: the</w:t>
      </w:r>
      <w:r>
        <w:t xml:space="preserve"> </w:t>
      </w:r>
      <w:r>
        <w:rPr>
          <w:b/>
          <w:bCs/>
        </w:rPr>
        <w:t xml:space="preserve">blurring of the front/back-end boundary</w:t>
      </w:r>
      <w:r>
        <w:t xml:space="preserve">, suggesting hybrid bonding bears the hallmarks of a general purpose technology warranting strategic national investment.</w:t>
      </w:r>
    </w:p>
    <w:p>
      <w:r>
        <w:pict>
          <v:rect style="width:0;height:1.5pt" o:hralign="center" o:hrstd="t" o:hr="t"/>
        </w:pict>
      </w:r>
    </w:p>
    <w:bookmarkEnd w:id="12"/>
    <w:bookmarkEnd w:id="13"/>
    <w:bookmarkStart w:id="19" w:name="제1장-서론"/>
    <w:p>
      <w:pPr>
        <w:pStyle w:val="Heading1"/>
      </w:pPr>
      <w:r>
        <w:t xml:space="preserve">제1장 서론</w:t>
      </w:r>
    </w:p>
    <w:bookmarkStart w:id="14" w:name="연구-배경-및-필요성"/>
    <w:p>
      <w:pPr>
        <w:pStyle w:val="Heading2"/>
      </w:pPr>
      <w:r>
        <w:t xml:space="preserve">1.1 연구 배경 및 필요성</w:t>
      </w:r>
    </w:p>
    <w:p>
      <w:pPr>
        <w:pStyle w:val="FirstParagraph"/>
      </w:pPr>
      <w:r>
        <w:t xml:space="preserve">인공지능, 자율주행, 클라우드 컴퓨팅으로 대표되는 데이터 중심 산업의 급성장은 고성능·고대역폭 반도체에 대한 수요를 폭발적으로 끌어올렸다. 초거대 언어모델(LLM)과 생성형 AI의 확산은 연산 프로세서에 천문학적 규모의 트랜지스터 집적과 메모리 대역폭을 요구하고 있으며, 그 결과 반도체는 단순한 산업 부품을 넘어 국가 안보와 산업 경쟁력을 좌우하는 전략 자산으로 격상되었다. 미·중 기술 패권 경쟁과 공급망 재편은 이러한 인식을 한층 강화하였다(오철, 2024; 민성기, 2023).</w:t>
      </w:r>
    </w:p>
    <w:p>
      <w:pPr>
        <w:pStyle w:val="BodyText"/>
      </w:pPr>
      <w:r>
        <w:t xml:space="preserve">그러나 지난 50여 년간 반도체 성능 향상을 견인해 온 무어의 법칙은 7nm 이하 공정에서 터널링 효과와 같은 물리적 한계, 그리고 EUV 노광 장비 비용의 기하급수적 상승이라는 경제적 한계에 동시에 봉착하면서 그 효용이 빠르게 저하되고 있다(이종호·오철, 2022). 단일 칩의 미세화만으로는 더 이상 비용 대비 성능 개선을 담보하기 어려워진 것이다. 이는 새로운 지식을 활용하기 위해 더 많은 선행 지식이 필요해지는</w:t>
      </w:r>
      <w:r>
        <w:t xml:space="preserve"> </w:t>
      </w:r>
      <w:r>
        <w:t xml:space="preserve">‘지식의 부담(burden of knowledge)’</w:t>
      </w:r>
      <w:r>
        <w:t xml:space="preserve"> </w:t>
      </w:r>
      <w:r>
        <w:t xml:space="preserve">현상과도 맞닿아, 혁신의 생산성이 구조적으로 둔화되는 국면을 반영한다.</w:t>
      </w:r>
    </w:p>
    <w:p>
      <w:pPr>
        <w:pStyle w:val="BodyText"/>
      </w:pPr>
      <w:r>
        <w:t xml:space="preserve">이러한 한계를 돌파하기 위해 등장한 패러다임이</w:t>
      </w:r>
      <w:r>
        <w:t xml:space="preserve"> </w:t>
      </w:r>
      <w:r>
        <w:rPr>
          <w:b/>
          <w:bCs/>
        </w:rPr>
        <w:t xml:space="preserve">이종 집적(Heterogeneous Integration)</w:t>
      </w:r>
      <w:r>
        <w:t xml:space="preserve"> </w:t>
      </w:r>
      <w:r>
        <w:t xml:space="preserve">이다. 이는 거대한 단일 칩을 기능 단위로 분할한 칩렛(chiplet)을 패키징 단계에서 재조립하여 시스템 성능을 극대화하는 접근으로, 고성능 로직만 최선단 공정으로 제작하고 I/O·캐시는 성숙 공정을 활용함으로써 제조 원가를 크게 절감할 수 있다(박지민, 2019). 그 결과 부가가치 창출의 무게중심이 전공정(front-end)에서 후공정(back-end) 패키징으로 구조적으로 이동하고 있으며, 패키징은 더 이상 칩을 보호하는 후행 조립 공정이 아니라 성능(Performance)·전력(Power)·면적(Area)·비용(Cost), 이른바 PPAC를 결정하는 핵심 주체로 재정의되고 있다(오유진, 2025).</w:t>
      </w:r>
    </w:p>
    <w:p>
      <w:pPr>
        <w:pStyle w:val="BodyText"/>
      </w:pPr>
      <w:r>
        <w:t xml:space="preserve">이 전환의 기술적 병목이자 핵심 동인이</w:t>
      </w:r>
      <w:r>
        <w:t xml:space="preserve"> </w:t>
      </w:r>
      <w:r>
        <w:rPr>
          <w:b/>
          <w:bCs/>
        </w:rPr>
        <w:t xml:space="preserve">하이브리드 본딩(Hybrid Bonding)</w:t>
      </w:r>
      <w:r>
        <w:t xml:space="preserve"> </w:t>
      </w:r>
      <w:r>
        <w:t xml:space="preserve">이다. 하이브리드 본딩은 솔더 범프와 같은 매개체 없이 구리(Cu) 전극과 절연막(oxide)을 상온에서 동시에 직접 접합하여 인터커넥트 피치를 1µm 이하, 나아가 서브미크론 단위로 낮추는 기술로, 마이크로범프의 물리적 한계(피치 축소 시 쇼트·저항 증가)를 넘어 온칩 인터커넥트에 준하는 성능과 전력 효율을 제공한다(김민규 외, 2025). 본래 CMOS 이미지센서(CIS)와 3D NAND의 웨이퍼-투-웨이퍼(W2W) 접합에서 출발했으나, 최근에는 서로 다른 크기·기능의 칩을 연결해야 하는 HBM4와 고성능 로직 패키징을 위해 다이-투-웨이퍼(D2W) 방식으로 기술의 중심축이 이동하고 있다. 이처럼 하이브리드 본딩은 차세대 반도체 성능 향상의 공통 기반으로 부상하고 있음에도, 그 기술 생태계의 진화를 특허라는 정량적 증거로 체계적으로 규명한 연구는 아직 드물다.</w:t>
      </w:r>
    </w:p>
    <w:bookmarkEnd w:id="14"/>
    <w:bookmarkStart w:id="15" w:name="문제-제기"/>
    <w:p>
      <w:pPr>
        <w:pStyle w:val="Heading2"/>
      </w:pPr>
      <w:r>
        <w:t xml:space="preserve">1.2 문제 제기</w:t>
      </w:r>
    </w:p>
    <w:p>
      <w:pPr>
        <w:pStyle w:val="FirstParagraph"/>
      </w:pPr>
      <w:r>
        <w:t xml:space="preserve">하이브리드 본딩에 관한 공학적·소재적 연구는 활발하지만, 이를</w:t>
      </w:r>
      <w:r>
        <w:t xml:space="preserve"> </w:t>
      </w:r>
      <w:r>
        <w:rPr>
          <w:b/>
          <w:bCs/>
        </w:rPr>
        <w:t xml:space="preserve">특허 데이터로 정량 분석</w:t>
      </w:r>
      <w:r>
        <w:t xml:space="preserve">한 연구는 제한적이며, 기존의 특허 기반 연구는 대체로 국가 단위 비교나 거시적 기술 동향 파악에 머무는 Top-down 방식이었다(이찬우, 2020; 오철, 2024). 이러한 접근은 ’무엇이 얼마나 출원되었는가’라는 현황은 보여주지만, 핵심 단위공정의 기술적 진화가 어떻게 상위 시스템 아키텍처의 구현을 가능케 하고 최종 제품 혁신으로 확장되는지는 설명하지 못한다.</w:t>
      </w:r>
    </w:p>
    <w:p>
      <w:pPr>
        <w:pStyle w:val="BodyText"/>
      </w:pPr>
      <w:r>
        <w:t xml:space="preserve">본 연구는 이와 달리 하이브리드 본딩이라는</w:t>
      </w:r>
      <w:r>
        <w:t xml:space="preserve"> </w:t>
      </w:r>
      <w:r>
        <w:rPr>
          <w:b/>
          <w:bCs/>
        </w:rPr>
        <w:t xml:space="preserve">핵심 단위공정에서 출발</w:t>
      </w:r>
      <w:r>
        <w:t xml:space="preserve">하여 구조(structure)와 제품(product)으로 이어지는 가치사슬의 진화를 추적하는</w:t>
      </w:r>
      <w:r>
        <w:t xml:space="preserve"> </w:t>
      </w:r>
      <w:r>
        <w:rPr>
          <w:b/>
          <w:bCs/>
        </w:rPr>
        <w:t xml:space="preserve">Bottom-up 분석 체계</w:t>
      </w:r>
      <w:r>
        <w:t xml:space="preserve">를 지향한다. 더 나아가 본 연구는 분석 방법을 단일 층위에 한정하지 않는다. 생태계의 구조와 전략을 조망하는</w:t>
      </w:r>
      <w:r>
        <w:t xml:space="preserve"> </w:t>
      </w:r>
      <w:r>
        <w:rPr>
          <w:b/>
          <w:bCs/>
        </w:rPr>
        <w:t xml:space="preserve">거시적 기술 스캐닝</w:t>
      </w:r>
      <w:r>
        <w:t xml:space="preserve">(기술지표·네트워크)과, 특허 개체 수준에서 결정요인을 통계적으로 검정하는</w:t>
      </w:r>
      <w:r>
        <w:t xml:space="preserve"> </w:t>
      </w:r>
      <w:r>
        <w:rPr>
          <w:b/>
          <w:bCs/>
        </w:rPr>
        <w:t xml:space="preserve">미시적 계량분석</w:t>
      </w:r>
      <w:r>
        <w:t xml:space="preserve">을 동일한 데이터 위에서 결합하는</w:t>
      </w:r>
      <w:r>
        <w:t xml:space="preserve"> </w:t>
      </w:r>
      <w:r>
        <w:rPr>
          <w:b/>
          <w:bCs/>
        </w:rPr>
        <w:t xml:space="preserve">거시–미시 다층(multi-level) 접근</w:t>
      </w:r>
      <w:r>
        <w:t xml:space="preserve">을 채택한다. 이를 통해</w:t>
      </w:r>
      <w:r>
        <w:t xml:space="preserve"> </w:t>
      </w:r>
      <w:r>
        <w:t xml:space="preserve">“부가가치가 전공정에서 후공정으로 이동한다”</w:t>
      </w:r>
      <w:r>
        <w:t xml:space="preserve">는 거시 명제를,</w:t>
      </w:r>
      <w:r>
        <w:t xml:space="preserve"> </w:t>
      </w:r>
      <w:r>
        <w:t xml:space="preserve">“후공정 특허가 전공정 영역으로 침투한다”</w:t>
      </w:r>
      <w:r>
        <w:t xml:space="preserve">는 미시 증거로</w:t>
      </w:r>
      <w:r>
        <w:t xml:space="preserve"> </w:t>
      </w:r>
      <w:r>
        <w:rPr>
          <w:b/>
          <w:bCs/>
        </w:rPr>
        <w:t xml:space="preserve">교차 검증</w:t>
      </w:r>
      <w:r>
        <w:t xml:space="preserve">함으로써, 산업계의 통념을 데이터로 확인하고 그 융합의 구조를 규명하고자 한다.</w:t>
      </w:r>
    </w:p>
    <w:bookmarkEnd w:id="15"/>
    <w:bookmarkStart w:id="16" w:name="연구-목적-및-연구질문"/>
    <w:p>
      <w:pPr>
        <w:pStyle w:val="Heading2"/>
      </w:pPr>
      <w:r>
        <w:t xml:space="preserve">1.3 연구 목적 및 연구질문</w:t>
      </w:r>
    </w:p>
    <w:p>
      <w:pPr>
        <w:pStyle w:val="FirstParagraph"/>
      </w:pPr>
      <w:r>
        <w:t xml:space="preserve">본 연구의 목적은 특허 데이터를 활용하여 하이브리드 본딩 중심의 차세대 패키징 기술 생태계의 진화 메커니즘을 거시–미시 다층으로 규명하는 데 있다. 구체적 연구질문은 다음과 같다.</w:t>
      </w:r>
    </w:p>
    <w:p>
      <w:pPr>
        <w:pStyle w:val="Compact"/>
        <w:numPr>
          <w:ilvl w:val="0"/>
          <w:numId w:val="1002"/>
        </w:numPr>
      </w:pPr>
      <w:r>
        <w:rPr>
          <w:b/>
          <w:bCs/>
        </w:rPr>
        <w:t xml:space="preserve">핵심 RQ.</w:t>
      </w:r>
      <w:r>
        <w:t xml:space="preserve"> </w:t>
      </w:r>
      <w:r>
        <w:t xml:space="preserve">하이브리드 본딩 기술은 특허 데이터 상에서 어떻게 진화하며, 그 진화는 거시(생태계·전략) 차원과 미시(기술범위·전략지향) 차원에서 어떤 정합적 패턴으로 나타나는가?</w:t>
      </w:r>
    </w:p>
    <w:p>
      <w:pPr>
        <w:pStyle w:val="Compact"/>
        <w:numPr>
          <w:ilvl w:val="0"/>
          <w:numId w:val="1002"/>
        </w:numPr>
      </w:pPr>
      <w:r>
        <w:rPr>
          <w:b/>
          <w:bCs/>
        </w:rPr>
        <w:t xml:space="preserve">RQ1 (거시·생태계).</w:t>
      </w:r>
      <w:r>
        <w:t xml:space="preserve"> </w:t>
      </w:r>
      <w:r>
        <w:t xml:space="preserve">출원 동학, 기술 집중도, 클러스터·네트워크, 인용지표(CII/PFS/SLI), 인용수명으로 본 생태계 구조와 기업·관할권 전략 분화는 어떠한가?</w:t>
      </w:r>
    </w:p>
    <w:p>
      <w:pPr>
        <w:pStyle w:val="Compact"/>
        <w:numPr>
          <w:ilvl w:val="0"/>
          <w:numId w:val="1002"/>
        </w:numPr>
      </w:pPr>
      <w:r>
        <w:rPr>
          <w:b/>
          <w:bCs/>
        </w:rPr>
        <w:t xml:space="preserve">RQ2 (미시·기술범위).</w:t>
      </w:r>
      <w:r>
        <w:t xml:space="preserve"> </w:t>
      </w:r>
      <w:r>
        <w:t xml:space="preserve">특허의 기술범위(breadth)는 출원연도·관할권에 따라 어떻게 결정(연관)되는가?</w:t>
      </w:r>
    </w:p>
    <w:p>
      <w:pPr>
        <w:pStyle w:val="Compact"/>
        <w:numPr>
          <w:ilvl w:val="0"/>
          <w:numId w:val="1002"/>
        </w:numPr>
      </w:pPr>
      <w:r>
        <w:rPr>
          <w:b/>
          <w:bCs/>
        </w:rPr>
        <w:t xml:space="preserve">RQ3 (미시·전략지향).</w:t>
      </w:r>
      <w:r>
        <w:t xml:space="preserve"> </w:t>
      </w:r>
      <w:r>
        <w:t xml:space="preserve">후공정(H01L24) 특허가 전공정(H01L21)으로 침투하는 정도와 그 결정요인(연관)은 무엇인가?</w:t>
      </w:r>
    </w:p>
    <w:p>
      <w:pPr>
        <w:pStyle w:val="Compact"/>
        <w:numPr>
          <w:ilvl w:val="0"/>
          <w:numId w:val="1002"/>
        </w:numPr>
      </w:pPr>
      <w:r>
        <w:rPr>
          <w:b/>
          <w:bCs/>
        </w:rPr>
        <w:t xml:space="preserve">RQ4 (통합·경계).</w:t>
      </w:r>
      <w:r>
        <w:t xml:space="preserve"> </w:t>
      </w:r>
      <w:r>
        <w:t xml:space="preserve">거시 명제와 미시 증거는 전/후공정 경계의 흐려짐이라는 하나의 현상으로 수렴하는가?</w:t>
      </w:r>
    </w:p>
    <w:p>
      <w:pPr>
        <w:pStyle w:val="FirstParagraph"/>
      </w:pPr>
      <w:r>
        <w:t xml:space="preserve">본 연구의 기여는 새로운 지표의 제안이 아니라,</w:t>
      </w:r>
      <w:r>
        <w:t xml:space="preserve"> </w:t>
      </w:r>
      <w:r>
        <w:rPr>
          <w:b/>
          <w:bCs/>
        </w:rPr>
        <w:t xml:space="preserve">기술의 범위(scope)와 전략적 위치(position)를 추정 가능한 대상으로 다루되 각 결과변수의 통계적 성격에 맞는 모형을 선택</w:t>
      </w:r>
      <w:r>
        <w:t xml:space="preserve">하고, 이를 거시적 생태계 서사와 결합하여 하나의 통합 해석으로 제시하는 데 있다.</w:t>
      </w:r>
    </w:p>
    <w:bookmarkEnd w:id="16"/>
    <w:bookmarkStart w:id="17" w:name="연구-범위방법-및-논문의-구성"/>
    <w:p>
      <w:pPr>
        <w:pStyle w:val="Heading2"/>
      </w:pPr>
      <w:r>
        <w:t xml:space="preserve">1.4 연구 범위·방법 및 논문의 구성</w:t>
      </w:r>
    </w:p>
    <w:p>
      <w:pPr>
        <w:pStyle w:val="FirstParagraph"/>
      </w:pPr>
      <w:r>
        <w:t xml:space="preserve">본 연구는 EPO PATSTAT 2025를 기반으로 CPC 분류 H01L(반도체 소자) 아래 하이브리드 본딩 관련 출원을 분석 대상으로 한다. 거시 분석은 출원–CPC 레코드 수준에서 P–S–P 전 범위(H01L21·23·25·27 등)를 조망하고, 미시 분석은 동일 모집단을 출원 단위로 응집한 928개 출원을 대상으로 전공정(H01L21)과 후공정·접합(H01L24)의 대비에 초점을 맞춘다. 방법론으로는 거시 차원에서 기술지표(RTA·PFS·SLI·CII)와 네트워크 분석을, 미시 차원에서 음이항회귀 및 이항·다항 로짓을 사용한다.</w:t>
      </w:r>
    </w:p>
    <w:p>
      <w:pPr>
        <w:pStyle w:val="BodyText"/>
      </w:pPr>
      <w:r>
        <w:t xml:space="preserve">논문은 총 7개 장으로 구성된다. 제2장에서 차세대 패키징·하이브리드 본딩, 범용기술(GPT), 기술융합, 특허 정량분석 방법론에 관한 이론적 배경과 선행연구를 검토한다. 제3장에서 통합 분석틀과 데이터·변수·방법을 제시하고, 제4장은 거시 분석(생태계 구조·전략), 제5장은 미시 분석(특허 수준 결정요인)을 다룬다. 제6장에서 두 층위를 통합하여 전/후공정 경계의 흐려짐을 논의하며, 제7장에서 연구 요약, 이론적·실무적 기여, 한계와 향후 과제를 제시한다.</w:t>
      </w:r>
    </w:p>
    <w:bookmarkEnd w:id="17"/>
    <w:bookmarkStart w:id="18" w:name="연구의-의의와-주요-용어"/>
    <w:p>
      <w:pPr>
        <w:pStyle w:val="Heading2"/>
      </w:pPr>
      <w:r>
        <w:t xml:space="preserve">1.5 연구의 의의와 주요 용어</w:t>
      </w:r>
    </w:p>
    <w:p>
      <w:pPr>
        <w:pStyle w:val="FirstParagraph"/>
      </w:pPr>
      <w:r>
        <w:t xml:space="preserve">본 연구의 의의는 세 가지다.</w:t>
      </w:r>
      <w:r>
        <w:t xml:space="preserve"> </w:t>
      </w:r>
      <w:r>
        <w:rPr>
          <w:b/>
          <w:bCs/>
        </w:rPr>
        <w:t xml:space="preserve">학술적으로</w:t>
      </w:r>
      <w:r>
        <w:t xml:space="preserve">, 신흥 핵심 공정인 하이브리드 본딩을 특허 계량의 대상으로 삼아 거시·미시를 결합한 다층 분석을 시도함으로써, 단편적 동향 분석에 머물던 기존 연구의 공백을 메운다.</w:t>
      </w:r>
      <w:r>
        <w:t xml:space="preserve"> </w:t>
      </w:r>
      <w:r>
        <w:rPr>
          <w:b/>
          <w:bCs/>
        </w:rPr>
        <w:t xml:space="preserve">방법론적으로</w:t>
      </w:r>
      <w:r>
        <w:t xml:space="preserve">, 결과변수의 통계적 성격에 모형을 맞추는 원칙(카운트→음이항, 범주→다항 로짓)과 서술적 기술 스캐닝을 한 데이터에서 결합하는 혼합방법을 제시한다.</w:t>
      </w:r>
      <w:r>
        <w:t xml:space="preserve"> </w:t>
      </w:r>
      <w:r>
        <w:rPr>
          <w:b/>
          <w:bCs/>
        </w:rPr>
        <w:t xml:space="preserve">실무·정책적으로</w:t>
      </w:r>
      <w:r>
        <w:t xml:space="preserve">, 관할권·기업 전략의 유형화와 한국 산업에의 시사점을 도출하여 의사결정의 근거를 제공한다.</w:t>
      </w:r>
    </w:p>
    <w:p>
      <w:pPr>
        <w:pStyle w:val="BodyText"/>
      </w:pPr>
      <w:r>
        <w:t xml:space="preserve">논의의 명료성을 위해 주요 용어를 정리한다.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정의</w:t>
            </w:r>
          </w:p>
        </w:tc>
      </w:tr>
      <w:tr>
        <w:tc>
          <w:tcPr/>
          <w:p>
            <w:pPr>
              <w:pStyle w:val="Compact"/>
            </w:pPr>
            <w:r>
              <w:t xml:space="preserve">하이브리드 본딩(Hybrid Bonding)</w:t>
            </w:r>
          </w:p>
        </w:tc>
        <w:tc>
          <w:tcPr/>
          <w:p>
            <w:pPr>
              <w:pStyle w:val="Compact"/>
            </w:pPr>
            <w:r>
              <w:t xml:space="preserve">솔더 범프 없이 구리(Cu) 전극과 절연막(oxide)을 상온에서 동시에 직접 접합하는 기술</w:t>
            </w:r>
          </w:p>
        </w:tc>
      </w:tr>
      <w:tr>
        <w:tc>
          <w:tcPr/>
          <w:p>
            <w:pPr>
              <w:pStyle w:val="Compact"/>
            </w:pPr>
            <w:r>
              <w:t xml:space="preserve">이종 집적(Heterogeneous Integration)</w:t>
            </w:r>
          </w:p>
        </w:tc>
        <w:tc>
          <w:tcPr/>
          <w:p>
            <w:pPr>
              <w:pStyle w:val="Compact"/>
            </w:pPr>
            <w:r>
              <w:t xml:space="preserve">서로 다른 공정·기능의 칩을 한 패키지에 통합해 단일 제품처럼 동작시키는 방식</w:t>
            </w:r>
          </w:p>
        </w:tc>
      </w:tr>
      <w:tr>
        <w:tc>
          <w:tcPr/>
          <w:p>
            <w:pPr>
              <w:pStyle w:val="Compact"/>
            </w:pPr>
            <w:r>
              <w:t xml:space="preserve">칩렛(Chiplet)</w:t>
            </w:r>
          </w:p>
        </w:tc>
        <w:tc>
          <w:tcPr/>
          <w:p>
            <w:pPr>
              <w:pStyle w:val="Compact"/>
            </w:pPr>
            <w:r>
              <w:t xml:space="preserve">큰 칩을 기능 단위로 분할한 소형 칩. 이종 집적의 핵심 아키텍처</w:t>
            </w:r>
          </w:p>
        </w:tc>
      </w:tr>
      <w:tr>
        <w:tc>
          <w:tcPr/>
          <w:p>
            <w:pPr>
              <w:pStyle w:val="Compact"/>
            </w:pPr>
            <w:r>
              <w:t xml:space="preserve">W2W / D2W</w:t>
            </w:r>
          </w:p>
        </w:tc>
        <w:tc>
          <w:tcPr/>
          <w:p>
            <w:pPr>
              <w:pStyle w:val="Compact"/>
            </w:pPr>
            <w:r>
              <w:t xml:space="preserve">웨이퍼-투-웨이퍼 / 다이-투-웨이퍼 접합 방식</w:t>
            </w:r>
          </w:p>
        </w:tc>
      </w:tr>
      <w:tr>
        <w:tc>
          <w:tcPr/>
          <w:p>
            <w:pPr>
              <w:pStyle w:val="Compact"/>
            </w:pPr>
            <w:r>
              <w:t xml:space="preserve">TSV(Through-Silicon Via)</w:t>
            </w:r>
          </w:p>
        </w:tc>
        <w:tc>
          <w:tcPr/>
          <w:p>
            <w:pPr>
              <w:pStyle w:val="Compact"/>
            </w:pPr>
            <w:r>
              <w:t xml:space="preserve">칩을 수직 관통해 전기적으로 직결하는 전극</w:t>
            </w:r>
          </w:p>
        </w:tc>
      </w:tr>
      <w:tr>
        <w:tc>
          <w:tcPr/>
          <w:p>
            <w:pPr>
              <w:pStyle w:val="Compact"/>
            </w:pPr>
            <w:r>
              <w:t xml:space="preserve">CPC</w:t>
            </w:r>
          </w:p>
        </w:tc>
        <w:tc>
          <w:tcPr/>
          <w:p>
            <w:pPr>
              <w:pStyle w:val="Compact"/>
            </w:pPr>
            <w:r>
              <w:t xml:space="preserve">협력적 특허분류 체계. 본 연구는 H01L(반도체 소자) 하위 코드를 분석</w:t>
            </w:r>
          </w:p>
        </w:tc>
      </w:tr>
      <w:tr>
        <w:tc>
          <w:tcPr/>
          <w:p>
            <w:pPr>
              <w:pStyle w:val="Compact"/>
            </w:pPr>
            <w:r>
              <w:t xml:space="preserve">전공정(H01L21) / 후공정·접합(H01L24)</w:t>
            </w:r>
          </w:p>
        </w:tc>
        <w:tc>
          <w:tcPr/>
          <w:p>
            <w:pPr>
              <w:pStyle w:val="Compact"/>
            </w:pPr>
            <w:r>
              <w:t xml:space="preserve">제조·처리 / 접합·인터커넥트 영역</w:t>
            </w:r>
          </w:p>
        </w:tc>
      </w:tr>
      <w:tr>
        <w:tc>
          <w:tcPr/>
          <w:p>
            <w:pPr>
              <w:pStyle w:val="Compact"/>
            </w:pPr>
            <w:r>
              <w:t xml:space="preserve">기술범위(breadth)</w:t>
            </w:r>
          </w:p>
        </w:tc>
        <w:tc>
          <w:tcPr/>
          <w:p>
            <w:pPr>
              <w:pStyle w:val="Compact"/>
            </w:pPr>
            <w:r>
              <w:t xml:space="preserve">한 출원이 포함하는 서로 다른 CPC 서브클래스의 수(기술 영역의 폭)</w:t>
            </w:r>
          </w:p>
        </w:tc>
      </w:tr>
      <w:tr>
        <w:tc>
          <w:tcPr/>
          <w:p>
            <w:pPr>
              <w:pStyle w:val="Compact"/>
            </w:pPr>
            <w:r>
              <w:t xml:space="preserve">전략지향(has_process / tech_cat)</w:t>
            </w:r>
          </w:p>
        </w:tc>
        <w:tc>
          <w:tcPr/>
          <w:p>
            <w:pPr>
              <w:pStyle w:val="Compact"/>
            </w:pPr>
            <w:r>
              <w:t xml:space="preserve">전공정 청구 여부 / 전략유형(assembly-only·integrated·process-only)</w:t>
            </w:r>
          </w:p>
        </w:tc>
      </w:tr>
      <w:tr>
        <w:tc>
          <w:tcPr/>
          <w:p>
            <w:pPr>
              <w:pStyle w:val="Compact"/>
            </w:pPr>
            <w:r>
              <w:t xml:space="preserve">CII·PFS·SLI·RTA</w:t>
            </w:r>
          </w:p>
        </w:tc>
        <w:tc>
          <w:tcPr/>
          <w:p>
            <w:pPr>
              <w:pStyle w:val="Compact"/>
            </w:pPr>
            <w:r>
              <w:t xml:space="preserve">인용영향력·시장확보·과학연계성·기술집중도 지수</w:t>
            </w:r>
          </w:p>
        </w:tc>
      </w:tr>
    </w:tbl>
    <w:p>
      <w:r>
        <w:pict>
          <v:rect style="width:0;height:1.5pt" o:hralign="center" o:hrstd="t" o:hr="t"/>
        </w:pict>
      </w:r>
    </w:p>
    <w:bookmarkEnd w:id="18"/>
    <w:bookmarkEnd w:id="19"/>
    <w:bookmarkStart w:id="34" w:name="제2장-이론적-배경-및-선행연구"/>
    <w:p>
      <w:pPr>
        <w:pStyle w:val="Heading1"/>
      </w:pPr>
      <w:r>
        <w:t xml:space="preserve">제2장 이론적 배경 및 선행연구</w:t>
      </w:r>
    </w:p>
    <w:bookmarkStart w:id="24" w:name="차세대-반도체-패키징과-하이브리드-본딩"/>
    <w:p>
      <w:pPr>
        <w:pStyle w:val="Heading2"/>
      </w:pPr>
      <w:r>
        <w:t xml:space="preserve">2.1 차세대 반도체 패키징과 하이브리드 본딩</w:t>
      </w:r>
    </w:p>
    <w:bookmarkStart w:id="20" w:name="패키징의-위상-변화와-전공정-미세화의-한계"/>
    <w:p>
      <w:pPr>
        <w:pStyle w:val="Heading3"/>
      </w:pPr>
      <w:r>
        <w:t xml:space="preserve">2.1.1 패키징의 위상 변화와 전공정 미세화의 한계</w:t>
      </w:r>
    </w:p>
    <w:p>
      <w:pPr>
        <w:pStyle w:val="FirstParagraph"/>
      </w:pPr>
      <w:r>
        <w:t xml:space="preserve">전통적으로 반도체 패키징은 전공정에서 제조된 칩(die)을 외부 충격·습기로부터 보호하고 메인 보드(PCB)와의 전기적 연결을 지원하는 후행 조립 공정으로 인식되었다. 그러나 최근 패키징은 칩의 성능·전력·비용·면적(PPAC)을 결정하는 핵심 요소로 부상하며, 무어의 법칙 둔화를 보완하고 시스템 레벨 성능을 극대화하는 부가가치 창출의 원천으로 재정의되고 있다(오유진, 2025). 7nm 이하 공정에서의 물리적 한계와 EUV 비용 급증으로 전공정 미세화의 비용 대비 효율이 둔화되면서, 여러 칩을 하나의 패키지 안에서 최단 거리로 연결해 시스템 전체의 대역폭과 전송 속도를 혁신하는 첨단 패키징이 그 대안으로 부상하였다(이종호·오철, 2022).</w:t>
      </w:r>
    </w:p>
    <w:bookmarkEnd w:id="20"/>
    <w:bookmarkStart w:id="21" w:name="적층-기술과-tsv-그리고-마이크로범프의-한계"/>
    <w:p>
      <w:pPr>
        <w:pStyle w:val="Heading3"/>
      </w:pPr>
      <w:r>
        <w:t xml:space="preserve">2.1.2 적층 기술과 TSV, 그리고 마이크로범프의 한계</w:t>
      </w:r>
    </w:p>
    <w:p>
      <w:pPr>
        <w:pStyle w:val="FirstParagraph"/>
      </w:pPr>
      <w:r>
        <w:t xml:space="preserve">첨단 패키징의 핵심은 칩을 평면(2D)이 아니라 수직(3D)으로 쌓는 적층 기술에 있으며, 이를 가능케 하는 인프라가 실리콘 관통 전극(TSV, Through-Silicon Via)이다. TSV는 칩 내부에 미세 구멍을 뚫고 전도성 물질을 채워 칩들을 전기적으로 직결함으로써 와이어 본딩 대비 신호 경로를 획기적으로 단축하며, HBM과 같은 3D 메모리 적층은 물론 로직과 메모리를 인터포저 위에서 연결하는 2.5D 패키징(CoWoS)의 핵심 요소로 자리잡았다(김기윤·이성주, 2024). 그러나 칩 간 연결 밀도(I/O density) 요구가 높아지면서, TSV와 칩을 잇는 마이크로범프의 피치 축소가 새로운 병목으로 대두되었다. 마이크로범프는 약 10–20µm 피치 이하에서 접합 시 쇼트 위험과 저항 증가 문제가 발생하기 때문이다.</w:t>
      </w:r>
    </w:p>
    <w:bookmarkEnd w:id="21"/>
    <w:bookmarkStart w:id="22" w:name="게임-체인저로서의-하이브리드-본딩"/>
    <w:p>
      <w:pPr>
        <w:pStyle w:val="Heading3"/>
      </w:pPr>
      <w:r>
        <w:t xml:space="preserve">2.1.3 게임 체인저로서의 하이브리드 본딩</w:t>
      </w:r>
    </w:p>
    <w:p>
      <w:pPr>
        <w:pStyle w:val="FirstParagraph"/>
      </w:pPr>
      <w:r>
        <w:t xml:space="preserve">범프 기반 기술의 한계를 극복하기 위해 등장한 혁신이 하이브리드 본딩이며, 선행 연구들은 이를 기존 패키징 공정의 판도를 뒤집는 파괴적 혁신(disruptive innovation)으로 규정한다(이승환, 2025; 김민규 외, 2025). 하이브리드 본딩은 솔더 매개체 없이 구리 전극과 절연막을 동시에 직접 맞붙여 범프 높이만큼의 공간을 제거함으로써 초박형 패키징을 가능하게 하고, 전기 저항과 발열을 최소화하여 전력 효율을 극대화한다. 특히 상온(약 20–25℃) 접합이 가능하여 고온 솔더링(약 200–300℃)에서 발생하던 웨이퍼 휘어짐(warpage)과 정렬 틀어짐(misalignment)을 차단하는데, 이는 칩 적층의 필수 조건이다. 기술 발전 단계는 동일 크기 웨이퍼를 적층하는 W2W(이미지센서·3D NAND)에서, 서로 다른 크기·기능의 칩을 연결하는 D2W(HBM4·고성능 로직)로 중심축이 이동하고 있으며, 그 성공을 위해 플라즈마 다이싱, 초정밀 CMP, 하이브리드 본더 등 전용 장비·소재의 동반 성장이 요구된다(금연욱·김의석, 2023). 공정상으로 전공정(H01L21)과 접합·인터커넥트(H01L24)가 함께 구현된다는 점에서, 하이브리드 본딩은 전·후공정의 기술적 경계에 위치한다.</w:t>
      </w:r>
    </w:p>
    <w:bookmarkEnd w:id="22"/>
    <w:bookmarkStart w:id="23" w:name="적용-제품과-산업적-파급"/>
    <w:p>
      <w:pPr>
        <w:pStyle w:val="Heading3"/>
      </w:pPr>
      <w:r>
        <w:t xml:space="preserve">2.1.4 적용 제품과 산업적 파급</w:t>
      </w:r>
    </w:p>
    <w:p>
      <w:pPr>
        <w:pStyle w:val="FirstParagraph"/>
      </w:pPr>
      <w:r>
        <w:t xml:space="preserve">하이브리드 본딩의 적용은 단일 공정 혁신을 넘어 산업 전반으로 확산되고 있다.</w:t>
      </w:r>
      <w:r>
        <w:t xml:space="preserve"> </w:t>
      </w:r>
      <w:r>
        <w:rPr>
          <w:b/>
          <w:bCs/>
        </w:rPr>
        <w:t xml:space="preserve">AI 가속기</w:t>
      </w:r>
      <w:r>
        <w:t xml:space="preserve"> </w:t>
      </w:r>
      <w:r>
        <w:t xml:space="preserve">영역에서는 레티클 한계(약 858㎟)에 봉착한 단일 칩 생산의 대안으로 칩렛 전략이 채택되면서, 구리 전극을 직접 접합해 연결 길이를 수직으로 단축하는 하이브리드 본딩이 핵심 기술로 부상하였다. AMD의 3D V-Cache는 CPU 로직 다이 위에 캐시 메모리를 하이브리드 본딩으로 적층하여 성능을 향상시킨 대표 사례다.</w:t>
      </w:r>
      <w:r>
        <w:t xml:space="preserve"> </w:t>
      </w:r>
      <w:r>
        <w:rPr>
          <w:b/>
          <w:bCs/>
        </w:rPr>
        <w:t xml:space="preserve">메모리</w:t>
      </w:r>
      <w:r>
        <w:t xml:space="preserve"> </w:t>
      </w:r>
      <w:r>
        <w:t xml:space="preserve">영역에서는 적층 단수가 16단 이상으로 고도화되는 차세대 HBM4부터 JEDEC 두께 제한(720µm) 내에서 범프를 없애야 하는 과제가 대두되어, 칩 간 간격을 0으로 만들고 열 방출 경로를 확보하는 하이브리드 본딩이 유력한 해법으로 제시된다.</w:t>
      </w:r>
      <w:r>
        <w:t xml:space="preserve"> </w:t>
      </w:r>
      <w:r>
        <w:rPr>
          <w:b/>
          <w:bCs/>
        </w:rPr>
        <w:t xml:space="preserve">파운드리</w:t>
      </w:r>
      <w:r>
        <w:t xml:space="preserve"> </w:t>
      </w:r>
      <w:r>
        <w:t xml:space="preserve">영역에서는 TSMC가 CoWoS·SoIC 같은 독자 패키징 플랫폼으로 시장 지배력을 강화하며, 고객사가 설계 단계부터 공정 규격에 맞추게 함으로써 기술적 종속(lock-in)을 형성한다(지일용, 2025). 나아가 SiC·GaN 전력반도체(고방열)와 MicroLED 대량 전사 등</w:t>
      </w:r>
      <w:r>
        <w:t xml:space="preserve"> </w:t>
      </w:r>
      <w:r>
        <w:rPr>
          <w:b/>
          <w:bCs/>
        </w:rPr>
        <w:t xml:space="preserve">파생 시장</w:t>
      </w:r>
      <w:r>
        <w:t xml:space="preserve">으로도 확장되어, 하이브리드 본딩이 반도체를 넘어 디스플레이·전력 산업까지 혁신하는 범용기술적 잠재력을 보인다(우징원·남은영, 2023).</w:t>
      </w:r>
    </w:p>
    <w:p>
      <w:pPr>
        <w:pStyle w:val="BodyText"/>
      </w:pPr>
      <w:r>
        <w:t xml:space="preserve">산업·학계의 기술 리뷰는 하이브리드 본딩의 메커니즘과 난제를 보다 구체적으로 정리한다. 본 기술은 다이 표면에서</w:t>
      </w:r>
      <w:r>
        <w:t xml:space="preserve"> </w:t>
      </w:r>
      <w:r>
        <w:rPr>
          <w:b/>
          <w:bCs/>
        </w:rPr>
        <w:t xml:space="preserve">유전체–유전체(dielectric-to-dielectric) 접합과 구리–구리(Cu-Cu) 접합을 동시에</w:t>
      </w:r>
      <w:r>
        <w:t xml:space="preserve"> </w:t>
      </w:r>
      <w:r>
        <w:t xml:space="preserve">형성하며, 마이크로범프를 대체함으로써 제곱밀리미터당 약 10만 개 이상의 다이 간 인터커넥트 밀도를 구현하고 인터커넥트 길이를 단축해 온칩 인터커넥트에 준하는 성능을 달성한다(</w:t>
      </w:r>
      <w:r>
        <w:rPr>
          <w:i/>
          <w:iCs/>
        </w:rPr>
        <w:t xml:space="preserve">Journal of Microelectronics and Electronic Packaging</w:t>
      </w:r>
      <w:r>
        <w:t xml:space="preserve">, 2021). 동시에 리뷰들은 수율 확보의 난제로 나노미터급 표면 평탄화(CMP), 파티클·보이드 제어, 정밀 정렬(alignment), 상온 접합 후 어닐링 조건 등을 지적하며, D2W 단계에서는 다이 절단·이송 과정의 손상 최소화가 관건임을 강조한다(</w:t>
      </w:r>
      <w:r>
        <w:rPr>
          <w:i/>
          <w:iCs/>
        </w:rPr>
        <w:t xml:space="preserve">ASME Journal of Electronic Packaging</w:t>
      </w:r>
      <w:r>
        <w:t xml:space="preserve">, 2026). 이러한 난제들은 모두 전공정(H01L21)의 정밀 제어 역량을 요구한다는 점에서, 후공정 본딩이 전공정 기술과 융합되는 본 연구의 핵심 주제를 기술적으로 뒷받침한다.</w:t>
      </w:r>
    </w:p>
    <w:p>
      <w:pPr>
        <w:pStyle w:val="BodyText"/>
      </w:pPr>
      <w:r>
        <w:t xml:space="preserve">이러한 특성은 혁신 이론의 관점에서</w:t>
      </w:r>
      <w:r>
        <w:t xml:space="preserve"> </w:t>
      </w:r>
      <w:r>
        <w:rPr>
          <w:b/>
          <w:bCs/>
        </w:rPr>
        <w:t xml:space="preserve">파괴적 혁신(disruptive innovation)</w:t>
      </w:r>
      <w:r>
        <w:t xml:space="preserve"> </w:t>
      </w:r>
      <w:r>
        <w:t xml:space="preserve">이자</w:t>
      </w:r>
      <w:r>
        <w:t xml:space="preserve"> </w:t>
      </w:r>
      <w:r>
        <w:rPr>
          <w:b/>
          <w:bCs/>
        </w:rPr>
        <w:t xml:space="preserve">아키텍처 혁신(architectural innovation)</w:t>
      </w:r>
      <w:r>
        <w:t xml:space="preserve"> </w:t>
      </w:r>
      <w:r>
        <w:t xml:space="preserve">으로 해석된다. 하이브리드 본딩은 개별 소자의 성능을 점진적으로 개선하는 존속적 혁신이 아니라, 칩을 ’어떻게 연결하고 쌓는가’라는 시스템 아키텍처 자체를 재편함으로써 기존 마이크로범프 기반 패키징의 가치사슬을 대체한다(Tidd &amp; Bessant, 2020). 선행 연구들이 본 기술을 파괴적 혁신으로 규정한 것(이승환, 2025; 김민규 외, 2025)도 이러한 맥락에서다. 본 연구는 이 혁신이 특허 데이터 상에서 기술범위 확대와 전·후공정 융합이라는 측정 가능한 패턴으로 발현됨을 제5·6장에서 실증한다.</w:t>
      </w:r>
    </w:p>
    <w:p>
      <w:pPr>
        <w:pStyle w:val="BodyText"/>
      </w:pPr>
      <w:r>
        <w:t xml:space="preserve">적용 제품군을 P–S–P 관점에서 정리하면 [표 2-1]과 같다.</w:t>
      </w:r>
    </w:p>
    <w:p>
      <w:pPr>
        <w:pStyle w:val="BodyText"/>
      </w:pPr>
      <w:r>
        <w:rPr>
          <w:b/>
          <w:bCs/>
        </w:rPr>
        <w:t xml:space="preserve">[표 2-1] 하이브리드 본딩의 적용 제품·산업 (P–S–P 관점)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적용 영역</w:t>
            </w:r>
          </w:p>
        </w:tc>
        <w:tc>
          <w:tcPr/>
          <w:p>
            <w:pPr>
              <w:pStyle w:val="Compact"/>
            </w:pPr>
            <w:r>
              <w:t xml:space="preserve">하이브리드 본딩의 역할</w:t>
            </w:r>
          </w:p>
        </w:tc>
        <w:tc>
          <w:tcPr/>
          <w:p>
            <w:pPr>
              <w:pStyle w:val="Compact"/>
            </w:pPr>
            <w:r>
              <w:t xml:space="preserve">대표 사례</w:t>
            </w:r>
          </w:p>
        </w:tc>
      </w:tr>
      <w:tr>
        <w:tc>
          <w:tcPr/>
          <w:p>
            <w:pPr>
              <w:pStyle w:val="Compact"/>
            </w:pPr>
            <w:r>
              <w:t xml:space="preserve">제품(로직)</w:t>
            </w:r>
          </w:p>
        </w:tc>
        <w:tc>
          <w:tcPr/>
          <w:p>
            <w:pPr>
              <w:pStyle w:val="Compact"/>
            </w:pPr>
            <w:r>
              <w:t xml:space="preserve">AI 가속기·CPU</w:t>
            </w:r>
          </w:p>
        </w:tc>
        <w:tc>
          <w:tcPr/>
          <w:p>
            <w:pPr>
              <w:pStyle w:val="Compact"/>
            </w:pPr>
            <w:r>
              <w:t xml:space="preserve">레티클 한계 극복(칩렛), 캐시 수직 적층</w:t>
            </w:r>
          </w:p>
        </w:tc>
        <w:tc>
          <w:tcPr/>
          <w:p>
            <w:pPr>
              <w:pStyle w:val="Compact"/>
            </w:pPr>
            <w:r>
              <w:t xml:space="preserve">AMD 3D V-Cache</w:t>
            </w:r>
          </w:p>
        </w:tc>
      </w:tr>
      <w:tr>
        <w:tc>
          <w:tcPr/>
          <w:p>
            <w:pPr>
              <w:pStyle w:val="Compact"/>
            </w:pPr>
            <w:r>
              <w:t xml:space="preserve">제품(메모리)</w:t>
            </w:r>
          </w:p>
        </w:tc>
        <w:tc>
          <w:tcPr/>
          <w:p>
            <w:pPr>
              <w:pStyle w:val="Compact"/>
            </w:pPr>
            <w:r>
              <w:t xml:space="preserve">HBM4+</w:t>
            </w:r>
          </w:p>
        </w:tc>
        <w:tc>
          <w:tcPr/>
          <w:p>
            <w:pPr>
              <w:pStyle w:val="Compact"/>
            </w:pPr>
            <w:r>
              <w:t xml:space="preserve">범프 제거로 두께·발열 해결, 적층 고도화</w:t>
            </w:r>
          </w:p>
        </w:tc>
        <w:tc>
          <w:tcPr/>
          <w:p>
            <w:pPr>
              <w:pStyle w:val="Compact"/>
            </w:pPr>
            <w:r>
              <w:t xml:space="preserve">차세대 HBM</w:t>
            </w:r>
          </w:p>
        </w:tc>
      </w:tr>
      <w:tr>
        <w:tc>
          <w:tcPr/>
          <w:p>
            <w:pPr>
              <w:pStyle w:val="Compact"/>
            </w:pPr>
            <w:r>
              <w:t xml:space="preserve">구조</w:t>
            </w:r>
          </w:p>
        </w:tc>
        <w:tc>
          <w:tcPr/>
          <w:p>
            <w:pPr>
              <w:pStyle w:val="Compact"/>
            </w:pPr>
            <w:r>
              <w:t xml:space="preserve">칩렛·BSPDN·CPO</w:t>
            </w:r>
          </w:p>
        </w:tc>
        <w:tc>
          <w:tcPr/>
          <w:p>
            <w:pPr>
              <w:pStyle w:val="Compact"/>
            </w:pPr>
            <w:r>
              <w:t xml:space="preserve">이종 집적 아키텍처 구현, 전·광 결합</w:t>
            </w:r>
          </w:p>
        </w:tc>
        <w:tc>
          <w:tcPr/>
          <w:p>
            <w:pPr>
              <w:pStyle w:val="Compact"/>
            </w:pPr>
            <w:r>
              <w:t xml:space="preserve">TSMC SoIC</w:t>
            </w:r>
          </w:p>
        </w:tc>
      </w:tr>
      <w:tr>
        <w:tc>
          <w:tcPr/>
          <w:p>
            <w:pPr>
              <w:pStyle w:val="Compact"/>
            </w:pPr>
            <w:r>
              <w:t xml:space="preserve">파생</w:t>
            </w:r>
          </w:p>
        </w:tc>
        <w:tc>
          <w:tcPr/>
          <w:p>
            <w:pPr>
              <w:pStyle w:val="Compact"/>
            </w:pPr>
            <w:r>
              <w:t xml:space="preserve">전력반도체(SiC/GaN)·MicroLED</w:t>
            </w:r>
          </w:p>
        </w:tc>
        <w:tc>
          <w:tcPr/>
          <w:p>
            <w:pPr>
              <w:pStyle w:val="Compact"/>
            </w:pPr>
            <w:r>
              <w:t xml:space="preserve">고방열 접합, 대량 전사</w:t>
            </w:r>
          </w:p>
        </w:tc>
        <w:tc>
          <w:tcPr/>
          <w:p>
            <w:pPr>
              <w:pStyle w:val="Compact"/>
            </w:pPr>
            <w:r>
              <w:t xml:space="preserve">전력 모듈·디스플레이</w:t>
            </w:r>
          </w:p>
        </w:tc>
      </w:tr>
    </w:tbl>
    <w:bookmarkEnd w:id="23"/>
    <w:bookmarkEnd w:id="24"/>
    <w:bookmarkStart w:id="25" w:name="범용기술gpt과-기술-진화"/>
    <w:p>
      <w:pPr>
        <w:pStyle w:val="Heading2"/>
      </w:pPr>
      <w:r>
        <w:t xml:space="preserve">2.2 범용기술(GPT)과 기술 진화</w:t>
      </w:r>
    </w:p>
    <w:p>
      <w:pPr>
        <w:pStyle w:val="FirstParagraph"/>
      </w:pPr>
      <w:r>
        <w:t xml:space="preserve">범용기술(General Purpose Technology, GPT)은 다수 산업에 광범위하게 적용되고(pervasiveness), 지속적으로 개선되며(improvement), 보완적 혁신을 촉발하는(innovation spawning) 기술을 가리킨다. Hall과 Trajtenberg(2004)는 미국 특허·인용 데이터로부터 일반성(generality), 피인용 수, 특허 클래스 성장 등의 지표를 구성하여 GPT를 특허 데이터에서 식별할 수 있음을 보였으며, 이로써 특정 기술의 범용성과 파급력을 정량적으로 진단하는 후속 연구의 토대를 마련하였다. 하이브리드 본딩은 로직·메모리·이미지센서·전력반도체·디스플레이로 응용이 확산되고 있다는 점에서 GPT의 후보로 볼 수 있으며, 본 연구는 기술범위(breadth)의 확대와 응용 분야 다변화를 GPT적 특성의 특허 수준 발현으로 해석한다. 다만 본 연구는 generality 지수를 직접 산출하지 않으므로 GPT 판정은</w:t>
      </w:r>
      <w:r>
        <w:t xml:space="preserve"> </w:t>
      </w:r>
      <w:r>
        <w:t xml:space="preserve">‘정합성’</w:t>
      </w:r>
      <w:r>
        <w:t xml:space="preserve"> </w:t>
      </w:r>
      <w:r>
        <w:t xml:space="preserve">수준에서 신중히 다룬다(제6.2절).</w:t>
      </w:r>
    </w:p>
    <w:p>
      <w:pPr>
        <w:pStyle w:val="BodyText"/>
      </w:pPr>
      <w:r>
        <w:t xml:space="preserve">GPT를 규정하는 세 가지 속성—광범한 적용성(pervasiveness), 지속적 개선 가능성(scope for improvement), 보완적 혁신의 촉발(innovation spawning)—은 하이브리드 본딩의 사례와 개념적으로 잘 대응한다. 첫째, 광범한 적용성은 본 기술이 메모리(HBM), 로직(AI 가속기·CPU), 이미지센서, 전력반도체(SiC·GaN), 디스플레이(MicroLED)에 걸쳐 채택되고 있다는 점에서 관찰된다. 둘째, 지속적 개선 가능성은 W2W에서 D2W로의 공정 진화, 접합 온도·정렬 정밀도·표면 처리의 점진적 고도화에서 드러난다. 셋째, 보완적 혁신의 촉발은 TSV·CMP·다이싱 등 동행공정과 하이브리드 본더·검사 장비 등 전용 장비·소재 생태계의 동반 성장을 요구한다는 점에서 확인된다. 다만 Hall과 Trajtenberg(2004)가 제시한 엄밀한 식별은 generality 지수(피인용 특허가 분포하는 기술 클래스의 다양성)의 직접 산출을 전제하므로, 본 연구는 이를 ’징후의 정합성’으로 한정하고 정량 판정은 후속 과제로 남긴다. 이러한 신중함은 신흥 기술을 성급히 GPT로 규정할 때 발생하는 과잉 일반화의 위험을 피하기 위한 것이다.</w:t>
      </w:r>
    </w:p>
    <w:bookmarkEnd w:id="25"/>
    <w:bookmarkStart w:id="26" w:name="기술융합과-산업경계의-흐려짐"/>
    <w:p>
      <w:pPr>
        <w:pStyle w:val="Heading2"/>
      </w:pPr>
      <w:r>
        <w:t xml:space="preserve">2.3 기술융합과 산업경계의 흐려짐</w:t>
      </w:r>
    </w:p>
    <w:p>
      <w:pPr>
        <w:pStyle w:val="FirstParagraph"/>
      </w:pPr>
      <w:r>
        <w:t xml:space="preserve">기술융합(technological convergence)은 서로 구분되던 기술·산업 영역의 경계가 점진적으로 흐려지며 재결합을 통해 새로운 영역을 형성하는 과정으로 정의된다(Curran &amp; Leker, 2011). 특허 데이터는 이러한 융합을 측정하는 유력한 수단으로, 특허 공동분류(co-classification)와 동시출현(co-occurrence) 네트워크, 중심성·중개성(brokerage) 분석, 링크 예측 등을 통해 산업 간 기술 관계와 융합의 진전을 포착한다(Kwon et al., 2020). 기업 차원에서도 기술 융복합 활동과 시장 다변화는 특허의 피인용 영향력과 체계적으로 연관되는 것으로 보고된다(김영준, 2023). 본 연구의 핵심 주제인</w:t>
      </w:r>
      <w:r>
        <w:t xml:space="preserve"> </w:t>
      </w:r>
      <w:r>
        <w:t xml:space="preserve">“전/후공정 경계의 흐려짐”</w:t>
      </w:r>
      <w:r>
        <w:t xml:space="preserve">은 이러한 융합 개념의 구체적 사례로, 후공정 기술인 하이브리드 본딩이 전공정 영역(H01L21)으로 청구범위를 확장하는 현상은 전·후공정이라는 전통적 산업 분업 구조의 융합을 의미한다.</w:t>
      </w:r>
    </w:p>
    <w:p>
      <w:pPr>
        <w:pStyle w:val="BodyText"/>
      </w:pPr>
      <w:r>
        <w:t xml:space="preserve">융합은 그 층위에 따라 구분된다. 학문 간 융합(예: 과학–기술 연계, SLI로 포착), 기술 간 융합(서로 다른 기술 분야의 결합, CPC 공동분류로 포착), 산업 간 융합(가치사슬·산업 경계의 재편)이 그것이다(Curran &amp; Leker, 2011; Kwon et al., 2020). 본 연구가 다루는 전/후공정 경계의 흐려짐은 일차적으로</w:t>
      </w:r>
      <w:r>
        <w:t xml:space="preserve"> </w:t>
      </w:r>
      <w:r>
        <w:rPr>
          <w:b/>
          <w:bCs/>
        </w:rPr>
        <w:t xml:space="preserve">기술 간 융합</w:t>
      </w:r>
      <w:r>
        <w:t xml:space="preserve">(H01L21 제조공정과 H01L24 접합공정의 결합)이면서, 동시에 파운드리(전공정)와 OSAT(후공정)의 분업 구조를 재편한다는 점에서</w:t>
      </w:r>
      <w:r>
        <w:t xml:space="preserve"> </w:t>
      </w:r>
      <w:r>
        <w:rPr>
          <w:b/>
          <w:bCs/>
        </w:rPr>
        <w:t xml:space="preserve">산업 간 융합</w:t>
      </w:r>
      <w:r>
        <w:t xml:space="preserve">의 성격을 띤다. 산업계에서 이 현상은 파운드리가 고부가가치 패키징 공정을 내재화하고 전통적 OSAT가 저부가가치 영역으로 밀려나는 양극화로 구체화되며(지일용, 2025), 이는 융합이 단순히 새로운 가치를 창출할 뿐 아니라 기존 산업 구조에 파괴적 재편을 수반한다는 융합 이론의 명제와 부합한다.</w:t>
      </w:r>
    </w:p>
    <w:bookmarkEnd w:id="26"/>
    <w:bookmarkStart w:id="31" w:name="특허-기반-정량분석-방법론"/>
    <w:p>
      <w:pPr>
        <w:pStyle w:val="Heading2"/>
      </w:pPr>
      <w:r>
        <w:t xml:space="preserve">2.4 특허 기반 정량분석 방법론</w:t>
      </w:r>
    </w:p>
    <w:bookmarkStart w:id="27" w:name="특허-인용-기반-질적-지표"/>
    <w:p>
      <w:pPr>
        <w:pStyle w:val="Heading3"/>
      </w:pPr>
      <w:r>
        <w:t xml:space="preserve">2.4.1 특허 인용 기반 질적 지표</w:t>
      </w:r>
    </w:p>
    <w:p>
      <w:pPr>
        <w:pStyle w:val="FirstParagraph"/>
      </w:pPr>
      <w:r>
        <w:t xml:space="preserve">Narin과 동료들(Narin, Noma, &amp; Perry, 1987)을 비롯한 CHI Research 계열의 연구는 특허 인용을 기업 기술력의 지표로 활용하는 체계를 정립하였다. 대표적으로 현재영향력지수(Current Impact Index, CII)는 기대 대비 피인용 빈도를, 과학연계성(Science Linkage, SLI)은 특허가 과학 논문(비특허문헌, NPL)을 인용하는 정도를, 기술수명주기(Technology Cycle Time, TCT)는 인용된 특허의 중위 연령을 측정한다. 여기에 시장확보지수(Patent Family Size, PFS)를 더하면 특허가 겨냥하는 시장의 범위와 경제적 가치를 평가할 수 있다. 이들 지표는 단순 출원 수를 넘어 기술의</w:t>
      </w:r>
      <w:r>
        <w:t xml:space="preserve"> </w:t>
      </w:r>
      <w:r>
        <w:rPr>
          <w:b/>
          <w:bCs/>
        </w:rPr>
        <w:t xml:space="preserve">질적 속성과 파급력</w:t>
      </w:r>
      <w:r>
        <w:t xml:space="preserve">을 진단하는 데 활용된다.</w:t>
      </w:r>
    </w:p>
    <w:bookmarkEnd w:id="27"/>
    <w:bookmarkStart w:id="28" w:name="카운트-데이터-계량"/>
    <w:p>
      <w:pPr>
        <w:pStyle w:val="Heading3"/>
      </w:pPr>
      <w:r>
        <w:t xml:space="preserve">2.4.2 카운트 데이터 계량</w:t>
      </w:r>
    </w:p>
    <w:p>
      <w:pPr>
        <w:pStyle w:val="FirstParagraph"/>
      </w:pPr>
      <w:r>
        <w:t xml:space="preserve">특허·인용처럼 음이 아닌 정수로 표현되는 결과변수는 선형회귀(OLS)가 부적합하며, Poisson 및 음이항(negative binomial) 모형이 표준으로 사용된다. Hausman, Hall과 Griliches(1984)는 특허–R&amp;D 관계 분석에서 카운트 데이터 계량의 기초를 확립하였고, Cameron과 Trivedi(2013)는 과산포(overdispersion)가 존재할 때 음이항이 Poisson보다 적합함을 체계적으로 정리하였다. 본 연구의 기술범위(breadth)는 전형적 카운트 변수로서 이 계열의 모형이 적용된다.</w:t>
      </w:r>
    </w:p>
    <w:bookmarkEnd w:id="28"/>
    <w:bookmarkStart w:id="29" w:name="기술범위다양성-측정과-네트워크-접근"/>
    <w:p>
      <w:pPr>
        <w:pStyle w:val="Heading3"/>
      </w:pPr>
      <w:r>
        <w:t xml:space="preserve">2.4.3 기술범위·다양성 측정과 네트워크 접근</w:t>
      </w:r>
    </w:p>
    <w:p>
      <w:pPr>
        <w:pStyle w:val="FirstParagraph"/>
      </w:pPr>
      <w:r>
        <w:t xml:space="preserve">한 특허가 포괄하는 기술 영역의 다양성은 IPC/CPC 분류의 분산으로 측정되며, 정규화된 섀넌 다양성 지수나 서로 다른 서브클래스의 개수 등이 사용된다. 본 연구는 후자, 즉 출원이 포함하는 서로 다른 CPC 서브클래스의 수를 기술범위로 조작화한다. 한편 인용 정보에 의존하지 않고 특허 텍스트의 주제어로 특허 간 관계를 구축하는 네트워크 접근도 제안되어 왔으며(Yoon &amp; Park, 2004), 본 연구의 거시 분석에서 CPC 동시분류 네트워크가 이러한 계보에 위치한다.</w:t>
      </w:r>
    </w:p>
    <w:bookmarkEnd w:id="29"/>
    <w:bookmarkStart w:id="30" w:name="국내-특허계량-연구-동향"/>
    <w:p>
      <w:pPr>
        <w:pStyle w:val="Heading3"/>
      </w:pPr>
      <w:r>
        <w:t xml:space="preserve">2.4.4 국내 특허계량 연구 동향</w:t>
      </w:r>
    </w:p>
    <w:p>
      <w:pPr>
        <w:pStyle w:val="FirstParagraph"/>
      </w:pPr>
      <w:r>
        <w:t xml:space="preserve">국내에서도 특허 데이터를 활용한 기술 분석이 활발히 축적되어 왔다. 방법론 측면에서 특허 빅데이터의 정량 분석 체계가 정리되었고(이제환, 2019), 텍스트마이닝(BERTopic 등)을 결합한 기술·연구 동향 분석이 시도되었다(김현경, 2022; 오유진, 2025). 산업·정책 측면에서는 미·중 경쟁과 공급망 분리의 맥락에서 한국 반도체 산업의 위치를 특허로 진단한 연구(오철, 2024; 민성기, 2023), 중국 파운드리(SMIC)·3세대 반도체의 추격을 분석한 연구(이찬우, 2020; 우징원·남은영, 2023), 한국·대만 파운드리의 공정기술 경쟁력을 비교한 연구(지일용, 2025) 등이 있다. 기술 속성 측면에서는 기술 융복합·시장 다변화가 피인용에 미치는 영향(김영준, 2023), 반도체 장비기업의 혁신 속성(금연욱·김의석, 2023), 한국 반도체 기술 네트워크(김기윤·이성주, 2024)가 다루어졌다. 이들 연구는 대체로 국가·기업 단위의 거시 진단이나 특정 방법(텍스트마이닝·네트워크)에 집중되어 있어,</w:t>
      </w:r>
      <w:r>
        <w:t xml:space="preserve"> </w:t>
      </w:r>
      <w:r>
        <w:rPr>
          <w:b/>
          <w:bCs/>
        </w:rPr>
        <w:t xml:space="preserve">단위공정(하이브리드 본딩)에서 출발해 거시·미시를 결합</w:t>
      </w:r>
      <w:r>
        <w:t xml:space="preserve">하는 본 연구와 구별된다.</w:t>
      </w:r>
    </w:p>
    <w:p>
      <w:pPr>
        <w:pStyle w:val="BodyText"/>
      </w:pPr>
      <w:r>
        <w:t xml:space="preserve">특히 후발자의 추격(catch-up) 가능성을 다룬 연구들은 본 연구와 직접 맞닿는다. 이종호·오철(2022)은 미국 특허의 기술수명주기(TCT) 분석으로 AI 반도체에서 후발자의 추격 여건을 진단하였고, 이찬우(2020)는 중국 파운드리(SMIC)의 특허 성과로 추격 동학을 분석하였다. 이러한 추격 이론의 관점은 본 연구에서 중국 출원청 특허의 좁은 범위·높은 process-only 경향(특정 공정 집중)과 YMTC의 빠른 인용 피크·높은 과학연계성(자립 신호)으로 구체화되어, 추격이 단순 모방이 아니라 선택적 공정 내재화와 기초연구 투자를 통해 이루어짐을 시사한다.</w:t>
      </w:r>
    </w:p>
    <w:bookmarkEnd w:id="30"/>
    <w:bookmarkEnd w:id="31"/>
    <w:bookmarkStart w:id="32" w:name="선행연구의-한계와-본-연구의-차별성"/>
    <w:p>
      <w:pPr>
        <w:pStyle w:val="Heading2"/>
      </w:pPr>
      <w:r>
        <w:t xml:space="preserve">2.5 선행연구의 한계와 본 연구의 차별성</w:t>
      </w:r>
    </w:p>
    <w:p>
      <w:pPr>
        <w:pStyle w:val="FirstParagraph"/>
      </w:pPr>
      <w:r>
        <w:t xml:space="preserve">선행연구는 (i) 국가·거시 단위의 Top-down 현황 파악에 치우쳐 단위공정에서 출발하는 Bottom-up 메커니즘 규명이 부족했고, (ii) 기술 스캐닝(서술·네트워크)과 가설 검정(계량)을 분리하여 다층적 정합성을 검증하지 못했으며, (iii) 하이브리드 본딩이라는 신흥 핵심 공정을 특허 계량의 대상으로 본 연구가 드물었다. 본 연구는 이에 대응하여 (a) P–S–P 프레임에 기반한 Bottom-up 분석, (b) 거시–미시 다층 통합과 혼합방법(mixed methods), (c) 하이브리드 본딩을 GPT 후보로 보는 실증적 규명을 결합한다는 점에서 차별화된다.</w:t>
      </w:r>
    </w:p>
    <w:bookmarkEnd w:id="32"/>
    <w:bookmarkStart w:id="33" w:name="분석틀의-종합과-연구-명제"/>
    <w:p>
      <w:pPr>
        <w:pStyle w:val="Heading2"/>
      </w:pPr>
      <w:r>
        <w:t xml:space="preserve">2.6 분석틀의 종합과 연구 명제</w:t>
      </w:r>
    </w:p>
    <w:p>
      <w:pPr>
        <w:pStyle w:val="FirstParagraph"/>
      </w:pPr>
      <w:r>
        <w:t xml:space="preserve">이상의 논의를 종합하면, 본 연구의 이론적 토대는 세 축으로 구성된다. 첫째,</w:t>
      </w:r>
      <w:r>
        <w:t xml:space="preserve"> </w:t>
      </w:r>
      <w:r>
        <w:rPr>
          <w:b/>
          <w:bCs/>
        </w:rPr>
        <w:t xml:space="preserve">P–S–P 프레임</w:t>
      </w:r>
      <w:r>
        <w:t xml:space="preserve">은 단위공정의 진화가 구조와 제품으로 확장되는 가치사슬을 분해하는 분석 렌즈를 제공한다. 둘째,</w:t>
      </w:r>
      <w:r>
        <w:t xml:space="preserve"> </w:t>
      </w:r>
      <w:r>
        <w:rPr>
          <w:b/>
          <w:bCs/>
        </w:rPr>
        <w:t xml:space="preserve">기술융합 이론</w:t>
      </w:r>
      <w:r>
        <w:t xml:space="preserve">은 전/후공정 경계의 흐려짐을 해석하는 개념틀을, 셋째,</w:t>
      </w:r>
      <w:r>
        <w:t xml:space="preserve"> </w:t>
      </w:r>
      <w:r>
        <w:rPr>
          <w:b/>
          <w:bCs/>
        </w:rPr>
        <w:t xml:space="preserve">특허 정량분석 방법론</w:t>
      </w:r>
      <w:r>
        <w:t xml:space="preserve">(인용지표·카운트 계량·네트워크)은 이를 측정하는 도구를 제공한다. 이 세 축은 거시(생태계 스캐닝)와 미시(가설 검정)의 두 분석 층위로 구현된다.</w:t>
      </w:r>
    </w:p>
    <w:p>
      <w:pPr>
        <w:pStyle w:val="BodyText"/>
      </w:pPr>
      <w:r>
        <w:t xml:space="preserve">이로부터 본 연구는 다음의 작업 명제(working propositions)를 도출한다.</w:t>
      </w:r>
      <w:r>
        <w:t xml:space="preserve"> </w:t>
      </w:r>
      <w:r>
        <w:rPr>
          <w:b/>
          <w:bCs/>
        </w:rPr>
        <w:t xml:space="preserve">(P1)</w:t>
      </w:r>
      <w:r>
        <w:t xml:space="preserve"> </w:t>
      </w:r>
      <w:r>
        <w:t xml:space="preserve">하이브리드 본딩 생태계는 소수 IP·선도 기업으로 집중되며 기업·관할권별로 전략이 분화된다(거시, 제4장).</w:t>
      </w:r>
      <w:r>
        <w:t xml:space="preserve"> </w:t>
      </w:r>
      <w:r>
        <w:rPr>
          <w:b/>
          <w:bCs/>
        </w:rPr>
        <w:t xml:space="preserve">(P2)</w:t>
      </w:r>
      <w:r>
        <w:t xml:space="preserve"> </w:t>
      </w:r>
      <w:r>
        <w:t xml:space="preserve">특허의 기술범위는 시간에 따라 확대되고 관할권에 따라 달라진다(미시, 제5장).</w:t>
      </w:r>
      <w:r>
        <w:t xml:space="preserve"> </w:t>
      </w:r>
      <w:r>
        <w:rPr>
          <w:b/>
          <w:bCs/>
        </w:rPr>
        <w:t xml:space="preserve">(P3)</w:t>
      </w:r>
      <w:r>
        <w:t xml:space="preserve"> </w:t>
      </w:r>
      <w:r>
        <w:t xml:space="preserve">후공정 특허의 전공정 침투(전략지향)는 시간·범위·관할권과 체계적으로 연관된다(미시, 제5장).</w:t>
      </w:r>
      <w:r>
        <w:t xml:space="preserve"> </w:t>
      </w:r>
      <w:r>
        <w:rPr>
          <w:b/>
          <w:bCs/>
        </w:rPr>
        <w:t xml:space="preserve">(P4)</w:t>
      </w:r>
      <w:r>
        <w:t xml:space="preserve"> </w:t>
      </w:r>
      <w:r>
        <w:t xml:space="preserve">거시 명제와 미시 증거는 전/후공정 경계의 흐려짐으로 수렴한다(통합, 제6장). 이 명제들은 가설검정의 형식을 빌리되, 자료의 관찰적 성격상 인과가 아닌</w:t>
      </w:r>
      <w:r>
        <w:t xml:space="preserve"> </w:t>
      </w:r>
      <w:r>
        <w:rPr>
          <w:b/>
          <w:bCs/>
        </w:rPr>
        <w:t xml:space="preserve">연관</w:t>
      </w:r>
      <w:r>
        <w:t xml:space="preserve">으로 해석된다.</w:t>
      </w:r>
    </w:p>
    <w:p>
      <w:r>
        <w:pict>
          <v:rect style="width:0;height:1.5pt" o:hralign="center" o:hrstd="t" o:hr="t"/>
        </w:pict>
      </w:r>
    </w:p>
    <w:bookmarkEnd w:id="33"/>
    <w:bookmarkEnd w:id="34"/>
    <w:bookmarkStart w:id="42" w:name="제3장-연구-설계-통합-분석틀과-데이터"/>
    <w:p>
      <w:pPr>
        <w:pStyle w:val="Heading1"/>
      </w:pPr>
      <w:r>
        <w:t xml:space="preserve">제3장 연구 설계: 통합 분석틀과 데이터</w:t>
      </w:r>
    </w:p>
    <w:bookmarkStart w:id="35" w:name="통합-분석틀-psp-거시미시"/>
    <w:p>
      <w:pPr>
        <w:pStyle w:val="Heading2"/>
      </w:pPr>
      <w:r>
        <w:t xml:space="preserve">3.1 통합 분석틀 (P–S–P × 거시/미시)</w:t>
      </w:r>
    </w:p>
    <w:p>
      <w:pPr>
        <w:pStyle w:val="FirstParagraph"/>
      </w:pPr>
      <w:r>
        <w:t xml:space="preserve">본 연구는 반도체 패키징 기술의 복잡성을 체계적으로 분해하고 기술 요소 간 상호 의존성을 파악하기 위해,</w:t>
      </w:r>
      <w:r>
        <w:t xml:space="preserve"> </w:t>
      </w:r>
      <w:r>
        <w:rPr>
          <w:b/>
          <w:bCs/>
        </w:rPr>
        <w:t xml:space="preserve">공정(Process)–구조(Structure)–제품(Product)</w:t>
      </w:r>
      <w:r>
        <w:t xml:space="preserve"> </w:t>
      </w:r>
      <w:r>
        <w:t xml:space="preserve">으로 이어지는 3단계 계층적 프레임워크를 상위 이론틀로 삼는다([그림 10], 자료②). 이 틀은 기술이 개발되는 미시적 단계(공정)에서 출발하여 시스템 아키텍처로 통합되는 중위 단계(구조)를 거쳐 최종 시장에 적용되는 거시 단계(제품)로 진화하는 가치사슬의 흐름을 반영한다.</w:t>
      </w:r>
    </w:p>
    <w:p>
      <w:pPr>
        <w:pStyle w:val="BodyText"/>
      </w:pPr>
      <w:r>
        <w:t xml:space="preserve">이 프레임워크는 CPC(Cooperative Patent Classification)의 구조적 위계와도 정합한다([표 3-1]). 본 연구는 이러한 특허 고유의 분류 체계를 준용함으로써 분석의 자의성을 배제하고 기술적 속성에 기반한 객관적 분류를 확립한다.</w:t>
      </w:r>
    </w:p>
    <w:p>
      <w:pPr>
        <w:pStyle w:val="BodyText"/>
      </w:pPr>
      <w:r>
        <w:rPr>
          <w:b/>
          <w:bCs/>
        </w:rPr>
        <w:t xml:space="preserve">[표 3-1] P–S–P 계층과 CPC 매핑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의미</w:t>
            </w:r>
          </w:p>
        </w:tc>
        <w:tc>
          <w:tcPr/>
          <w:p>
            <w:pPr>
              <w:pStyle w:val="Compact"/>
            </w:pPr>
            <w:r>
              <w:t xml:space="preserve">주요 CPC</w:t>
            </w:r>
          </w:p>
        </w:tc>
        <w:tc>
          <w:tcPr/>
          <w:p>
            <w:pPr>
              <w:pStyle w:val="Compact"/>
            </w:pPr>
            <w:r>
              <w:t xml:space="preserve">비고</w:t>
            </w:r>
          </w:p>
        </w:tc>
      </w:tr>
      <w:tr>
        <w:tc>
          <w:tcPr/>
          <w:p>
            <w:pPr>
              <w:pStyle w:val="Compact"/>
            </w:pPr>
            <w:r>
              <w:t xml:space="preserve">공정(Process)</w:t>
            </w:r>
          </w:p>
        </w:tc>
        <w:tc>
          <w:tcPr/>
          <w:p>
            <w:pPr>
              <w:pStyle w:val="Compact"/>
            </w:pPr>
            <w:r>
              <w:t xml:space="preserve">반도체 장치의 제조·처리</w:t>
            </w:r>
          </w:p>
        </w:tc>
        <w:tc>
          <w:tcPr/>
          <w:p>
            <w:pPr>
              <w:pStyle w:val="Compact"/>
            </w:pPr>
            <w:r>
              <w:rPr>
                <w:b/>
                <w:bCs/>
              </w:rPr>
              <w:t xml:space="preserve">H01L21</w:t>
            </w:r>
          </w:p>
        </w:tc>
        <w:tc>
          <w:tcPr/>
          <w:p>
            <w:pPr>
              <w:pStyle w:val="Compact"/>
            </w:pPr>
            <w:r>
              <w:t xml:space="preserve">미시 분석의</w:t>
            </w:r>
            <w:r>
              <w:t xml:space="preserve"> </w:t>
            </w:r>
            <w:r>
              <w:t xml:space="preserve">‘전공정’</w:t>
            </w:r>
            <w:r>
              <w:t xml:space="preserve"> </w:t>
            </w:r>
            <w:r>
              <w:t xml:space="preserve">축</w:t>
            </w:r>
          </w:p>
        </w:tc>
      </w:tr>
      <w:tr>
        <w:tc>
          <w:tcPr/>
          <w:p>
            <w:pPr>
              <w:pStyle w:val="Compact"/>
            </w:pPr>
            <w:r>
              <w:t xml:space="preserve">(접합·인터커넥트)</w:t>
            </w:r>
          </w:p>
        </w:tc>
        <w:tc>
          <w:tcPr/>
          <w:p>
            <w:pPr>
              <w:pStyle w:val="Compact"/>
            </w:pPr>
            <w:r>
              <w:t xml:space="preserve">본딩·인터커넥트 공정</w:t>
            </w:r>
          </w:p>
        </w:tc>
        <w:tc>
          <w:tcPr/>
          <w:p>
            <w:pPr>
              <w:pStyle w:val="Compact"/>
            </w:pPr>
            <w:r>
              <w:rPr>
                <w:b/>
                <w:bCs/>
              </w:rPr>
              <w:t xml:space="preserve">H01L24</w:t>
            </w:r>
          </w:p>
        </w:tc>
        <w:tc>
          <w:tcPr/>
          <w:p>
            <w:pPr>
              <w:pStyle w:val="Compact"/>
            </w:pPr>
            <w:r>
              <w:t xml:space="preserve">미시 분석의</w:t>
            </w:r>
            <w:r>
              <w:t xml:space="preserve"> </w:t>
            </w:r>
            <w:r>
              <w:t xml:space="preserve">‘후공정’</w:t>
            </w:r>
            <w:r>
              <w:t xml:space="preserve"> </w:t>
            </w:r>
            <w:r>
              <w:t xml:space="preserve">축</w:t>
            </w:r>
          </w:p>
        </w:tc>
      </w:tr>
      <w:tr>
        <w:tc>
          <w:tcPr/>
          <w:p>
            <w:pPr>
              <w:pStyle w:val="Compact"/>
            </w:pPr>
            <w:r>
              <w:t xml:space="preserve">구조(Structure)</w:t>
            </w:r>
          </w:p>
        </w:tc>
        <w:tc>
          <w:tcPr/>
          <w:p>
            <w:pPr>
              <w:pStyle w:val="Compact"/>
            </w:pPr>
            <w:r>
              <w:t xml:space="preserve">세부 구조·칩 집적/어셈블리</w:t>
            </w:r>
          </w:p>
        </w:tc>
        <w:tc>
          <w:tcPr/>
          <w:p>
            <w:pPr>
              <w:pStyle w:val="Compact"/>
            </w:pPr>
            <w:r>
              <w:t xml:space="preserve">H01L23, H01L25</w:t>
            </w:r>
          </w:p>
        </w:tc>
        <w:tc>
          <w:tcPr/>
          <w:p>
            <w:pPr>
              <w:pStyle w:val="Compact"/>
            </w:pPr>
            <w:r>
              <w:t xml:space="preserve">예: H01L25/50 적층 구조</w:t>
            </w:r>
          </w:p>
        </w:tc>
      </w:tr>
      <w:tr>
        <w:tc>
          <w:tcPr/>
          <w:p>
            <w:pPr>
              <w:pStyle w:val="Compact"/>
            </w:pPr>
            <w:r>
              <w:t xml:space="preserve">제품(Product)</w:t>
            </w:r>
          </w:p>
        </w:tc>
        <w:tc>
          <w:tcPr/>
          <w:p>
            <w:pPr>
              <w:pStyle w:val="Compact"/>
            </w:pPr>
            <w:r>
              <w:t xml:space="preserve">복합 소자·메모리·데이터 처리</w:t>
            </w:r>
          </w:p>
        </w:tc>
        <w:tc>
          <w:tcPr/>
          <w:p>
            <w:pPr>
              <w:pStyle w:val="Compact"/>
            </w:pPr>
            <w:r>
              <w:t xml:space="preserve">H01L27, G11C, G06F</w:t>
            </w:r>
          </w:p>
        </w:tc>
        <w:tc>
          <w:tcPr/>
          <w:p>
            <w:pPr>
              <w:pStyle w:val="Compact"/>
            </w:pPr>
            <w:r>
              <w:t xml:space="preserve">최종 응용</w:t>
            </w:r>
          </w:p>
        </w:tc>
      </w:tr>
    </w:tbl>
    <w:p>
      <w:pPr>
        <w:pStyle w:val="BodyText"/>
      </w:pPr>
      <w:r>
        <w:t xml:space="preserve">미시 계량분석(제5장)은 위 표의 H01L21(전공정)과 H01L24(후공정·접합)의 대비에 초점을 두며, 거시 분석(제4장)은 H01L21·23·25·27 등 P–S–P 전 범위를 조망한다.</w:t>
      </w:r>
    </w:p>
    <w:p>
      <w:pPr>
        <w:pStyle w:val="BodyText"/>
      </w:pPr>
      <w:r>
        <w:t xml:space="preserve">각 계층의 구성 요소는 다음과 같다.</w:t>
      </w:r>
      <w:r>
        <w:t xml:space="preserve"> </w:t>
      </w:r>
      <w:r>
        <w:rPr>
          <w:b/>
          <w:bCs/>
        </w:rPr>
        <w:t xml:space="preserve">(1) 공정(Process)</w:t>
      </w:r>
      <w:r>
        <w:t xml:space="preserve"> </w:t>
      </w:r>
      <w:r>
        <w:t xml:space="preserve">계층은 하이브리드 본딩을 핵심으로 하되 그 구현에 필수적인 TSV(3D 적층의 척추), CMP(나노미터 단위 표면 평탄화로 접합 성패를 좌우), 첨단 다이싱(레이저·플라즈마, D2W 수율 확보)을 포함한다.</w:t>
      </w:r>
      <w:r>
        <w:t xml:space="preserve"> </w:t>
      </w:r>
      <w:r>
        <w:rPr>
          <w:b/>
          <w:bCs/>
        </w:rPr>
        <w:t xml:space="preserve">(2) 구조(Structure)</w:t>
      </w:r>
      <w:r>
        <w:t xml:space="preserve"> </w:t>
      </w:r>
      <w:r>
        <w:t xml:space="preserve">계층은 칩렛(이종 집적의 핵심 아키텍처), 후면전력공급망(BSPDN, 웨이퍼 본딩이 전공정으로 확장되는 사례), 광전 공동패키징(CPO, 차세대 통신 인터페이스)을 다룬다.</w:t>
      </w:r>
      <w:r>
        <w:t xml:space="preserve"> </w:t>
      </w:r>
      <w:r>
        <w:rPr>
          <w:b/>
          <w:bCs/>
        </w:rPr>
        <w:t xml:space="preserve">(3) 제품(Product)</w:t>
      </w:r>
      <w:r>
        <w:t xml:space="preserve"> </w:t>
      </w:r>
      <w:r>
        <w:t xml:space="preserve">계층은 HBM, AI 가속기(GPU/NPU), CPU, 그리고 SiC·GaN·MicroLED 등 파생 제품군으로 구성된다([표 1] 공정–구조–제품 연결관계, 자료②).</w:t>
      </w:r>
    </w:p>
    <w:p>
      <w:pPr>
        <w:pStyle w:val="BodyText"/>
      </w:pPr>
      <w:r>
        <w:t xml:space="preserve">여기에 본 연구는</w:t>
      </w:r>
      <w:r>
        <w:t xml:space="preserve"> </w:t>
      </w:r>
      <w:r>
        <w:rPr>
          <w:b/>
          <w:bCs/>
        </w:rPr>
        <w:t xml:space="preserve">거시–미시 다층(multi-level)</w:t>
      </w:r>
      <w:r>
        <w:t xml:space="preserve"> </w:t>
      </w:r>
      <w:r>
        <w:t xml:space="preserve">축을 결합한다. 거시 축은 P–S–P 프레임 위에서 생태계 구조·전략을 기술 스캐닝(지표·네트워크)으로 진단하고(제4장), 미시 축은 특허 개체 수준에서 기술범위와 전략지향을 계량적으로 검정한다(제5장). 특히 미시 분석은 전공정(H01L21)과 후공정·접합(H01L24)의 대비에 초점을 맞추어, 거시 프레임의</w:t>
      </w:r>
      <w:r>
        <w:t xml:space="preserve"> </w:t>
      </w:r>
      <w:r>
        <w:t xml:space="preserve">“전→후공정 가치 이동”</w:t>
      </w:r>
      <w:r>
        <w:t xml:space="preserve"> </w:t>
      </w:r>
      <w:r>
        <w:t xml:space="preserve">명제를 특허 수준에서 교차 검증한다.</w:t>
      </w:r>
    </w:p>
    <w:bookmarkEnd w:id="35"/>
    <w:bookmarkStart w:id="36" w:name="데이터-patstat-2025와-분석-대상"/>
    <w:p>
      <w:pPr>
        <w:pStyle w:val="Heading2"/>
      </w:pPr>
      <w:r>
        <w:t xml:space="preserve">3.2 데이터: PATSTAT 2025와 분석 대상</w:t>
      </w:r>
    </w:p>
    <w:p>
      <w:pPr>
        <w:pStyle w:val="FirstParagraph"/>
      </w:pPr>
      <w:r>
        <w:t xml:space="preserve">분석 데이터는 유럽특허청(EPO)의</w:t>
      </w:r>
      <w:r>
        <w:t xml:space="preserve"> </w:t>
      </w:r>
      <w:r>
        <w:rPr>
          <w:b/>
          <w:bCs/>
        </w:rPr>
        <w:t xml:space="preserve">PATSTAT 2025</w:t>
      </w:r>
      <w:r>
        <w:t xml:space="preserve"> </w:t>
      </w:r>
      <w:r>
        <w:t xml:space="preserve">데이터베이스에서 추출하였다. CPC 코드로 1차 추출한 뒤 공정 특성에 맞는 키워드 검색을 AND 조건으로 결합하여 필터링한 결과, 하이브리드 본딩 관련 약</w:t>
      </w:r>
      <w:r>
        <w:t xml:space="preserve"> </w:t>
      </w:r>
      <w:r>
        <w:rPr>
          <w:b/>
          <w:bCs/>
        </w:rPr>
        <w:t xml:space="preserve">5,278건</w:t>
      </w:r>
      <w:r>
        <w:t xml:space="preserve">, 비교군인 HBM 관련 약</w:t>
      </w:r>
      <w:r>
        <w:t xml:space="preserve"> </w:t>
      </w:r>
      <w:r>
        <w:rPr>
          <w:b/>
          <w:bCs/>
        </w:rPr>
        <w:t xml:space="preserve">2,330건</w:t>
      </w:r>
      <w:r>
        <w:t xml:space="preserve">의 레코드를 확보하였다(자료②, [표 2]·[표 3]).</w:t>
      </w:r>
    </w:p>
    <w:p>
      <w:pPr>
        <w:pStyle w:val="BodyText"/>
      </w:pPr>
      <w:r>
        <w:rPr>
          <w:b/>
          <w:bCs/>
        </w:rPr>
        <w:t xml:space="preserve">거시 분석(제4장)과 미시 분석(제5장)은 동일한 모집단을 사용한다.</w:t>
      </w:r>
      <w:r>
        <w:t xml:space="preserve"> </w:t>
      </w:r>
      <w:r>
        <w:t xml:space="preserve">거시 분석은 이 추출 집합을 출원–CPC 레코드 수준(약 5,278 레코드)에서 P–S–P 전 범위(H01L21·23·25·27 등)의 지표·네트워크로 조망하고, 미시 분석은 동일 모집단을 출원 단위로 응집한</w:t>
      </w:r>
      <w:r>
        <w:t xml:space="preserve"> </w:t>
      </w:r>
      <w:r>
        <w:rPr>
          <w:b/>
          <w:bCs/>
        </w:rPr>
        <w:t xml:space="preserve">928개 고유 출원</w:t>
      </w:r>
      <w:r>
        <w:t xml:space="preserve">(5,277 출원–CPC 레코드, 1968–2024년 출원)을 대상으로 전공정(H01L21)과 후공정·접합(H01L24)의 대비에 초점을 맞춘다(자료①). 즉 약 5,277–5,278개의 출원–CPC 레코드가 출원 단위로 묶이면 928건이 되며, 두 분석은 표본이 다른 것이 아니라 동일 모집단을 서로 다른 분석 단위·CPC 시야로 본 것이다.</w:t>
      </w:r>
    </w:p>
    <w:p>
      <w:pPr>
        <w:pStyle w:val="BodyText"/>
      </w:pPr>
      <w:r>
        <w:t xml:space="preserve">한 가지 해석상의 주의가 필요하다. 관할권(출원청) 변수는 출원이 제출된 특허청을 가리키며 출원인의 국적이 아니다. 또한 WO(PCT)와 EP(EPO)는 국가가 아니라 국제·지역 출원 경로다. 따라서 관할권 간 차이는 발명의 기원만이 아니라 출원·보호 전략을 함께 반영하며, 본 연구는 이를 일관되게 그러한 관점에서 해석한다.</w:t>
      </w:r>
    </w:p>
    <w:p>
      <w:pPr>
        <w:pStyle w:val="BodyText"/>
      </w:pPr>
      <w:r>
        <w:t xml:space="preserve">데이터 구축 절차는 다음 4단계로 이루어졌다.</w:t>
      </w:r>
      <w:r>
        <w:t xml:space="preserve"> </w:t>
      </w:r>
      <w:r>
        <w:rPr>
          <w:b/>
          <w:bCs/>
        </w:rPr>
        <w:t xml:space="preserve">(1) 1차 추출</w:t>
      </w:r>
      <w:r>
        <w:t xml:space="preserve"> </w:t>
      </w:r>
      <w:r>
        <w:t xml:space="preserve">— 하이브리드 본딩의 정의에 부합하는 CPC 코드(H01L24 계열의 직접접합·표면처리 코드 및 H01L2224/08145 등)로 후보 집합을 추출한다.</w:t>
      </w:r>
      <w:r>
        <w:t xml:space="preserve"> </w:t>
      </w:r>
      <w:r>
        <w:rPr>
          <w:b/>
          <w:bCs/>
        </w:rPr>
        <w:t xml:space="preserve">(2) 키워드 필터링</w:t>
      </w:r>
      <w:r>
        <w:t xml:space="preserve"> </w:t>
      </w:r>
      <w:r>
        <w:t xml:space="preserve">— 공정 특성을 반영하는 키워드(direct bonding, hybrid bonding, Cu-Cu, dielectric 등)를 AND 조건으로 결합해 위양성(false positive)을 제거한다.</w:t>
      </w:r>
      <w:r>
        <w:t xml:space="preserve"> </w:t>
      </w:r>
      <w:r>
        <w:rPr>
          <w:b/>
          <w:bCs/>
        </w:rPr>
        <w:t xml:space="preserve">(3) 단위 정렬</w:t>
      </w:r>
      <w:r>
        <w:t xml:space="preserve"> </w:t>
      </w:r>
      <w:r>
        <w:t xml:space="preserve">— 거시 분석은 출원–CPC 레코드(약 5,278건)를, 미시 분석은 이를 출원 단위로 응집한 928건을 사용한다. 한 출원이 복수의 CPC를 보유하므로 레코드 수가 출원 수보다 많다.</w:t>
      </w:r>
      <w:r>
        <w:t xml:space="preserve"> </w:t>
      </w:r>
      <w:r>
        <w:rPr>
          <w:b/>
          <w:bCs/>
        </w:rPr>
        <w:t xml:space="preserve">(4) 기간·정제</w:t>
      </w:r>
      <w:r>
        <w:t xml:space="preserve"> </w:t>
      </w:r>
      <w:r>
        <w:t xml:space="preserve">— 출원연도 1968–2024를 대상으로 하되, 최근 2–3년 구간은 미공개 출원에 따른 공개 시차(publication lag)로 과소집계되므로 추세 해석 시 이를 인공물로 처리한다. 비교군인 HBM(약 2,330건)은 동일 절차로 구축하여 성장률 비교의 기준선으로 활용한다. 이 데이터 구축 흐름을 도식화하면 다음과 같다.</w:t>
      </w:r>
    </w:p>
    <w:p>
      <w:pPr>
        <w:pStyle w:val="SourceCode"/>
      </w:pPr>
      <w:r>
        <w:rPr>
          <w:rStyle w:val="VerbatimChar"/>
        </w:rPr>
        <w:t xml:space="preserve">PATSTAT 2025</w:t>
      </w:r>
      <w:r>
        <w:br/>
      </w:r>
      <w:r>
        <w:rPr>
          <w:rStyle w:val="VerbatimChar"/>
        </w:rPr>
        <w:t xml:space="preserve">   │  ① CPC 1차 추출 (H01L24 직접접합·H01L2224/08145 등)</w:t>
      </w:r>
      <w:r>
        <w:br/>
      </w:r>
      <w:r>
        <w:rPr>
          <w:rStyle w:val="VerbatimChar"/>
        </w:rPr>
        <w:t xml:space="preserve">   ▼</w:t>
      </w:r>
      <w:r>
        <w:br/>
      </w:r>
      <w:r>
        <w:rPr>
          <w:rStyle w:val="VerbatimChar"/>
        </w:rPr>
        <w:t xml:space="preserve">후보 레코드</w:t>
      </w:r>
      <w:r>
        <w:br/>
      </w:r>
      <w:r>
        <w:rPr>
          <w:rStyle w:val="VerbatimChar"/>
        </w:rPr>
        <w:t xml:space="preserve">   │  ② 키워드 AND 필터링 (direct/hybrid bonding, Cu-Cu, dielectric …)</w:t>
      </w:r>
      <w:r>
        <w:br/>
      </w:r>
      <w:r>
        <w:rPr>
          <w:rStyle w:val="VerbatimChar"/>
        </w:rPr>
        <w:t xml:space="preserve">   ▼</w:t>
      </w:r>
      <w:r>
        <w:br/>
      </w:r>
      <w:r>
        <w:rPr>
          <w:rStyle w:val="VerbatimChar"/>
        </w:rPr>
        <w:t xml:space="preserve">하이브리드 본딩 ~5,278 레코드 ───────────────┐  비교군: HBM ~2,330</w:t>
      </w:r>
      <w:r>
        <w:br/>
      </w:r>
      <w:r>
        <w:rPr>
          <w:rStyle w:val="VerbatimChar"/>
        </w:rPr>
        <w:t xml:space="preserve">   │  ③ 출원 단위 응집                          │</w:t>
      </w:r>
      <w:r>
        <w:br/>
      </w:r>
      <w:r>
        <w:rPr>
          <w:rStyle w:val="VerbatimChar"/>
        </w:rPr>
        <w:t xml:space="preserve">   ▼                                            ▼</w:t>
      </w:r>
      <w:r>
        <w:br/>
      </w:r>
      <w:r>
        <w:rPr>
          <w:rStyle w:val="VerbatimChar"/>
        </w:rPr>
        <w:t xml:space="preserve">928 고유 출원 (미시 분석, H01L21 vs H01L24)   거시 분석 (레코드 수준, P–S–P 전 범위)</w:t>
      </w:r>
      <w:r>
        <w:br/>
      </w:r>
      <w:r>
        <w:rPr>
          <w:rStyle w:val="VerbatimChar"/>
        </w:rPr>
        <w:t xml:space="preserve">   │  ④ 기간·공개시차 정제 (1968–2024)</w:t>
      </w:r>
      <w:r>
        <w:br/>
      </w:r>
      <w:r>
        <w:rPr>
          <w:rStyle w:val="VerbatimChar"/>
        </w:rPr>
        <w:t xml:space="preserve">   ▼</w:t>
      </w:r>
      <w:r>
        <w:br/>
      </w:r>
      <w:r>
        <w:rPr>
          <w:rStyle w:val="VerbatimChar"/>
        </w:rPr>
        <w:t xml:space="preserve">분석용 데이터셋</w:t>
      </w:r>
    </w:p>
    <w:bookmarkEnd w:id="36"/>
    <w:bookmarkStart w:id="38" w:name="변수-정의"/>
    <w:p>
      <w:pPr>
        <w:pStyle w:val="Heading2"/>
      </w:pPr>
      <w:r>
        <w:t xml:space="preserve">3.3 변수 정의</w:t>
      </w:r>
    </w:p>
    <w:p>
      <w:pPr>
        <w:pStyle w:val="FirstParagraph"/>
      </w:pPr>
      <w:r>
        <w:t xml:space="preserve">미시 분석의 변수는</w:t>
      </w:r>
      <w:r>
        <w:t xml:space="preserve"> </w:t>
      </w:r>
      <w:hyperlink r:id="rId37">
        <w:r>
          <w:rPr>
            <w:rStyle w:val="Hyperlink"/>
          </w:rPr>
          <w:t xml:space="preserve">표 1</w:t>
        </w:r>
      </w:hyperlink>
      <w:r>
        <w:t xml:space="preserve">과 같이 출원 단위로 구성하였다.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rPr>
                <w:b/>
                <w:bCs/>
              </w:rPr>
              <w:t xml:space="preserve">breadth</w:t>
            </w:r>
          </w:p>
        </w:tc>
        <w:tc>
          <w:tcPr/>
          <w:p>
            <w:pPr>
              <w:pStyle w:val="Compact"/>
            </w:pPr>
            <w:r>
              <w:t xml:space="preserve">출원에 부여된 서로 다른 CPC 서브클래스의 수(기술범위)</w:t>
            </w:r>
          </w:p>
        </w:tc>
        <w:tc>
          <w:tcPr/>
          <w:p>
            <w:pPr>
              <w:pStyle w:val="Compact"/>
            </w:pPr>
            <w:r>
              <w:t xml:space="preserve">카운트, 1–21</w:t>
            </w:r>
          </w:p>
        </w:tc>
      </w:tr>
      <w:tr>
        <w:tc>
          <w:tcPr/>
          <w:p>
            <w:pPr>
              <w:pStyle w:val="Compact"/>
            </w:pPr>
            <w:r>
              <w:rPr>
                <w:b/>
                <w:bCs/>
              </w:rPr>
              <w:t xml:space="preserve">has_process</w:t>
            </w:r>
          </w:p>
        </w:tc>
        <w:tc>
          <w:tcPr/>
          <w:p>
            <w:pPr>
              <w:pStyle w:val="Compact"/>
            </w:pPr>
            <w:r>
              <w:t xml:space="preserve">H01L21(전공정) 기호를 하나라도 포함하면 1</w:t>
            </w:r>
          </w:p>
        </w:tc>
        <w:tc>
          <w:tcPr/>
          <w:p>
            <w:pPr>
              <w:pStyle w:val="Compact"/>
            </w:pPr>
            <w:r>
              <w:t xml:space="preserve">이항</w:t>
            </w:r>
          </w:p>
        </w:tc>
      </w:tr>
      <w:tr>
        <w:tc>
          <w:tcPr/>
          <w:p>
            <w:pPr>
              <w:pStyle w:val="Compact"/>
            </w:pPr>
            <w:r>
              <w:rPr>
                <w:b/>
                <w:bCs/>
              </w:rPr>
              <w:t xml:space="preserve">tech_cat</w:t>
            </w:r>
          </w:p>
        </w:tc>
        <w:tc>
          <w:tcPr/>
          <w:p>
            <w:pPr>
              <w:pStyle w:val="Compact"/>
            </w:pPr>
            <w:r>
              <w:t xml:space="preserve">assembly-only(H01L24만) / integrated(둘 다) / process-only(H01L21만)</w:t>
            </w:r>
          </w:p>
        </w:tc>
        <w:tc>
          <w:tcPr/>
          <w:p>
            <w:pPr>
              <w:pStyle w:val="Compact"/>
            </w:pPr>
            <w:r>
              <w:t xml:space="preserve">범주, 3</w:t>
            </w:r>
          </w:p>
        </w:tc>
      </w:tr>
      <w:tr>
        <w:tc>
          <w:tcPr/>
          <w:p>
            <w:pPr>
              <w:pStyle w:val="Compact"/>
            </w:pPr>
            <w:r>
              <w:rPr>
                <w:b/>
                <w:bCs/>
              </w:rPr>
              <w:t xml:space="preserve">ccode</w:t>
            </w:r>
          </w:p>
        </w:tc>
        <w:tc>
          <w:tcPr/>
          <w:p>
            <w:pPr>
              <w:pStyle w:val="Compact"/>
            </w:pPr>
            <w:r>
              <w:t xml:space="preserve">출원청: US, CN, KR, TW, JP, EP, WO, Other (US=기준)</w:t>
            </w:r>
          </w:p>
        </w:tc>
        <w:tc>
          <w:tcPr/>
          <w:p>
            <w:pPr>
              <w:pStyle w:val="Compact"/>
            </w:pPr>
            <w:r>
              <w:t xml:space="preserve">범주, 8</w:t>
            </w:r>
          </w:p>
        </w:tc>
      </w:tr>
      <w:tr>
        <w:tc>
          <w:tcPr/>
          <w:p>
            <w:pPr>
              <w:pStyle w:val="Compact"/>
            </w:pPr>
            <w:r>
              <w:rPr>
                <w:b/>
                <w:bCs/>
              </w:rPr>
              <w:t xml:space="preserve">yc</w:t>
            </w:r>
          </w:p>
        </w:tc>
        <w:tc>
          <w:tcPr/>
          <w:p>
            <w:pPr>
              <w:pStyle w:val="Compact"/>
            </w:pPr>
            <w:r>
              <w:t xml:space="preserve">표본 내 최초 출원 이후 경과 연수로 측정한 출원연도</w:t>
            </w:r>
          </w:p>
        </w:tc>
        <w:tc>
          <w:tcPr/>
          <w:p>
            <w:pPr>
              <w:pStyle w:val="Compact"/>
            </w:pPr>
            <w:r>
              <w:t xml:space="preserve">연속</w:t>
            </w:r>
          </w:p>
        </w:tc>
      </w:tr>
    </w:tbl>
    <w:p>
      <w:pPr>
        <w:pStyle w:val="BodyText"/>
      </w:pPr>
      <w:r>
        <w:t xml:space="preserve">기술범위는 평균 5.69개(표준편차 4.07, 범위 1–21)였다. 전략 분포는 integrated 425건, assembly-only 338건, process-only 165건으로, 전체의 63.6%가 적어도 하나의 전공정 기호를 보유하였다(자료①). 출원청별로는 미국이 382건으로 가장 많고 중국(175)·PCT/WO(113)·EPO(83)·대만(75)·한국(58)·일본(26)이 뒤를 이었다.</w:t>
      </w:r>
    </w:p>
    <w:p>
      <w:pPr>
        <w:pStyle w:val="BodyText"/>
      </w:pPr>
      <w:r>
        <w:t xml:space="preserve">각 변수의 조작화(operationalization)에는 다음의 근거가 있다. 첫째,</w:t>
      </w:r>
      <w:r>
        <w:t xml:space="preserve"> </w:t>
      </w:r>
      <w:r>
        <w:rPr>
          <w:b/>
          <w:bCs/>
        </w:rPr>
        <w:t xml:space="preserve">기술범위(breadth)</w:t>
      </w:r>
      <w:r>
        <w:t xml:space="preserve"> </w:t>
      </w:r>
      <w:r>
        <w:t xml:space="preserve">를 서로 다른 CPC 서브클래스의 수로 정의한 것은, 한 발명이 포괄하는 기술 영역의 폭을 가장 직접적으로 반영하면서 해석이 투명하기 때문이다. 섀넌 다양성 지수 등 분산 기반 지표도 가능하나, 본 연구는 보호 범위(scope)의 직관적 대리로 개수 지표를 채택한다. 둘째,</w:t>
      </w:r>
      <w:r>
        <w:t xml:space="preserve"> </w:t>
      </w:r>
      <w:r>
        <w:rPr>
          <w:b/>
          <w:bCs/>
        </w:rPr>
        <w:t xml:space="preserve">전공정 침투(has_process)</w:t>
      </w:r>
      <w:r>
        <w:t xml:space="preserve"> </w:t>
      </w:r>
      <w:r>
        <w:t xml:space="preserve">를 H01L21 기호 보유 여부의 이분 변수로 정의한 것은, 후공정 기술인 하이브리드 본딩이 전공정 영역을 청구하는지를 가장 명료하게 포착하기 위함이다. 셋째,</w:t>
      </w:r>
      <w:r>
        <w:t xml:space="preserve"> </w:t>
      </w:r>
      <w:r>
        <w:rPr>
          <w:b/>
          <w:bCs/>
        </w:rPr>
        <w:t xml:space="preserve">전략유형(tech_cat)</w:t>
      </w:r>
      <w:r>
        <w:t xml:space="preserve"> </w:t>
      </w:r>
      <w:r>
        <w:t xml:space="preserve">의 3분류(assembly-only/integrated/process-only)는 has_process의 이분을 넘어 ’후공정 전용·양면·전공정 전용’이라는 전략적 위치를 구분함으로써, 단순 침투 여부가 아니라 침투의 양태를 드러낸다. 넷째,</w:t>
      </w:r>
      <w:r>
        <w:t xml:space="preserve"> </w:t>
      </w:r>
      <w:r>
        <w:rPr>
          <w:b/>
          <w:bCs/>
        </w:rPr>
        <w:t xml:space="preserve">출원연도(yc)</w:t>
      </w:r>
      <w:r>
        <w:t xml:space="preserve"> </w:t>
      </w:r>
      <w:r>
        <w:t xml:space="preserve">를 표본 최초 출원 이후 경과 연수로 척도화한 것은 절편 해석을 자연스럽게 하고 다중공선성을 완화한다.</w:t>
      </w:r>
    </w:p>
    <w:bookmarkEnd w:id="38"/>
    <w:bookmarkStart w:id="40" w:name="분석-방법"/>
    <w:p>
      <w:pPr>
        <w:pStyle w:val="Heading2"/>
      </w:pPr>
      <w:r>
        <w:t xml:space="preserve">3.4 분석 방법</w:t>
      </w:r>
    </w:p>
    <w:p>
      <w:pPr>
        <w:pStyle w:val="FirstParagraph"/>
      </w:pPr>
      <w:r>
        <w:rPr>
          <w:b/>
          <w:bCs/>
        </w:rPr>
        <w:t xml:space="preserve">거시(제4장).</w:t>
      </w:r>
      <w:r>
        <w:t xml:space="preserve"> </w:t>
      </w:r>
      <w:r>
        <w:t xml:space="preserve">성장률(HBM 대비 출원 추이), 시장확보지수(PFS), 기술집중도(RTA Index)와 기술 클러스터, 기술 네트워크(CPC 동시분류 상관), 그리고 질적 지표인 과학연계성지수(SLI)·인용영향력지수(CII)·특허인용 감쇠(citation decay)를 산출한다(자료②). 주요 지표의 산출식은 다음과 같다.</w:t>
      </w:r>
    </w:p>
    <w:p>
      <w:pPr>
        <w:pStyle w:val="Compact"/>
        <w:numPr>
          <w:ilvl w:val="0"/>
          <w:numId w:val="1003"/>
        </w:numPr>
      </w:pPr>
      <w:r>
        <w:rPr>
          <w:b/>
          <w:bCs/>
        </w:rPr>
        <w:t xml:space="preserve">CII</w:t>
      </w:r>
      <w:r>
        <w:t xml:space="preserve"> </w:t>
      </w:r>
      <w:r>
        <w:t xml:space="preserve">= (해당 주체 특허당 평균 피인용 수) / (전체 평균 피인용 수). 1.0 초과 시 평균 이상 영향력.</w:t>
      </w:r>
    </w:p>
    <w:p>
      <w:pPr>
        <w:pStyle w:val="Compact"/>
        <w:numPr>
          <w:ilvl w:val="0"/>
          <w:numId w:val="1003"/>
        </w:numPr>
      </w:pPr>
      <w:r>
        <w:rPr>
          <w:b/>
          <w:bCs/>
        </w:rPr>
        <w:t xml:space="preserve">PFS</w:t>
      </w:r>
      <w:r>
        <w:t xml:space="preserve"> </w:t>
      </w:r>
      <w:r>
        <w:t xml:space="preserve">= 동일 발명을 출원한 특허 패밀리의 국가 수(시장 범위·경제적 가치의 대리).</w:t>
      </w:r>
    </w:p>
    <w:p>
      <w:pPr>
        <w:pStyle w:val="Compact"/>
        <w:numPr>
          <w:ilvl w:val="0"/>
          <w:numId w:val="1003"/>
        </w:numPr>
      </w:pPr>
      <w:r>
        <w:rPr>
          <w:b/>
          <w:bCs/>
        </w:rPr>
        <w:t xml:space="preserve">SLI</w:t>
      </w:r>
      <w:r>
        <w:t xml:space="preserve"> </w:t>
      </w:r>
      <w:r>
        <w:t xml:space="preserve">= 특허당 평균 비특허문헌(NPL, 과학논문) 인용 수(기초과학 연계 정도).</w:t>
      </w:r>
    </w:p>
    <w:p>
      <w:pPr>
        <w:pStyle w:val="Compact"/>
        <w:numPr>
          <w:ilvl w:val="0"/>
          <w:numId w:val="1003"/>
        </w:numPr>
      </w:pPr>
      <w:r>
        <w:rPr>
          <w:b/>
          <w:bCs/>
        </w:rPr>
        <w:t xml:space="preserve">RTA</w:t>
      </w:r>
      <w:r>
        <w:t xml:space="preserve"> </w:t>
      </w:r>
      <w:r>
        <w:t xml:space="preserve">= (주체 내 해당 기술 비중) / (시장 전체 내 해당 기술 비중). 1.0 초과 시 해당 기술에 특화.</w:t>
      </w:r>
    </w:p>
    <w:p>
      <w:pPr>
        <w:pStyle w:val="FirstParagraph"/>
      </w:pPr>
      <w:r>
        <w:rPr>
          <w:b/>
          <w:bCs/>
        </w:rPr>
        <w:t xml:space="preserve">미시(제5장).</w:t>
      </w:r>
      <w:r>
        <w:t xml:space="preserve"> </w:t>
      </w:r>
      <w:r>
        <w:t xml:space="preserve">기술범위는 카운트 변수이므로 OLS의 오설정을 진단(Breusch–Pagan, 잔차–적합값 플롯)한 뒤 Poisson →</w:t>
      </w:r>
      <w:r>
        <w:t xml:space="preserve"> </w:t>
      </w:r>
      <w:r>
        <w:rPr>
          <w:b/>
          <w:bCs/>
        </w:rPr>
        <w:t xml:space="preserve">음이항(negative binomial)</w:t>
      </w:r>
      <w:r>
        <w:t xml:space="preserve"> </w:t>
      </w:r>
      <w:r>
        <w:t xml:space="preserve">으로 이행하며, 과산포 검정과 AIC로 모형을 선택한다(Hausman et al., 1984; Cameron &amp; Trivedi, 2013). 기술범위 최솟값이 1이어서 영과잉(zero-inflation)이 없으므로 표준 음이항이 적정하다. 전략지향은</w:t>
      </w:r>
      <w:r>
        <w:t xml:space="preserve"> </w:t>
      </w:r>
      <w:r>
        <w:rPr>
          <w:b/>
          <w:bCs/>
        </w:rPr>
        <w:t xml:space="preserve">이항 로짓</w:t>
      </w:r>
      <w:r>
        <w:t xml:space="preserve">(has_process; ROC의 AUC로 평가)과</w:t>
      </w:r>
      <w:r>
        <w:t xml:space="preserve"> </w:t>
      </w:r>
      <w:r>
        <w:rPr>
          <w:b/>
          <w:bCs/>
        </w:rPr>
        <w:t xml:space="preserve">다항 로짓</w:t>
      </w:r>
      <w:r>
        <w:t xml:space="preserve">(tech_cat, 기준=assembly-only; 상대위험비 RRR)으로 추정한다.</w:t>
      </w:r>
    </w:p>
    <w:bookmarkStart w:id="39" w:name="모형-명세와-진단"/>
    <w:p>
      <w:pPr>
        <w:pStyle w:val="Heading3"/>
      </w:pPr>
      <w:r>
        <w:t xml:space="preserve">3.4.1 모형 명세와 진단</w:t>
      </w:r>
    </w:p>
    <w:p>
      <w:pPr>
        <w:pStyle w:val="FirstParagraph"/>
      </w:pPr>
      <w:r>
        <w:rPr>
          <w:b/>
          <w:bCs/>
        </w:rPr>
        <w:t xml:space="preserve">(1) 음이항 회귀.</w:t>
      </w:r>
      <w:r>
        <w:t xml:space="preserve"> </w:t>
      </w:r>
      <w:r>
        <w:t xml:space="preserve">기술범위</w:t>
      </w:r>
      <w:r>
        <w:t xml:space="preserve"> </w:t>
      </w:r>
      <m:oMath>
        <m:sSub>
          <m:e>
            <m:r>
              <m:t>y</m:t>
            </m:r>
          </m:e>
          <m:sub>
            <m:r>
              <m:t>i</m:t>
            </m:r>
          </m:sub>
        </m:sSub>
      </m:oMath>
      <w:r>
        <w:t xml:space="preserve">가 평균</w:t>
      </w:r>
      <w:r>
        <w:t xml:space="preserve"> </w:t>
      </w:r>
      <m:oMath>
        <m:sSub>
          <m:e>
            <m:r>
              <m:t>μ</m:t>
            </m:r>
          </m:e>
          <m:sub>
            <m:r>
              <m:t>i</m:t>
            </m:r>
          </m:sub>
        </m:sSub>
        <m:r>
          <m:rPr>
            <m:sty m:val="p"/>
          </m:rPr>
          <m:t>=</m:t>
        </m:r>
        <m:r>
          <m:rPr>
            <m:sty m:val="p"/>
          </m:rPr>
          <m:t>exp</m:t>
        </m:r>
        <m:r>
          <m:rPr>
            <m:sty m:val="p"/>
          </m:rPr>
          <m:t>(</m:t>
        </m:r>
        <m:sSubSup>
          <m:e>
            <m:r>
              <m:t>x</m:t>
            </m:r>
          </m:e>
          <m:sub>
            <m:r>
              <m:t>i</m:t>
            </m:r>
          </m:sub>
          <m:sup>
            <m:r>
              <m:rPr>
                <m:sty m:val="p"/>
              </m:rPr>
              <m:t>′</m:t>
            </m:r>
          </m:sup>
        </m:sSubSup>
        <m:r>
          <m:t>β</m:t>
        </m:r>
        <m:r>
          <m:rPr>
            <m:sty m:val="p"/>
          </m:rPr>
          <m:t>)</m:t>
        </m:r>
      </m:oMath>
      <w:r>
        <w:t xml:space="preserve">를 갖는 카운트라 할 때, Poisson은 평균=분산을 가정하나 실제 데이터에서는 분산이 평균을 초과하는 과산포가 흔하다. 음이항은 분산을</w:t>
      </w:r>
      <w:r>
        <w:t xml:space="preserve"> </w:t>
      </w:r>
      <m:oMath>
        <m:sSub>
          <m:e>
            <m:r>
              <m:t>μ</m:t>
            </m:r>
          </m:e>
          <m:sub>
            <m:r>
              <m:t>i</m:t>
            </m:r>
          </m:sub>
        </m:sSub>
        <m:r>
          <m:rPr>
            <m:sty m:val="p"/>
          </m:rPr>
          <m:t>+</m:t>
        </m:r>
        <m:r>
          <m:t>α</m:t>
        </m:r>
        <m:sSubSup>
          <m:e>
            <m:r>
              <m:t>μ</m:t>
            </m:r>
          </m:e>
          <m:sub>
            <m:r>
              <m:t>i</m:t>
            </m:r>
          </m:sub>
          <m:sup>
            <m:r>
              <m:t>2</m:t>
            </m:r>
          </m:sup>
        </m:sSubSup>
      </m:oMath>
      <w:r>
        <w:t xml:space="preserve">로 모형화하여 과산포 모수</w:t>
      </w:r>
      <w:r>
        <w:t xml:space="preserve"> </w:t>
      </w:r>
      <m:oMath>
        <m:r>
          <m:t>α</m:t>
        </m:r>
      </m:oMath>
      <w:r>
        <w:t xml:space="preserve">를 추가한다.</w:t>
      </w:r>
      <w:r>
        <w:t xml:space="preserve"> </w:t>
      </w:r>
      <m:oMath>
        <m:r>
          <m:t>α</m:t>
        </m:r>
        <m:r>
          <m:rPr>
            <m:sty m:val="p"/>
          </m:rPr>
          <m:t>=</m:t>
        </m:r>
        <m:r>
          <m:t>0</m:t>
        </m:r>
      </m:oMath>
      <w:r>
        <w:t xml:space="preserve">이면 Poisson으로 환원되므로,</w:t>
      </w:r>
      <w:r>
        <w:t xml:space="preserve"> </w:t>
      </w:r>
      <m:oMath>
        <m:r>
          <m:t>α</m:t>
        </m:r>
        <m:r>
          <m:rPr>
            <m:sty m:val="p"/>
          </m:rPr>
          <m:t>&gt;</m:t>
        </m:r>
        <m:r>
          <m:t>0</m:t>
        </m:r>
      </m:oMath>
      <w:r>
        <w:t xml:space="preserve">에 대한 우도비(LR) 검정이 모형 선택의 핵심이다. 계수의 지수는 발생률비(IRR)로 해석된다.</w:t>
      </w:r>
      <w:r>
        <w:t xml:space="preserve"> </w:t>
      </w:r>
      <w:r>
        <w:rPr>
          <w:b/>
          <w:bCs/>
        </w:rPr>
        <w:t xml:space="preserve">(2) 이항 로짓.</w:t>
      </w:r>
      <w:r>
        <w:t xml:space="preserve"> </w:t>
      </w:r>
      <w:r>
        <w:t xml:space="preserve">전공정 청구 확률을 로지스틱 함수로 모형화하고 계수의 지수를 승산비(OR)로 보고하며, 판별력은 ROC 곡선 하면적(AUC)으로 평가한다(0.5=무작위, 0.7 이상=수용 가능).</w:t>
      </w:r>
      <w:r>
        <w:t xml:space="preserve"> </w:t>
      </w:r>
      <w:r>
        <w:rPr>
          <w:b/>
          <w:bCs/>
        </w:rPr>
        <w:t xml:space="preserve">(3) 다항 로짓.</w:t>
      </w:r>
      <w:r>
        <w:t xml:space="preserve"> </w:t>
      </w:r>
      <w:r>
        <w:t xml:space="preserve">세 전략유형을 동시에 모형화하되 assembly-only를 기준 범주로 두고 상대위험비(RRR)로 보고한다. 다항 로짓은 무관 대안의 독립성(IIA) 가정에 의존하므로, 본 연구는 결과를 기준 범주 대비 상대적 경향으로 해석하고 절대 확률의 인과적 단정은 피한다.</w:t>
      </w:r>
      <w:r>
        <w:t xml:space="preserve"> </w:t>
      </w:r>
      <w:r>
        <w:rPr>
          <w:b/>
          <w:bCs/>
        </w:rPr>
        <w:t xml:space="preserve">(4) 표준오차.</w:t>
      </w:r>
      <w:r>
        <w:t xml:space="preserve"> </w:t>
      </w:r>
      <w:r>
        <w:t xml:space="preserve">카운트 모형에서 로버스트 표준오차를 병행 점검하였으며, 계수 변화가 미미하여 문제의 본질이 오차 구조가 아니라 함수 형태임을 확인하였다.</w:t>
      </w:r>
    </w:p>
    <w:bookmarkEnd w:id="39"/>
    <w:bookmarkEnd w:id="40"/>
    <w:bookmarkStart w:id="41" w:name="분석-절차-및-강건성"/>
    <w:p>
      <w:pPr>
        <w:pStyle w:val="Heading2"/>
      </w:pPr>
      <w:r>
        <w:t xml:space="preserve">3.5 분석 절차 및 강건성</w:t>
      </w:r>
    </w:p>
    <w:p>
      <w:pPr>
        <w:pStyle w:val="FirstParagraph"/>
      </w:pPr>
      <w:r>
        <w:t xml:space="preserve">분석은 다음 순서로 진행된다. ① 기술통계와 분포 점검 → ② OLS 추정 및 잔차 진단(Breusch–Pagan, 잔차–적합값) → ③ Poisson 추정 및 과산포 점검 → ④ 음이항 추정 및 Poisson 대비 LR 검정·AIC 비교 → ⑤ 이항·다항 로짓 추정 및 적합도(AUC·로그우도·AIC) 평가 → ⑥ 관할권·시간 효과의 해석. 모형 선택은 사전적 선호가 아니라</w:t>
      </w:r>
      <w:r>
        <w:t xml:space="preserve"> </w:t>
      </w:r>
      <w:r>
        <w:rPr>
          <w:b/>
          <w:bCs/>
        </w:rPr>
        <w:t xml:space="preserve">진단 결과</w:t>
      </w:r>
      <w:r>
        <w:t xml:space="preserve">(과산포·정보기준)에 따라 이루어지며, 이는 결과변수의 통계적 성격에 모형을 맞춘다는 본 연구의 방법론적 원칙을 구현한다. 강건성 측면에서 로버스트 표준오차, 정보기준(AIC) 기반 비교, AUC를 통한 판별력 점검을 수행하였다. 다만 도구변수·패널 고정효과를 활용한 내생성 통제는 자료 제약상 수행하지 못했으며, 이는 제7장에서 한계로 명시한다.</w:t>
      </w:r>
    </w:p>
    <w:p>
      <w:pPr>
        <w:pStyle w:val="BodyText"/>
      </w:pPr>
      <w:r>
        <w:rPr>
          <w:b/>
          <w:bCs/>
        </w:rPr>
        <w:t xml:space="preserve">연구 범위에 관한 주석.</w:t>
      </w:r>
      <w:r>
        <w:t xml:space="preserve"> </w:t>
      </w:r>
      <w:r>
        <w:t xml:space="preserve">본 논문은 저자의 선행 분석(①②) 결과를 하나의 다층 프레임으로 통합·재해석하는 데 목적이 있으며, 제4·5장의 수치는 선행 분석에서 인용한 것이다. 데이터 재추출과 모형 재추정은 본 연구의 범위에 포함되지 않으며 제7장에서 한계로 명시한다.</w:t>
      </w:r>
    </w:p>
    <w:p>
      <w:r>
        <w:pict>
          <v:rect style="width:0;height:1.5pt" o:hralign="center" o:hrstd="t" o:hr="t"/>
        </w:pict>
      </w:r>
    </w:p>
    <w:bookmarkEnd w:id="41"/>
    <w:bookmarkEnd w:id="42"/>
    <w:bookmarkStart w:id="55" w:name="제4장-거시-분석-생태계-구조와-전략-분화-rq1"/>
    <w:p>
      <w:pPr>
        <w:pStyle w:val="Heading1"/>
      </w:pPr>
      <w:r>
        <w:t xml:space="preserve">제4장 거시 분석: 생태계 구조와 전략 분화 (RQ1)</w:t>
      </w:r>
    </w:p>
    <w:bookmarkStart w:id="43" w:name="출원-동학과-성장성"/>
    <w:p>
      <w:pPr>
        <w:pStyle w:val="Heading2"/>
      </w:pPr>
      <w:r>
        <w:t xml:space="preserve">4.1 출원 동학과 성장성</w:t>
      </w:r>
    </w:p>
    <w:p>
      <w:pPr>
        <w:pStyle w:val="FirstParagraph"/>
      </w:pPr>
      <w:r>
        <w:t xml:space="preserve">하이브리드 본딩(공정)과 HBM(제품) 관련 특허의 연도별 출원 추이를 비교한 결과, 2010년대 중반까지 두 기술은 완만한 동반 성장세를 보였으나 2020년을 기점으로 변곡점이 나타났다([그림 11], 자료②). 2019년 56건 대 41건으로 대등하던 출원 규모는 2020년 하이브리드 본딩 71건·HBM 45건으로 벌어졌고,</w:t>
      </w:r>
      <w:r>
        <w:t xml:space="preserve"> </w:t>
      </w:r>
      <w:r>
        <w:rPr>
          <w:b/>
          <w:bCs/>
        </w:rPr>
        <w:t xml:space="preserve">2021년 하이브리드 본딩 출원은 118건으로 급증하여 전년 대비 약 66%(YoY)의 성장률</w:t>
      </w:r>
      <w:r>
        <w:t xml:space="preserve">을 기록한 반면 HBM 관련 출원은 30건 내외로 정체되었다. 이는 기술 개발이 제품 상용화를 선행하는 양상으로, 하이브리드 본딩이 차세대 제품 구현의 필수 공정으로 자리잡았음을 시사한다. 미시 분석의 출원연도 추세([그림 2], 자료①)에서도 2010년 이전에는 활동이 미미하다가 2010년대 후반에 가파르게 상승해 2022년경 정점에 이르며, 2023–24년의 감소는 최근 출원의 공개 시차에 따른 인공물(artifact)로 해석된다.</w:t>
      </w:r>
    </w:p>
    <w:bookmarkEnd w:id="43"/>
    <w:bookmarkStart w:id="44" w:name="출원인과-출원국-분포"/>
    <w:p>
      <w:pPr>
        <w:pStyle w:val="Heading2"/>
      </w:pPr>
      <w:r>
        <w:t xml:space="preserve">4.2 출원인과 출원국 분포</w:t>
      </w:r>
    </w:p>
    <w:p>
      <w:pPr>
        <w:pStyle w:val="FirstParagraph"/>
      </w:pPr>
      <w:r>
        <w:t xml:space="preserve">상위 10개 기업이 전체 특허의</w:t>
      </w:r>
      <w:r>
        <w:t xml:space="preserve"> </w:t>
      </w:r>
      <w:r>
        <w:rPr>
          <w:b/>
          <w:bCs/>
        </w:rPr>
        <w:t xml:space="preserve">58.5%(585건)</w:t>
      </w:r>
      <w:r>
        <w:t xml:space="preserve"> </w:t>
      </w:r>
      <w:r>
        <w:t xml:space="preserve">를 보유하여 집중도가 높았다([그림 12], 자료②). 제조사 Intel·TSMC와 원천기술 라이선스 기업 Adeia가 상위를 차지했으며, IXYS(8건)·Raytheon(8건) 등 전력반도체·방산 기업의 출원은 기술이 반도체의 다양한 영역과 산업에 쓰이고 있음을 보여준다. 출원청 분포는 [표 4-1]과 같이 미국이 가장 많고 중국·PCT/WO가 뒤를 이었다.</w:t>
      </w:r>
    </w:p>
    <w:p>
      <w:pPr>
        <w:pStyle w:val="BodyText"/>
      </w:pPr>
      <w:r>
        <w:rPr>
          <w:b/>
          <w:bCs/>
        </w:rPr>
        <w:t xml:space="preserve">[표 4-1] 출원청별 출원 분포</w:t>
      </w:r>
      <w:r>
        <w:t xml:space="preserve"> </w:t>
      </w:r>
      <w:r>
        <w:t xml:space="preserve">(미시 분석 표본, 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출원청</w:t>
            </w:r>
          </w:p>
        </w:tc>
        <w:tc>
          <w:tcPr/>
          <w:p>
            <w:pPr>
              <w:pStyle w:val="Compact"/>
            </w:pPr>
            <w:r>
              <w:t xml:space="preserve">출원 수</w:t>
            </w:r>
          </w:p>
        </w:tc>
        <w:tc>
          <w:tcPr/>
          <w:p>
            <w:pPr>
              <w:pStyle w:val="Compact"/>
            </w:pPr>
            <w:r>
              <w:t xml:space="preserve">비중</w:t>
            </w:r>
          </w:p>
        </w:tc>
      </w:tr>
      <w:tr>
        <w:tc>
          <w:tcPr/>
          <w:p>
            <w:pPr>
              <w:pStyle w:val="Compact"/>
            </w:pPr>
            <w:r>
              <w:t xml:space="preserve">미국(US)</w:t>
            </w:r>
          </w:p>
        </w:tc>
        <w:tc>
          <w:tcPr/>
          <w:p>
            <w:pPr>
              <w:pStyle w:val="Compact"/>
            </w:pPr>
            <w:r>
              <w:t xml:space="preserve">382</w:t>
            </w:r>
          </w:p>
        </w:tc>
        <w:tc>
          <w:tcPr/>
          <w:p>
            <w:pPr>
              <w:pStyle w:val="Compact"/>
            </w:pPr>
            <w:r>
              <w:t xml:space="preserve">41.2%</w:t>
            </w:r>
          </w:p>
        </w:tc>
      </w:tr>
      <w:tr>
        <w:tc>
          <w:tcPr/>
          <w:p>
            <w:pPr>
              <w:pStyle w:val="Compact"/>
            </w:pPr>
            <w:r>
              <w:t xml:space="preserve">중국(CN)</w:t>
            </w:r>
          </w:p>
        </w:tc>
        <w:tc>
          <w:tcPr/>
          <w:p>
            <w:pPr>
              <w:pStyle w:val="Compact"/>
            </w:pPr>
            <w:r>
              <w:t xml:space="preserve">175</w:t>
            </w:r>
          </w:p>
        </w:tc>
        <w:tc>
          <w:tcPr/>
          <w:p>
            <w:pPr>
              <w:pStyle w:val="Compact"/>
            </w:pPr>
            <w:r>
              <w:t xml:space="preserve">18.9%</w:t>
            </w:r>
          </w:p>
        </w:tc>
      </w:tr>
      <w:tr>
        <w:tc>
          <w:tcPr/>
          <w:p>
            <w:pPr>
              <w:pStyle w:val="Compact"/>
            </w:pPr>
            <w:r>
              <w:t xml:space="preserve">PCT(WO)</w:t>
            </w:r>
          </w:p>
        </w:tc>
        <w:tc>
          <w:tcPr/>
          <w:p>
            <w:pPr>
              <w:pStyle w:val="Compact"/>
            </w:pPr>
            <w:r>
              <w:t xml:space="preserve">113</w:t>
            </w:r>
          </w:p>
        </w:tc>
        <w:tc>
          <w:tcPr/>
          <w:p>
            <w:pPr>
              <w:pStyle w:val="Compact"/>
            </w:pPr>
            <w:r>
              <w:t xml:space="preserve">12.2%</w:t>
            </w:r>
          </w:p>
        </w:tc>
      </w:tr>
      <w:tr>
        <w:tc>
          <w:tcPr/>
          <w:p>
            <w:pPr>
              <w:pStyle w:val="Compact"/>
            </w:pPr>
            <w:r>
              <w:t xml:space="preserve">EPO(EP)</w:t>
            </w:r>
          </w:p>
        </w:tc>
        <w:tc>
          <w:tcPr/>
          <w:p>
            <w:pPr>
              <w:pStyle w:val="Compact"/>
            </w:pPr>
            <w:r>
              <w:t xml:space="preserve">83</w:t>
            </w:r>
          </w:p>
        </w:tc>
        <w:tc>
          <w:tcPr/>
          <w:p>
            <w:pPr>
              <w:pStyle w:val="Compact"/>
            </w:pPr>
            <w:r>
              <w:t xml:space="preserve">8.9%</w:t>
            </w:r>
          </w:p>
        </w:tc>
      </w:tr>
      <w:tr>
        <w:tc>
          <w:tcPr/>
          <w:p>
            <w:pPr>
              <w:pStyle w:val="Compact"/>
            </w:pPr>
            <w:r>
              <w:t xml:space="preserve">대만(TW)</w:t>
            </w:r>
          </w:p>
        </w:tc>
        <w:tc>
          <w:tcPr/>
          <w:p>
            <w:pPr>
              <w:pStyle w:val="Compact"/>
            </w:pPr>
            <w:r>
              <w:t xml:space="preserve">75</w:t>
            </w:r>
          </w:p>
        </w:tc>
        <w:tc>
          <w:tcPr/>
          <w:p>
            <w:pPr>
              <w:pStyle w:val="Compact"/>
            </w:pPr>
            <w:r>
              <w:t xml:space="preserve">8.1%</w:t>
            </w:r>
          </w:p>
        </w:tc>
      </w:tr>
      <w:tr>
        <w:tc>
          <w:tcPr/>
          <w:p>
            <w:pPr>
              <w:pStyle w:val="Compact"/>
            </w:pPr>
            <w:r>
              <w:t xml:space="preserve">한국(KR)</w:t>
            </w:r>
          </w:p>
        </w:tc>
        <w:tc>
          <w:tcPr/>
          <w:p>
            <w:pPr>
              <w:pStyle w:val="Compact"/>
            </w:pPr>
            <w:r>
              <w:t xml:space="preserve">58</w:t>
            </w:r>
          </w:p>
        </w:tc>
        <w:tc>
          <w:tcPr/>
          <w:p>
            <w:pPr>
              <w:pStyle w:val="Compact"/>
            </w:pPr>
            <w:r>
              <w:t xml:space="preserve">6.3%</w:t>
            </w:r>
          </w:p>
        </w:tc>
      </w:tr>
      <w:tr>
        <w:tc>
          <w:tcPr/>
          <w:p>
            <w:pPr>
              <w:pStyle w:val="Compact"/>
            </w:pPr>
            <w:r>
              <w:t xml:space="preserve">일본(JP)</w:t>
            </w:r>
          </w:p>
        </w:tc>
        <w:tc>
          <w:tcPr/>
          <w:p>
            <w:pPr>
              <w:pStyle w:val="Compact"/>
            </w:pPr>
            <w:r>
              <w:t xml:space="preserve">26</w:t>
            </w:r>
          </w:p>
        </w:tc>
        <w:tc>
          <w:tcPr/>
          <w:p>
            <w:pPr>
              <w:pStyle w:val="Compact"/>
            </w:pPr>
            <w:r>
              <w:t xml:space="preserve">2.8%</w:t>
            </w:r>
          </w:p>
        </w:tc>
      </w:tr>
      <w:tr>
        <w:tc>
          <w:tcPr/>
          <w:p>
            <w:pPr>
              <w:pStyle w:val="Compact"/>
            </w:pPr>
            <w:r>
              <w:t xml:space="preserve">기타</w:t>
            </w:r>
          </w:p>
        </w:tc>
        <w:tc>
          <w:tcPr/>
          <w:p>
            <w:pPr>
              <w:pStyle w:val="Compact"/>
            </w:pPr>
            <w:r>
              <w:t xml:space="preserve">16</w:t>
            </w:r>
          </w:p>
        </w:tc>
        <w:tc>
          <w:tcPr/>
          <w:p>
            <w:pPr>
              <w:pStyle w:val="Compact"/>
            </w:pPr>
            <w:r>
              <w:t xml:space="preserve">1.7%</w:t>
            </w:r>
          </w:p>
        </w:tc>
      </w:tr>
    </w:tbl>
    <w:p>
      <w:pPr>
        <w:pStyle w:val="BodyText"/>
      </w:pPr>
      <w:r>
        <w:rPr>
          <w:i/>
          <w:iCs/>
        </w:rPr>
        <w:t xml:space="preserve">주: 비중은 928건 대비 백분율(반올림). 출원청은 출원인 국적이 아님(§3.2).</w:t>
      </w:r>
    </w:p>
    <w:bookmarkEnd w:id="44"/>
    <w:bookmarkStart w:id="45" w:name="시장확보지수pfs"/>
    <w:p>
      <w:pPr>
        <w:pStyle w:val="Heading2"/>
      </w:pPr>
      <w:r>
        <w:t xml:space="preserve">4.3 시장확보지수(PFS)</w:t>
      </w:r>
    </w:p>
    <w:p>
      <w:pPr>
        <w:pStyle w:val="FirstParagraph"/>
      </w:pPr>
      <w:r>
        <w:t xml:space="preserve">시장확보지수는 얼마나 많은, 그리고 주요한(삼국특허 등) 국가에 출원했는지를 지수화하여 특허가 겨냥하는 시장의 크기와 가치를 평가한다([그림 13], 자료②). 가장 높은 값은 개인 발명가</w:t>
      </w:r>
      <w:r>
        <w:t xml:space="preserve"> </w:t>
      </w:r>
      <w:r>
        <w:rPr>
          <w:b/>
          <w:bCs/>
        </w:rPr>
        <w:t xml:space="preserve">Tong Qin-Yi(19.17 / 95.5)</w:t>
      </w:r>
      <w:r>
        <w:t xml:space="preserve"> </w:t>
      </w:r>
      <w:r>
        <w:t xml:space="preserve">로 Adeia에 인수된 Ziptronix의 연구자이며, 그 다음이 하이브리드 본딩 원천기술을 보유한</w:t>
      </w:r>
      <w:r>
        <w:t xml:space="preserve"> </w:t>
      </w:r>
      <w:r>
        <w:rPr>
          <w:b/>
          <w:bCs/>
        </w:rPr>
        <w:t xml:space="preserve">Ziptronix(18.75 / 99.2)</w:t>
      </w:r>
      <w:r>
        <w:t xml:space="preserve"> </w:t>
      </w:r>
      <w:r>
        <w:t xml:space="preserve">였다.</w:t>
      </w:r>
      <w:r>
        <w:t xml:space="preserve"> </w:t>
      </w:r>
      <w:r>
        <w:rPr>
          <w:b/>
          <w:bCs/>
        </w:rPr>
        <w:t xml:space="preserve">YMTC(11.69 / 99.7)</w:t>
      </w:r>
      <w:r>
        <w:t xml:space="preserve"> </w:t>
      </w:r>
      <w:r>
        <w:t xml:space="preserve">는 사업 초기 Adeia의 원천기술을 라이선스로 확보해 독자적 X-Stacking(W2W) 낸드 기술을 개발한 업체로, 낸드 시장 1위 삼성이 자사 V10 낸드 적용을 위해 이들의 특허를 라이선싱한 사례가 보고된 바 있다. 제조사인 TSMC(5.25 / 92.6)·Samsung(2.61 / 45.1)·Micron(3.88 / 85.9)의 값이 크지 않은 것은 주요 시장에만 출원한 영향으로 보이며, 팹리스 Qualcomm(1.26 / 0)의 매우 낮은 값은 공정기술인 하이브리드 본딩을 제조사에 의존하는 경향을 반영한다.</w:t>
      </w:r>
    </w:p>
    <w:bookmarkEnd w:id="45"/>
    <w:bookmarkStart w:id="46" w:name="기술집중도rta와-기업별-전략"/>
    <w:p>
      <w:pPr>
        <w:pStyle w:val="Heading2"/>
      </w:pPr>
      <w:r>
        <w:t xml:space="preserve">4.4 기술집중도(RTA)와 기업별 전략</w:t>
      </w:r>
    </w:p>
    <w:p>
      <w:pPr>
        <w:pStyle w:val="FirstParagraph"/>
      </w:pPr>
      <w:r>
        <w:t xml:space="preserve">기술집중도(RTA Index)는 기업 내 해당 기술 비중을 시장 전체 비중으로 나눈 값으로 특화도를 나타내며, 업태별로 뚜렷한 차이를 보였다([표 5], 자료②).</w:t>
      </w:r>
    </w:p>
    <w:p>
      <w:pPr>
        <w:pStyle w:val="Compact"/>
        <w:numPr>
          <w:ilvl w:val="0"/>
          <w:numId w:val="1004"/>
        </w:numPr>
      </w:pPr>
      <w:r>
        <w:rPr>
          <w:b/>
          <w:bCs/>
        </w:rPr>
        <w:t xml:space="preserve">IP(Adeia):</w:t>
      </w:r>
      <w:r>
        <w:t xml:space="preserve"> </w:t>
      </w:r>
      <w:r>
        <w:t xml:space="preserve">상위 CPC가 전도층 접착·재배선층(RDL) 배치·웨이퍼 식각(TSV) 등 원천 접합 기술에 집중되어, TSV가 하이브리드 본딩의 필수 동행공정임을 보여준다.</w:t>
      </w:r>
    </w:p>
    <w:p>
      <w:pPr>
        <w:pStyle w:val="Compact"/>
        <w:numPr>
          <w:ilvl w:val="0"/>
          <w:numId w:val="1004"/>
        </w:numPr>
      </w:pPr>
      <w:r>
        <w:rPr>
          <w:b/>
          <w:bCs/>
        </w:rPr>
        <w:t xml:space="preserve">장비:</w:t>
      </w:r>
      <w:r>
        <w:t xml:space="preserve"> </w:t>
      </w:r>
      <w:r>
        <w:t xml:space="preserve">Tokyo Electron은 반도체(H01L)가 아닌 계측·검사(G01N) 코드가 질적으로 최상위(75.76)로 정렬(alignment) 난제에 집중하는 반면, Applied Materials는 건조(F26B)·물류(H01L21/677·21/687) 코드가 상위로 표면처리와 클러스터 툴에 강점을 둔다(2025년 Kinex™ 통합 본딩 플랫폼 출시).</w:t>
      </w:r>
    </w:p>
    <w:p>
      <w:pPr>
        <w:pStyle w:val="Compact"/>
        <w:numPr>
          <w:ilvl w:val="0"/>
          <w:numId w:val="1004"/>
        </w:numPr>
      </w:pPr>
      <w:r>
        <w:rPr>
          <w:b/>
          <w:bCs/>
        </w:rPr>
        <w:t xml:space="preserve">제조:</w:t>
      </w:r>
      <w:r>
        <w:t xml:space="preserve"> </w:t>
      </w:r>
      <w:r>
        <w:t xml:space="preserve">TSMC는 인터커넥트·비아필링(구리도금)·다마신·절연막 형성(CMP) 등 전공정 핵심기술에 집중(36.76)하여 하이브리드 본딩이 전공정 영역에 근접함을 보여주며, 이는 SoIC 공정의 특성이다. Samsung은 적층 구조와 특수 절연 소재, YMTC는 수직채널·주변회로 경계 공정(X-Stacking)에 집중하여 같은 메모리라도 방향성이 갈린다. Intel은 광학(G02B) 코드가 다수 나타나 실리콘 포토닉스(CPO)로의 응용을, Huawei는 PCB(H05K1/18)·전력모듈(H01L25/105) 코드로 전력반도체 영역의 활용을 드러낸다.</w:t>
      </w:r>
    </w:p>
    <w:p>
      <w:pPr>
        <w:pStyle w:val="FirstParagraph"/>
      </w:pPr>
      <w:r>
        <w:t xml:space="preserve">기업별 상위 CPC 코드를 정리하면 [표 4-2]와 같으며, 같은 기술 영역 안에서도 주체별 전략이 코드 수준에서 분기함을 보여준다.</w:t>
      </w:r>
    </w:p>
    <w:p>
      <w:pPr>
        <w:pStyle w:val="BodyText"/>
      </w:pPr>
      <w:r>
        <w:rPr>
          <w:b/>
          <w:bCs/>
        </w:rPr>
        <w:t xml:space="preserve">[표 4-2] 주요 주체별 상위 CPC 집중 영역</w:t>
      </w:r>
      <w:r>
        <w:t xml:space="preserve"> </w:t>
      </w:r>
      <w:r>
        <w:t xml:space="preserve">(자료②)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주체(업태)</w:t>
            </w:r>
          </w:p>
        </w:tc>
        <w:tc>
          <w:tcPr/>
          <w:p>
            <w:pPr>
              <w:pStyle w:val="Compact"/>
            </w:pPr>
            <w:r>
              <w:t xml:space="preserve">상위 CPC(예시)</w:t>
            </w:r>
          </w:p>
        </w:tc>
        <w:tc>
          <w:tcPr/>
          <w:p>
            <w:pPr>
              <w:pStyle w:val="Compact"/>
            </w:pPr>
            <w:r>
              <w:t xml:space="preserve">함의</w:t>
            </w:r>
          </w:p>
        </w:tc>
      </w:tr>
      <w:tr>
        <w:tc>
          <w:tcPr/>
          <w:p>
            <w:pPr>
              <w:pStyle w:val="Compact"/>
            </w:pPr>
            <w:r>
              <w:t xml:space="preserve">Adeia(IP)</w:t>
            </w:r>
          </w:p>
        </w:tc>
        <w:tc>
          <w:tcPr/>
          <w:p>
            <w:pPr>
              <w:pStyle w:val="Compact"/>
            </w:pPr>
            <w:r>
              <w:t xml:space="preserve">H01L2224/80003, /0237, /0233, B81C1/00047</w:t>
            </w:r>
          </w:p>
        </w:tc>
        <w:tc>
          <w:tcPr/>
          <w:p>
            <w:pPr>
              <w:pStyle w:val="Compact"/>
            </w:pPr>
            <w:r>
              <w:t xml:space="preserve">전도층 접착·RDL·웨이퍼 식각(TSV) 등 원천 접합</w:t>
            </w:r>
          </w:p>
        </w:tc>
      </w:tr>
      <w:tr>
        <w:tc>
          <w:tcPr/>
          <w:p>
            <w:pPr>
              <w:pStyle w:val="Compact"/>
            </w:pPr>
            <w:r>
              <w:t xml:space="preserve">TSMC(제조)</w:t>
            </w:r>
          </w:p>
        </w:tc>
        <w:tc>
          <w:tcPr/>
          <w:p>
            <w:pPr>
              <w:pStyle w:val="Compact"/>
            </w:pPr>
            <w:r>
              <w:t xml:space="preserve">H01L2224/215, H01L21/76883, /76871, /0214</w:t>
            </w:r>
          </w:p>
        </w:tc>
        <w:tc>
          <w:tcPr/>
          <w:p>
            <w:pPr>
              <w:pStyle w:val="Compact"/>
            </w:pPr>
            <w:r>
              <w:t xml:space="preserve">인터커넥트·비아필링·다마신·절연막(CMP) = 전공정 내재화</w:t>
            </w:r>
          </w:p>
        </w:tc>
      </w:tr>
      <w:tr>
        <w:tc>
          <w:tcPr/>
          <w:p>
            <w:pPr>
              <w:pStyle w:val="Compact"/>
            </w:pPr>
            <w:r>
              <w:t xml:space="preserve">Samsung(제조)</w:t>
            </w:r>
          </w:p>
        </w:tc>
        <w:tc>
          <w:tcPr/>
          <w:p>
            <w:pPr>
              <w:pStyle w:val="Compact"/>
            </w:pPr>
            <w:r>
              <w:t xml:space="preserve">H01L2924/2075, /01021, H01L2225/06579, H01L23/12</w:t>
            </w:r>
          </w:p>
        </w:tc>
        <w:tc>
          <w:tcPr/>
          <w:p>
            <w:pPr>
              <w:pStyle w:val="Compact"/>
            </w:pPr>
            <w:r>
              <w:t xml:space="preserve">적층 구조·특수 절연 소재</w:t>
            </w:r>
          </w:p>
        </w:tc>
      </w:tr>
      <w:tr>
        <w:tc>
          <w:tcPr/>
          <w:p>
            <w:pPr>
              <w:pStyle w:val="Compact"/>
            </w:pPr>
            <w:r>
              <w:t xml:space="preserve">YMTC(제조)</w:t>
            </w:r>
          </w:p>
        </w:tc>
        <w:tc>
          <w:tcPr/>
          <w:p>
            <w:pPr>
              <w:pStyle w:val="Compact"/>
            </w:pPr>
            <w:r>
              <w:t xml:space="preserve">H01L2224/822, H01L21/76841, H10B41/50, /27</w:t>
            </w:r>
          </w:p>
        </w:tc>
        <w:tc>
          <w:tcPr/>
          <w:p>
            <w:pPr>
              <w:pStyle w:val="Compact"/>
            </w:pPr>
            <w:r>
              <w:t xml:space="preserve">수직채널·주변회로 경계(X-Stacking)</w:t>
            </w:r>
          </w:p>
        </w:tc>
      </w:tr>
      <w:tr>
        <w:tc>
          <w:tcPr/>
          <w:p>
            <w:pPr>
              <w:pStyle w:val="Compact"/>
            </w:pPr>
            <w:r>
              <w:t xml:space="preserve">Tokyo Electron(장비)</w:t>
            </w:r>
          </w:p>
        </w:tc>
        <w:tc>
          <w:tcPr/>
          <w:p>
            <w:pPr>
              <w:pStyle w:val="Compact"/>
            </w:pPr>
            <w:r>
              <w:t xml:space="preserve">G01N(계측·검사) 최상위(75.76)</w:t>
            </w:r>
          </w:p>
        </w:tc>
        <w:tc>
          <w:tcPr/>
          <w:p>
            <w:pPr>
              <w:pStyle w:val="Compact"/>
            </w:pPr>
            <w:r>
              <w:t xml:space="preserve">정렬(alignment) 난제 집중</w:t>
            </w:r>
          </w:p>
        </w:tc>
      </w:tr>
      <w:tr>
        <w:tc>
          <w:tcPr/>
          <w:p>
            <w:pPr>
              <w:pStyle w:val="Compact"/>
            </w:pPr>
            <w:r>
              <w:t xml:space="preserve">Applied Materials(장비)</w:t>
            </w:r>
          </w:p>
        </w:tc>
        <w:tc>
          <w:tcPr/>
          <w:p>
            <w:pPr>
              <w:pStyle w:val="Compact"/>
            </w:pPr>
            <w:r>
              <w:t xml:space="preserve">F26B(건조), H01L21/677·/687(물류)</w:t>
            </w:r>
          </w:p>
        </w:tc>
        <w:tc>
          <w:tcPr/>
          <w:p>
            <w:pPr>
              <w:pStyle w:val="Compact"/>
            </w:pPr>
            <w:r>
              <w:t xml:space="preserve">표면처리·클러스터 툴</w:t>
            </w:r>
          </w:p>
        </w:tc>
      </w:tr>
      <w:tr>
        <w:tc>
          <w:tcPr/>
          <w:p>
            <w:pPr>
              <w:pStyle w:val="Compact"/>
            </w:pPr>
            <w:r>
              <w:t xml:space="preserve">Intel(제조)</w:t>
            </w:r>
          </w:p>
        </w:tc>
        <w:tc>
          <w:tcPr/>
          <w:p>
            <w:pPr>
              <w:pStyle w:val="Compact"/>
            </w:pPr>
            <w:r>
              <w:t xml:space="preserve">G02B(광학) 다수</w:t>
            </w:r>
          </w:p>
        </w:tc>
        <w:tc>
          <w:tcPr/>
          <w:p>
            <w:pPr>
              <w:pStyle w:val="Compact"/>
            </w:pPr>
            <w:r>
              <w:t xml:space="preserve">실리콘 포토닉스(CPO) 응용</w:t>
            </w:r>
          </w:p>
        </w:tc>
      </w:tr>
      <w:tr>
        <w:tc>
          <w:tcPr/>
          <w:p>
            <w:pPr>
              <w:pStyle w:val="Compact"/>
            </w:pPr>
            <w:r>
              <w:t xml:space="preserve">Huawei</w:t>
            </w:r>
          </w:p>
        </w:tc>
        <w:tc>
          <w:tcPr/>
          <w:p>
            <w:pPr>
              <w:pStyle w:val="Compact"/>
            </w:pPr>
            <w:r>
              <w:t xml:space="preserve">H05K1/18(PCB), H01L25/105(전력모듈)</w:t>
            </w:r>
          </w:p>
        </w:tc>
        <w:tc>
          <w:tcPr/>
          <w:p>
            <w:pPr>
              <w:pStyle w:val="Compact"/>
            </w:pPr>
            <w:r>
              <w:t xml:space="preserve">전력반도체 활용</w:t>
            </w:r>
          </w:p>
        </w:tc>
      </w:tr>
    </w:tbl>
    <w:bookmarkEnd w:id="46"/>
    <w:bookmarkStart w:id="47" w:name="기술-클러스터와-네트워크"/>
    <w:p>
      <w:pPr>
        <w:pStyle w:val="Heading2"/>
      </w:pPr>
      <w:r>
        <w:t xml:space="preserve">4.5 기술 클러스터와 네트워크</w:t>
      </w:r>
    </w:p>
    <w:p>
      <w:pPr>
        <w:pStyle w:val="FirstParagraph"/>
      </w:pPr>
      <w:r>
        <w:t xml:space="preserve">전체 51개 CPC 코드 중 특허 200건 이상인 상위 11개 클러스터를 분석한 결과([표 6], 자료②), 하이브리드 본딩은</w:t>
      </w:r>
      <w:r>
        <w:t xml:space="preserve"> </w:t>
      </w:r>
      <w:r>
        <w:t xml:space="preserve">“본딩 영역(H01L24/05)의 재료를 표면처리(H01L2224/80895)하여 특정 조건(H01L2224/80896)에서 직접 접합(H01L24/08)함으로써 금속과 절연막이 동시에 붙는(H01L2224/08145) 수직 적층 구조(H01L25/50)를 만드는 기술”</w:t>
      </w:r>
      <w:r>
        <w:t xml:space="preserve">로 요약된다. 특히 H01L2224/08145는</w:t>
      </w:r>
      <w:r>
        <w:t xml:space="preserve"> </w:t>
      </w:r>
      <w:r>
        <w:rPr>
          <w:i/>
          <w:iCs/>
        </w:rPr>
        <w:t xml:space="preserve">“금속-금속 및 유전체-유전체 접합의 조합을 포괄하는 직접 접합”</w:t>
      </w:r>
      <w:r>
        <w:t xml:space="preserve"> </w:t>
      </w:r>
      <w:r>
        <w:t xml:space="preserve">으로 정의되어 기술의 정체성을 드러낸다. 여기서 H01L24는 본딩·인터커넥트 공정을, H01L25는 그 결과로 형성되는 칩 집적·어셈블리 구조를 가리키는 별개 분류로, 본 연구의 미시 분석은 전공정 H01L21 대 후공정 본딩 H01L24의 대비에 초점을 둔다.</w:t>
      </w:r>
    </w:p>
    <w:p>
      <w:pPr>
        <w:pStyle w:val="BodyText"/>
      </w:pPr>
      <w:r>
        <w:t xml:space="preserve">기술 네트워크 분석에서는 표면처리–접합, 전도체–유전체, 진공 상태 등 기술 쌍이 높은 연결 강도를 보여, 이들이 하이브리드 본딩 구현의 필수 결합 요소임이 확인되었다([표 7], 자료②). 이는 하이브리드 본딩이 단일 기술이 아니라 여러 공정의 조합으로 완성되는 복합 기술임을 방증한다.</w:t>
      </w:r>
    </w:p>
    <w:bookmarkEnd w:id="47"/>
    <w:bookmarkStart w:id="48" w:name="인용-기반-질적-지표"/>
    <w:p>
      <w:pPr>
        <w:pStyle w:val="Heading2"/>
      </w:pPr>
      <w:r>
        <w:t xml:space="preserve">4.6 인용 기반 질적 지표</w:t>
      </w:r>
    </w:p>
    <w:p>
      <w:pPr>
        <w:pStyle w:val="FirstParagraph"/>
      </w:pPr>
      <w:r>
        <w:rPr>
          <w:b/>
          <w:bCs/>
        </w:rPr>
        <w:t xml:space="preserve">과학연계성(SLI).</w:t>
      </w:r>
      <w:r>
        <w:t xml:space="preserve"> </w:t>
      </w:r>
      <w:r>
        <w:t xml:space="preserve">Adeia 계열(Invensas 27.79, Ziptronix 11.08, Adeia 10.49, 핵심 발명가 Tong Qin-Yi 7.91·논문인용특허비율 96.6%)이 압도적으로 높아 기술의 이론적 토대를 닦았음을 보여준다([그림 13], 자료②). 중국 YMTC(48.5%)·Huawei(68.4%)도 높은 비율로 기초과학 기반의 기술 자립을 시도하는 반면, TSMC(0.79)·Intel(0.33)·Micron(0.03)·Applied Materials(0.08)는 낮아 현장 엔지니어링 중심임을 드러낸다.</w:t>
      </w:r>
    </w:p>
    <w:p>
      <w:pPr>
        <w:pStyle w:val="BodyText"/>
      </w:pPr>
      <w:r>
        <w:rPr>
          <w:b/>
          <w:bCs/>
        </w:rPr>
        <w:t xml:space="preserve">인용영향력(CII).</w:t>
      </w:r>
      <w:r>
        <w:t xml:space="preserve"> </w:t>
      </w:r>
      <w:r>
        <w:t xml:space="preserve">Tong Qin-Yi(평균 281.42회 / 무인용률 0%)와 Ziptronix(272.5회 / 0%)는 특허당 약 270–280회 인용되고 모든 특허가 인용되어, 원천 특허망 회피가 매우 어려움을 보여준다([그림 14], 자료②). TSMC(71.12 / 3.6%)는 제조기술 선두를, YMTC(49.18 / 0%, 26건 전부 인용)는 핵심성을 입증한다. 반면 Intel(4.6회 / 22.8%, 144건 보유)은 최다 특허에도 영향력이 낮고, Samsung(24.75회 / 37.3%, 11건)도 무인용 비율이 높아 질적 경쟁력 제고가 시급함을 시사한다. 대표 인용특허들의 제목에서 TSV가 하이브리드 본딩의 필수 동행공정임이 재확인되며, 상온 접합이라는 기술적 특성(고온 솔더링 대비 휘어짐·정렬 문제 차단)이 부각된다([표 8]).</w:t>
      </w:r>
    </w:p>
    <w:p>
      <w:pPr>
        <w:pStyle w:val="BodyText"/>
      </w:pPr>
      <w:r>
        <w:rPr>
          <w:b/>
          <w:bCs/>
        </w:rPr>
        <w:t xml:space="preserve">특허인용 감쇠.</w:t>
      </w:r>
      <w:r>
        <w:t xml:space="preserve"> </w:t>
      </w:r>
      <w:r>
        <w:t xml:space="preserve">174개 출원인·1,546개 라인을 분석한 결과(자료②), Adeia(53.7%)·Huawei(36.4%)의 출원시점 피인용이 비정상적으로 높아 자기인용(self-citation) 가능성을 시사한다. Ziptronix 특허는 8년차에 피크(1,878건) 후 지속 인용되어 개발–양산 간 시차를 보이고, YMTC는 인용 피크가 2년차로 매우 빨라 X-Stacking이 선도기술이자 즉각적 위협임을 보여준다([그림 15], [표 9]).</w:t>
      </w:r>
    </w:p>
    <w:bookmarkEnd w:id="48"/>
    <w:bookmarkStart w:id="49" w:name="기업관할권-전략-분화-소결"/>
    <w:p>
      <w:pPr>
        <w:pStyle w:val="Heading2"/>
      </w:pPr>
      <w:r>
        <w:t xml:space="preserve">4.7 기업·관할권 전략 분화 (소결)</w:t>
      </w:r>
    </w:p>
    <w:p>
      <w:pPr>
        <w:pStyle w:val="FirstParagraph"/>
      </w:pPr>
      <w:r>
        <w:t xml:space="preserve">거시 분석은 세 가지 전략 유형을 드러낸다. ①</w:t>
      </w:r>
      <w:r>
        <w:t xml:space="preserve"> </w:t>
      </w:r>
      <w:r>
        <w:rPr>
          <w:b/>
          <w:bCs/>
        </w:rPr>
        <w:t xml:space="preserve">IP 기업(Adeia 계열)</w:t>
      </w:r>
      <w:r>
        <w:t xml:space="preserve"> </w:t>
      </w:r>
      <w:r>
        <w:t xml:space="preserve">— 상온 접합·표면처리 원천 특허로 높은 SLI·CII·PFS를 확보해 진입장벽 구축. ②</w:t>
      </w:r>
      <w:r>
        <w:t xml:space="preserve"> </w:t>
      </w:r>
      <w:r>
        <w:rPr>
          <w:b/>
          <w:bCs/>
        </w:rPr>
        <w:t xml:space="preserve">선도 제조사(TSMC)</w:t>
      </w:r>
      <w:r>
        <w:t xml:space="preserve"> </w:t>
      </w:r>
      <w:r>
        <w:t xml:space="preserve">— CMP·다마신 등 전공정 기술을 내재화한 SoIC로 파운드리 경쟁력 강화. ③</w:t>
      </w:r>
      <w:r>
        <w:t xml:space="preserve"> </w:t>
      </w:r>
      <w:r>
        <w:rPr>
          <w:b/>
          <w:bCs/>
        </w:rPr>
        <w:t xml:space="preserve">추격자(YMTC 등 중국)</w:t>
      </w:r>
      <w:r>
        <w:t xml:space="preserve"> </w:t>
      </w:r>
      <w:r>
        <w:t xml:space="preserve">— 높은 과학연계성과 빠른 인용 피크로 독자 기술(X-Stacking) 확보. 반면 Samsung·Intel은 다수 특허에도 인용 영향력에서 열위를 보여, 양적 팽창을 넘어선 질적 고도화가 과제로 제기된다. 이 전략 분화는 제5장의 관할권별 계량 결과와 제6장에서 종합된다.</w:t>
      </w:r>
    </w:p>
    <w:bookmarkEnd w:id="49"/>
    <w:bookmarkStart w:id="54" w:name="기업-사례-심층-분석"/>
    <w:p>
      <w:pPr>
        <w:pStyle w:val="Heading2"/>
      </w:pPr>
      <w:r>
        <w:t xml:space="preserve">4.8 기업 사례 심층 분석</w:t>
      </w:r>
    </w:p>
    <w:p>
      <w:pPr>
        <w:pStyle w:val="FirstParagraph"/>
      </w:pPr>
      <w:r>
        <w:t xml:space="preserve">앞의 지표들을 기업 단위로 엮으면, 하이브리드 본딩 생태계의 경쟁 구도가 네 가지 전형적 사례로 구체화된다.</w:t>
      </w:r>
    </w:p>
    <w:bookmarkStart w:id="50" w:name="adeia-계열-ip-기반-진입장벽"/>
    <w:p>
      <w:pPr>
        <w:pStyle w:val="Heading3"/>
      </w:pPr>
      <w:r>
        <w:t xml:space="preserve">4.8.1 Adeia 계열 — IP 기반 진입장벽</w:t>
      </w:r>
    </w:p>
    <w:p>
      <w:pPr>
        <w:pStyle w:val="FirstParagraph"/>
      </w:pPr>
      <w:r>
        <w:t xml:space="preserve">Adeia(전신 Tessera→Xperi, 자회사 Invensas)는 2015년 Ziptronix 인수를 통해 상온 직접접합 원천기술을 확보하였다. 핵심 발명가 Tong Qin-Yi와 Ziptronix는 시장확보지수(19.17/95.5, 18.75/99.2), 과학연계성(Invensas 27.79), 인용영향력(각 281.42, 272.5, 무인용률 0%)에서 모두 최상위를 기록한다(자료②). 이는 하이브리드 본딩을 구현하려는 어떤 기업도 이들의 원천 특허망을 회피하기 어려움을 의미한다. 특히 동일 제목의 특허를 3년 시차로 재출원해 권리 범위를 넓힌 개량 특허 전략은, 원천 IP의 수명을 연장하고 라이선싱 가치를 지속시키려는 비즈니스 모델을 보여준다. 다만 출원시점 피인용이 비정상적으로 높은 점(Adeia 53.7%)은 자기인용(self-citation)에 의한 지표 부풀림 가능성을 시사하므로, 인용 기반 평가 시 주의가 필요하다.</w:t>
      </w:r>
    </w:p>
    <w:bookmarkEnd w:id="50"/>
    <w:bookmarkStart w:id="51" w:name="tsmc-전공정-내재화와-lock-in"/>
    <w:p>
      <w:pPr>
        <w:pStyle w:val="Heading3"/>
      </w:pPr>
      <w:r>
        <w:t xml:space="preserve">4.8.2 TSMC — 전공정 내재화와 Lock-in</w:t>
      </w:r>
    </w:p>
    <w:p>
      <w:pPr>
        <w:pStyle w:val="FirstParagraph"/>
      </w:pPr>
      <w:r>
        <w:t xml:space="preserve">TSMC의 상위 CPC(인터커넥트, 비아필링·구리도금, 다마신, 절연막 형성/CMP)는 하이브리드 본딩이 후공정이 아니라</w:t>
      </w:r>
      <w:r>
        <w:t xml:space="preserve"> </w:t>
      </w:r>
      <w:r>
        <w:rPr>
          <w:b/>
          <w:bCs/>
        </w:rPr>
        <w:t xml:space="preserve">전공정의 영역</w:t>
      </w:r>
      <w:r>
        <w:t xml:space="preserve">에 근접함을 보여주며, 이는 CoWoS·SoIC라는 독자 패키징 플랫폼의 기술적 기반이다. 팹리스 고객은 설계 단계부터 TSMC의 공정 규격(design rule)에 맞춰야 하므로 기술적 종속(lock-in)이 형성되고, 이는 단순 조립·테스트에 의존하던 전통 OSAT에 위협으로 작용한다. TSMC의 높은 인용영향력(CII 71.12)은 제조기술 선두를 입증하나, 낮은 과학연계성(SLI 0.79)은 그 강점이 기초과학보다 현장 엔지니어링에 있음을 드러낸다.</w:t>
      </w:r>
    </w:p>
    <w:bookmarkEnd w:id="51"/>
    <w:bookmarkStart w:id="52" w:name="ymtc-라이선스에서-자립으로"/>
    <w:p>
      <w:pPr>
        <w:pStyle w:val="Heading3"/>
      </w:pPr>
      <w:r>
        <w:t xml:space="preserve">4.8.3 YMTC — 라이선스에서 자립으로</w:t>
      </w:r>
    </w:p>
    <w:p>
      <w:pPr>
        <w:pStyle w:val="FirstParagraph"/>
      </w:pPr>
      <w:r>
        <w:t xml:space="preserve">YMTC는 사업 초기 Adeia의 원천기술을 라이선스로 확보한 뒤, 메모리 셀과 주변회로를 따로 제작해 접합하는 독자적 X-Stacking(W2W) 기술로 발전시켰다. 높은 과학연계성(48.5%)과 매우 빠른 인용 피크(2년차)는 X-Stacking이 선도기술이자 경쟁사에 즉각적 위협임을 보여주며, 26건 전부가 인용되는 0% 무인용률(CII 49.18)은 그 핵심성을 방증한다. 낸드 시장 1위 삼성이 자사 V10 낸드 적용을 위해 YMTC의 특허를 라이선싱한 사례는, 추격자가 일부 영역에서 선도자를 역전하는 기술 추월의 상징적 장면이다. 이는 중국이 응용기술을 넘어 기초과학 기반의 기술 자립으로 이행하고 있음을 시사한다.</w:t>
      </w:r>
    </w:p>
    <w:bookmarkEnd w:id="52"/>
    <w:bookmarkStart w:id="53" w:name="samsungintel-양적-우위와-질적-과제"/>
    <w:p>
      <w:pPr>
        <w:pStyle w:val="Heading3"/>
      </w:pPr>
      <w:r>
        <w:t xml:space="preserve">4.8.4 Samsung·Intel — 양적 우위와 질적 과제</w:t>
      </w:r>
    </w:p>
    <w:p>
      <w:pPr>
        <w:pStyle w:val="FirstParagraph"/>
      </w:pPr>
      <w:r>
        <w:t xml:space="preserve">Intel은 가장 많은 특허(144건)를 보유하지만 평균 인용은 4.6회·무인용률 22.8%로 영향력이 낮으며, 다수의 광학(G02B) 코드는 데이터센터 병목 해소를 위한 실리콘 포토닉스(CPO)로의 전략적 전환을 보여준다. Samsung은 적층 구조·절연 소재에 기술이 집중되어 있으나 인용영향력(24.75)이 Ziptronix(272.5)·TSMC(71.12)에 크게 못 미치고 무인용 비율(37.3%)이 높아, 양적 확대를 넘어선 질적 고도화가 시급하다. 한편 장비 영역에서 Tokyo Electron은 계측·검사(G01N)로 정렬(alignment) 난제에, Applied Materials는 표면처리·클러스터 툴(2025년 Kinex™ 통합 플랫폼)에 집중하여, 소부장 생태계 또한 기업별로 차별화된 강점을 형성하고 있다.</w:t>
      </w:r>
    </w:p>
    <w:p>
      <w:r>
        <w:pict>
          <v:rect style="width:0;height:1.5pt" o:hralign="center" o:hrstd="t" o:hr="t"/>
        </w:pict>
      </w:r>
    </w:p>
    <w:bookmarkEnd w:id="53"/>
    <w:bookmarkEnd w:id="54"/>
    <w:bookmarkEnd w:id="55"/>
    <w:bookmarkStart w:id="60" w:name="제5장-미시-분석-특허-수준-결정요인-rq2rq3"/>
    <w:p>
      <w:pPr>
        <w:pStyle w:val="Heading1"/>
      </w:pPr>
      <w:r>
        <w:t xml:space="preserve">제5장 미시 분석: 특허 수준 결정요인 (RQ2·RQ3)</w:t>
      </w:r>
    </w:p>
    <w:p>
      <w:pPr>
        <w:pStyle w:val="BlockText"/>
      </w:pPr>
      <w:r>
        <w:t xml:space="preserve">본 장의 추정치는 모두</w:t>
      </w:r>
      <w:r>
        <w:t xml:space="preserve"> </w:t>
      </w:r>
      <w:r>
        <w:rPr>
          <w:b/>
          <w:bCs/>
        </w:rPr>
        <w:t xml:space="preserve">연관(association)</w:t>
      </w:r>
      <w:r>
        <w:t xml:space="preserve"> </w:t>
      </w:r>
      <w:r>
        <w:t xml:space="preserve">으로 해석하며, 인과효과로 읽지 않는다(제7.3절 한계 참조).</w:t>
      </w:r>
      <w:r>
        <w:t xml:space="preserve"> </w:t>
      </w:r>
      <w:r>
        <w:t xml:space="preserve">“결정요인”</w:t>
      </w:r>
      <w:r>
        <w:t xml:space="preserve">은 통계적 관련성을 가리키는 관례적 표현이다.</w:t>
      </w:r>
    </w:p>
    <w:bookmarkStart w:id="56" w:name="기술범위breadth의-결정요인"/>
    <w:p>
      <w:pPr>
        <w:pStyle w:val="Heading2"/>
      </w:pPr>
      <w:r>
        <w:t xml:space="preserve">5.1 기술범위(breadth)의 결정요인</w:t>
      </w:r>
    </w:p>
    <w:p>
      <w:pPr>
        <w:pStyle w:val="FirstParagraph"/>
      </w:pPr>
      <w:r>
        <w:t xml:space="preserve">기술범위를 출원연도 추세와 출원청 더미(기준=미국)에 회귀한 결과는 [표 5-1]과 같다. OLS에서 출원연도 계수는 양(+)으로 유의했으나(0.070, p&lt;0.01) 설명력은 낮았다(R²=0.033). 더 중요한 것은 잔차 진단이다. Breusch–Pagan 검정이 등분산 가정을 기각하고(p&lt;0.001), 잔차–적합값 플롯([그림 3])이 카운트 과정 특유의 줄무늬·깔때기 형태—적합값이 커질수록 분산이 증가하고 잔차가 아래로 유계인 패턴—를 보였다. 로버스트 표준오차로도 결과가 거의 변하지 않아, 문제는 오차 구조가 아니라</w:t>
      </w:r>
      <w:r>
        <w:t xml:space="preserve"> </w:t>
      </w:r>
      <w:r>
        <w:rPr>
          <w:b/>
          <w:bCs/>
        </w:rPr>
        <w:t xml:space="preserve">함수 형태</w:t>
      </w:r>
      <w:r>
        <w:t xml:space="preserve">임이 드러났다.</w:t>
      </w:r>
    </w:p>
    <w:p>
      <w:pPr>
        <w:pStyle w:val="BodyText"/>
      </w:pPr>
      <w:r>
        <w:t xml:space="preserve">이에 Poisson을 거쳐 음이항으로 이행하였다. 음이항의 과산포 모수가 크고 정밀하게 추정되었으며(ln-alpha=−1.316, alpha≈0.27), Poisson 대비 우도비 검정이 결정적이었고 AIC가 5,477(Poisson)에서</w:t>
      </w:r>
      <w:r>
        <w:t xml:space="preserve"> </w:t>
      </w:r>
      <w:r>
        <w:rPr>
          <w:b/>
          <w:bCs/>
        </w:rPr>
        <w:t xml:space="preserve">4,883(음이항)</w:t>
      </w:r>
      <w:r>
        <w:t xml:space="preserve"> </w:t>
      </w:r>
      <w:r>
        <w:t xml:space="preserve">으로 감소하여 음이항을 작업 모형으로 채택하였다. 기술범위 최솟값이 1이어서 영(0) 관측이 없으므로 ZINB가 아닌 표준 음이항이 적정하다.</w:t>
      </w:r>
    </w:p>
    <w:p>
      <w:pPr>
        <w:pStyle w:val="BodyText"/>
      </w:pPr>
      <w:r>
        <w:rPr>
          <w:b/>
          <w:bCs/>
        </w:rPr>
        <w:t xml:space="preserve">[표 5-1] 기술범위(breadth)의 결정요인</w:t>
      </w:r>
      <w:r>
        <w:t xml:space="preserve"> </w:t>
      </w:r>
      <w:r>
        <w:t xml:space="preserve">(미국 출원청=기준; 괄호 안 표준오차; * p&lt;0.10, ** p&lt;0.05, *** p&lt;0.01)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변수</w:t>
            </w:r>
          </w:p>
        </w:tc>
        <w:tc>
          <w:tcPr/>
          <w:p>
            <w:pPr>
              <w:pStyle w:val="Compact"/>
            </w:pPr>
            <w:r>
              <w:t xml:space="preserve">OLS</w:t>
            </w:r>
          </w:p>
        </w:tc>
        <w:tc>
          <w:tcPr/>
          <w:p>
            <w:pPr>
              <w:pStyle w:val="Compact"/>
            </w:pPr>
            <w:r>
              <w:t xml:space="preserve">Poisson</w:t>
            </w:r>
          </w:p>
        </w:tc>
        <w:tc>
          <w:tcPr/>
          <w:p>
            <w:pPr>
              <w:pStyle w:val="Compact"/>
            </w:pPr>
            <w:r>
              <w:t xml:space="preserve">음이항(NB)</w:t>
            </w:r>
          </w:p>
        </w:tc>
      </w:tr>
      <w:tr>
        <w:tc>
          <w:tcPr/>
          <w:p>
            <w:pPr>
              <w:pStyle w:val="Compact"/>
            </w:pPr>
            <w:r>
              <w:t xml:space="preserve">출원연도(yc)</w:t>
            </w:r>
          </w:p>
        </w:tc>
        <w:tc>
          <w:tcPr/>
          <w:p>
            <w:pPr>
              <w:pStyle w:val="Compact"/>
            </w:pPr>
            <w:r>
              <w:t xml:space="preserve">0.070***</w:t>
            </w:r>
          </w:p>
        </w:tc>
        <w:tc>
          <w:tcPr/>
          <w:p>
            <w:pPr>
              <w:pStyle w:val="Compact"/>
            </w:pPr>
            <w:r>
              <w:t xml:space="preserve">0.013***</w:t>
            </w:r>
          </w:p>
        </w:tc>
        <w:tc>
          <w:tcPr/>
          <w:p>
            <w:pPr>
              <w:pStyle w:val="Compact"/>
            </w:pPr>
            <w:r>
              <w:t xml:space="preserve">0.014***</w:t>
            </w:r>
          </w:p>
        </w:tc>
      </w:tr>
      <w:tr>
        <w:tc>
          <w:tcPr/>
          <w:p>
            <w:pPr>
              <w:pStyle w:val="Compact"/>
            </w:pPr>
            <w:r>
              <w:t xml:space="preserve">중국(CN)</w:t>
            </w:r>
          </w:p>
        </w:tc>
        <w:tc>
          <w:tcPr/>
          <w:p>
            <w:pPr>
              <w:pStyle w:val="Compact"/>
            </w:pPr>
            <w:r>
              <w:t xml:space="preserve">−1.321***</w:t>
            </w:r>
          </w:p>
        </w:tc>
        <w:tc>
          <w:tcPr/>
          <w:p>
            <w:pPr>
              <w:pStyle w:val="Compact"/>
            </w:pPr>
            <w:r>
              <w:t xml:space="preserve">−0.241***</w:t>
            </w:r>
          </w:p>
        </w:tc>
        <w:tc>
          <w:tcPr/>
          <w:p>
            <w:pPr>
              <w:pStyle w:val="Compact"/>
            </w:pPr>
            <w:r>
              <w:t xml:space="preserve">−0.242***</w:t>
            </w:r>
          </w:p>
        </w:tc>
      </w:tr>
      <w:tr>
        <w:tc>
          <w:tcPr/>
          <w:p>
            <w:pPr>
              <w:pStyle w:val="Compact"/>
            </w:pPr>
            <w:r>
              <w:t xml:space="preserve">한국(KR)</w:t>
            </w:r>
          </w:p>
        </w:tc>
        <w:tc>
          <w:tcPr/>
          <w:p>
            <w:pPr>
              <w:pStyle w:val="Compact"/>
            </w:pPr>
            <w:r>
              <w:t xml:space="preserve">0.089</w:t>
            </w:r>
          </w:p>
        </w:tc>
        <w:tc>
          <w:tcPr/>
          <w:p>
            <w:pPr>
              <w:pStyle w:val="Compact"/>
            </w:pPr>
            <w:r>
              <w:t xml:space="preserve">0.017</w:t>
            </w:r>
          </w:p>
        </w:tc>
        <w:tc>
          <w:tcPr/>
          <w:p>
            <w:pPr>
              <w:pStyle w:val="Compact"/>
            </w:pPr>
            <w:r>
              <w:t xml:space="preserve">0.017</w:t>
            </w:r>
          </w:p>
        </w:tc>
      </w:tr>
      <w:tr>
        <w:tc>
          <w:tcPr/>
          <w:p>
            <w:pPr>
              <w:pStyle w:val="Compact"/>
            </w:pPr>
            <w:r>
              <w:t xml:space="preserve">대만(TW)</w:t>
            </w:r>
          </w:p>
        </w:tc>
        <w:tc>
          <w:tcPr/>
          <w:p>
            <w:pPr>
              <w:pStyle w:val="Compact"/>
            </w:pPr>
            <w:r>
              <w:t xml:space="preserve">0.102</w:t>
            </w:r>
          </w:p>
        </w:tc>
        <w:tc>
          <w:tcPr/>
          <w:p>
            <w:pPr>
              <w:pStyle w:val="Compact"/>
            </w:pPr>
            <w:r>
              <w:t xml:space="preserve">0.016</w:t>
            </w:r>
          </w:p>
        </w:tc>
        <w:tc>
          <w:tcPr/>
          <w:p>
            <w:pPr>
              <w:pStyle w:val="Compact"/>
            </w:pPr>
            <w:r>
              <w:t xml:space="preserve">0.021</w:t>
            </w:r>
          </w:p>
        </w:tc>
      </w:tr>
      <w:tr>
        <w:tc>
          <w:tcPr/>
          <w:p>
            <w:pPr>
              <w:pStyle w:val="Compact"/>
            </w:pPr>
            <w:r>
              <w:t xml:space="preserve">일본(JP)</w:t>
            </w:r>
          </w:p>
        </w:tc>
        <w:tc>
          <w:tcPr/>
          <w:p>
            <w:pPr>
              <w:pStyle w:val="Compact"/>
            </w:pPr>
            <w:r>
              <w:t xml:space="preserve">1.737**</w:t>
            </w:r>
          </w:p>
        </w:tc>
        <w:tc>
          <w:tcPr/>
          <w:p>
            <w:pPr>
              <w:pStyle w:val="Compact"/>
            </w:pPr>
            <w:r>
              <w:t xml:space="preserve">0.280***</w:t>
            </w:r>
          </w:p>
        </w:tc>
        <w:tc>
          <w:tcPr/>
          <w:p>
            <w:pPr>
              <w:pStyle w:val="Compact"/>
            </w:pPr>
            <w:r>
              <w:t xml:space="preserve">0.239*</w:t>
            </w:r>
          </w:p>
        </w:tc>
      </w:tr>
      <w:tr>
        <w:tc>
          <w:tcPr/>
          <w:p>
            <w:pPr>
              <w:pStyle w:val="Compact"/>
            </w:pPr>
            <w:r>
              <w:t xml:space="preserve">EPO</w:t>
            </w:r>
          </w:p>
        </w:tc>
        <w:tc>
          <w:tcPr/>
          <w:p>
            <w:pPr>
              <w:pStyle w:val="Compact"/>
            </w:pPr>
            <w:r>
              <w:t xml:space="preserve">−0.032</w:t>
            </w:r>
          </w:p>
        </w:tc>
        <w:tc>
          <w:tcPr/>
          <w:p>
            <w:pPr>
              <w:pStyle w:val="Compact"/>
            </w:pPr>
            <w:r>
              <w:t xml:space="preserve">−0.005</w:t>
            </w:r>
          </w:p>
        </w:tc>
        <w:tc>
          <w:tcPr/>
          <w:p>
            <w:pPr>
              <w:pStyle w:val="Compact"/>
            </w:pPr>
            <w:r>
              <w:t xml:space="preserve">−0.007</w:t>
            </w:r>
          </w:p>
        </w:tc>
      </w:tr>
      <w:tr>
        <w:tc>
          <w:tcPr/>
          <w:p>
            <w:pPr>
              <w:pStyle w:val="Compact"/>
            </w:pPr>
            <w:r>
              <w:t xml:space="preserve">PCT(WO)</w:t>
            </w:r>
          </w:p>
        </w:tc>
        <w:tc>
          <w:tcPr/>
          <w:p>
            <w:pPr>
              <w:pStyle w:val="Compact"/>
            </w:pPr>
            <w:r>
              <w:t xml:space="preserve">−1.071**</w:t>
            </w:r>
          </w:p>
        </w:tc>
        <w:tc>
          <w:tcPr/>
          <w:p>
            <w:pPr>
              <w:pStyle w:val="Compact"/>
            </w:pPr>
            <w:r>
              <w:t xml:space="preserve">−0.193***</w:t>
            </w:r>
          </w:p>
        </w:tc>
        <w:tc>
          <w:tcPr/>
          <w:p>
            <w:pPr>
              <w:pStyle w:val="Compact"/>
            </w:pPr>
            <w:r>
              <w:t xml:space="preserve">−0.191***</w:t>
            </w:r>
          </w:p>
        </w:tc>
      </w:tr>
      <w:tr>
        <w:tc>
          <w:tcPr/>
          <w:p>
            <w:pPr>
              <w:pStyle w:val="Compact"/>
            </w:pPr>
            <w:r>
              <w:t xml:space="preserve">기타</w:t>
            </w:r>
          </w:p>
        </w:tc>
        <w:tc>
          <w:tcPr/>
          <w:p>
            <w:pPr>
              <w:pStyle w:val="Compact"/>
            </w:pPr>
            <w:r>
              <w:t xml:space="preserve">0.124</w:t>
            </w:r>
          </w:p>
        </w:tc>
        <w:tc>
          <w:tcPr/>
          <w:p>
            <w:pPr>
              <w:pStyle w:val="Compact"/>
            </w:pPr>
            <w:r>
              <w:t xml:space="preserve">0.024</w:t>
            </w:r>
          </w:p>
        </w:tc>
        <w:tc>
          <w:tcPr/>
          <w:p>
            <w:pPr>
              <w:pStyle w:val="Compact"/>
            </w:pPr>
            <w:r>
              <w:t xml:space="preserve">0.056</w:t>
            </w:r>
          </w:p>
        </w:tc>
      </w:tr>
      <w:tr>
        <w:tc>
          <w:tcPr/>
          <w:p>
            <w:pPr>
              <w:pStyle w:val="Compact"/>
            </w:pPr>
            <w:r>
              <w:t xml:space="preserve">상수</w:t>
            </w:r>
          </w:p>
        </w:tc>
        <w:tc>
          <w:tcPr/>
          <w:p>
            <w:pPr>
              <w:pStyle w:val="Compact"/>
            </w:pPr>
            <w:r>
              <w:t xml:space="preserve">2.506***</w:t>
            </w:r>
          </w:p>
        </w:tc>
        <w:tc>
          <w:tcPr/>
          <w:p>
            <w:pPr>
              <w:pStyle w:val="Compact"/>
            </w:pPr>
            <w:r>
              <w:t xml:space="preserve">1.143***</w:t>
            </w:r>
          </w:p>
        </w:tc>
        <w:tc>
          <w:tcPr/>
          <w:p>
            <w:pPr>
              <w:pStyle w:val="Compact"/>
            </w:pPr>
            <w:r>
              <w:t xml:space="preserve">1.069***</w:t>
            </w:r>
          </w:p>
        </w:tc>
      </w:tr>
      <w:tr>
        <w:tc>
          <w:tcPr/>
          <w:p>
            <w:pPr>
              <w:pStyle w:val="Compact"/>
            </w:pPr>
            <w:r>
              <w:t xml:space="preserve">ln(alpha)</w:t>
            </w:r>
          </w:p>
        </w:tc>
        <w:tc>
          <w:tcPr/>
          <w:p>
            <w:pPr>
              <w:pStyle w:val="Compact"/>
            </w:pPr>
            <w:r>
              <w:t xml:space="preserve">—</w:t>
            </w:r>
          </w:p>
        </w:tc>
        <w:tc>
          <w:tcPr/>
          <w:p>
            <w:pPr>
              <w:pStyle w:val="Compact"/>
            </w:pPr>
            <w:r>
              <w:t xml:space="preserve">—</w:t>
            </w:r>
          </w:p>
        </w:tc>
        <w:tc>
          <w:tcPr/>
          <w:p>
            <w:pPr>
              <w:pStyle w:val="Compact"/>
            </w:pPr>
            <w:r>
              <w:t xml:space="preserve">−1.316***</w:t>
            </w:r>
          </w:p>
        </w:tc>
      </w:tr>
      <w:tr>
        <w:tc>
          <w:tcPr/>
          <w:p>
            <w:pPr>
              <w:pStyle w:val="Compact"/>
            </w:pPr>
            <w:r>
              <w:t xml:space="preserve">N</w:t>
            </w:r>
          </w:p>
        </w:tc>
        <w:tc>
          <w:tcPr/>
          <w:p>
            <w:pPr>
              <w:pStyle w:val="Compact"/>
            </w:pPr>
            <w:r>
              <w:t xml:space="preserve">928</w:t>
            </w:r>
          </w:p>
        </w:tc>
        <w:tc>
          <w:tcPr/>
          <w:p>
            <w:pPr>
              <w:pStyle w:val="Compact"/>
            </w:pPr>
            <w:r>
              <w:t xml:space="preserve">928</w:t>
            </w:r>
          </w:p>
        </w:tc>
        <w:tc>
          <w:tcPr/>
          <w:p>
            <w:pPr>
              <w:pStyle w:val="Compact"/>
            </w:pPr>
            <w:r>
              <w:t xml:space="preserve">928</w:t>
            </w:r>
          </w:p>
        </w:tc>
      </w:tr>
      <w:tr>
        <w:tc>
          <w:tcPr/>
          <w:p>
            <w:pPr>
              <w:pStyle w:val="Compact"/>
            </w:pPr>
            <w:r>
              <w:t xml:space="preserve">R²/AIC</w:t>
            </w:r>
          </w:p>
        </w:tc>
        <w:tc>
          <w:tcPr/>
          <w:p>
            <w:pPr>
              <w:pStyle w:val="Compact"/>
            </w:pPr>
            <w:r>
              <w:t xml:space="preserve">0.033 / 5224.9</w:t>
            </w:r>
          </w:p>
        </w:tc>
        <w:tc>
          <w:tcPr/>
          <w:p>
            <w:pPr>
              <w:pStyle w:val="Compact"/>
            </w:pPr>
            <w:r>
              <w:t xml:space="preserve">5477.2</w:t>
            </w:r>
          </w:p>
        </w:tc>
        <w:tc>
          <w:tcPr/>
          <w:p>
            <w:pPr>
              <w:pStyle w:val="Compact"/>
            </w:pPr>
            <w:r>
              <w:rPr>
                <w:b/>
                <w:bCs/>
              </w:rPr>
              <w:t xml:space="preserve">4883.0</w:t>
            </w:r>
          </w:p>
        </w:tc>
      </w:tr>
    </w:tbl>
    <w:p>
      <w:pPr>
        <w:pStyle w:val="BodyText"/>
      </w:pPr>
      <w:r>
        <w:t xml:space="preserve">음이항 추정에서 출원연도 추세는 유지되어 기술범위가 매년 약 1.4%씩 넓어졌고(IRR≈1.014), 미국 기준 대비</w:t>
      </w:r>
      <w:r>
        <w:t xml:space="preserve"> </w:t>
      </w:r>
      <w:r>
        <w:rPr>
          <w:b/>
          <w:bCs/>
        </w:rPr>
        <w:t xml:space="preserve">중국 출원청 출원은 약 21% 좁았으며</w:t>
      </w:r>
      <w:r>
        <w:t xml:space="preserve">(IRR 0.785, p&lt;0.01), PCT/WO도 약 17% 좁았다(IRR 0.826, p&lt;0.01). 반면</w:t>
      </w:r>
      <w:r>
        <w:t xml:space="preserve"> </w:t>
      </w:r>
      <w:r>
        <w:rPr>
          <w:b/>
          <w:bCs/>
        </w:rPr>
        <w:t xml:space="preserve">일본 출원청 출원이 표본에서 가장 넓었다</w:t>
      </w:r>
      <w:r>
        <w:t xml:space="preserve">(IRR≈1.27, p&lt;0.10). 한국·대만·EPO는 미국 기준과 유의하게 구분되지 않았다([그림 4]). 이는 메모리 제조사(한국)와 파운드리(대만)가 미국 출원인과 유사한 범위 전략을 취함을 시사한다.</w:t>
      </w:r>
    </w:p>
    <w:p>
      <w:pPr>
        <w:pStyle w:val="BodyText"/>
      </w:pPr>
      <w:r>
        <w:t xml:space="preserve">이 결과의 실질적(economic) 의미를 짚으면 다음과 같다. 연간 IRR 1.014는 단년으로는 작아 보이나 10년이면 누적 약 15%의 범위 확대로, 기술 성숙에 따라 특허가 점차 다영역화함을 뜻한다. 중국 출원청의 21% 협소화는 단순한 양적 열위가 아니라</w:t>
      </w:r>
      <w:r>
        <w:t xml:space="preserve"> </w:t>
      </w:r>
      <w:r>
        <w:rPr>
          <w:b/>
          <w:bCs/>
        </w:rPr>
        <w:t xml:space="preserve">특정 단위공정에 집중하는 전략적 선택</w:t>
      </w:r>
      <w:r>
        <w:t xml:space="preserve">으로 읽히며, 이는 §4.8의 YMTC 사례(특정 적층·접합 공정 내재화)와 정합한다. 일본의 최광폭은 전 공정 흐름에 걸쳐 포트폴리오를 구성하는 장비·소재 공급자(예: Tokyo Electron)의 행태와 부합한다. 방법론적으로도 OLS(R²=0.033)에서 음이항(AIC 4,883)으로의 이행은 단순히 적합도 개선을 넘어, 관할권 효과의 부호·유의성을 안정적으로 식별하게 해 주었다는 점에서 의미가 있다.</w:t>
      </w:r>
    </w:p>
    <w:bookmarkEnd w:id="56"/>
    <w:bookmarkStart w:id="57" w:name="전략지향-전공정-침투-여부-이항-로짓"/>
    <w:p>
      <w:pPr>
        <w:pStyle w:val="Heading2"/>
      </w:pPr>
      <w:r>
        <w:t xml:space="preserve">5.2 전략지향: 전공정 침투 여부 (이항 로짓)</w:t>
      </w:r>
    </w:p>
    <w:p>
      <w:pPr>
        <w:pStyle w:val="FirstParagraph"/>
      </w:pPr>
      <w:r>
        <w:t xml:space="preserve">전공정(H01L21) 기술을 청구하는지(has_process)를 예측한 이항 로짓([표 5-2])에서</w:t>
      </w:r>
      <w:r>
        <w:t xml:space="preserve"> </w:t>
      </w:r>
      <w:r>
        <w:rPr>
          <w:b/>
          <w:bCs/>
        </w:rPr>
        <w:t xml:space="preserve">기술범위가 지배적 예측변수</w:t>
      </w:r>
      <w:r>
        <w:t xml:space="preserve">였다. CPC 서브클래스가 하나 늘 때 전공정 청구 승산이 약 27% 증가하여(OR 1.267, p&lt;0.01), 더 많은 클래스를 포괄하는 특허가 전공정 단계로도 손을 뻗음을 보여준다. 출원연도 추세는 반대로(OR 0.946/년, p&lt;0.01) 전공정 지향 비중이 시간에 따라 감소함을 나타냈고, 출원청 중에서는 중국만이 미국 대비 65% 높은 승산을 보였다(OR 1.650, p&lt;0.05). 모형의 판별력은 ROC 곡선 면적 0.707로 수용 가능했다([그림 5]).</w:t>
      </w:r>
    </w:p>
    <w:p>
      <w:pPr>
        <w:pStyle w:val="BodyText"/>
      </w:pPr>
      <w:r>
        <w:rPr>
          <w:b/>
          <w:bCs/>
        </w:rPr>
        <w:t xml:space="preserve">[표 5-2] 전공정 지향(has_process) 이항 로짓</w:t>
      </w:r>
      <w:r>
        <w:t xml:space="preserve"> </w:t>
      </w:r>
      <w:r>
        <w:t xml:space="preserve">(승산비; 괄호 안 표준오차; * p&lt;0.10, ** p&lt;0.05, *** p&lt;0.01)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승산비(OR)</w:t>
            </w:r>
          </w:p>
        </w:tc>
      </w:tr>
      <w:tr>
        <w:tc>
          <w:tcPr/>
          <w:p>
            <w:pPr>
              <w:pStyle w:val="Compact"/>
            </w:pPr>
            <w:r>
              <w:t xml:space="preserve">출원연도(yc)</w:t>
            </w:r>
          </w:p>
        </w:tc>
        <w:tc>
          <w:tcPr/>
          <w:p>
            <w:pPr>
              <w:pStyle w:val="Compact"/>
            </w:pPr>
            <w:r>
              <w:t xml:space="preserve">0.946*** (0.011)</w:t>
            </w:r>
          </w:p>
        </w:tc>
      </w:tr>
      <w:tr>
        <w:tc>
          <w:tcPr/>
          <w:p>
            <w:pPr>
              <w:pStyle w:val="Compact"/>
            </w:pPr>
            <w:r>
              <w:t xml:space="preserve">기술범위(breadth)</w:t>
            </w:r>
          </w:p>
        </w:tc>
        <w:tc>
          <w:tcPr/>
          <w:p>
            <w:pPr>
              <w:pStyle w:val="Compact"/>
            </w:pPr>
            <w:r>
              <w:t xml:space="preserve">1.267*** (0.034)</w:t>
            </w:r>
          </w:p>
        </w:tc>
      </w:tr>
      <w:tr>
        <w:tc>
          <w:tcPr/>
          <w:p>
            <w:pPr>
              <w:pStyle w:val="Compact"/>
            </w:pPr>
            <w:r>
              <w:t xml:space="preserve">중국(CN)</w:t>
            </w:r>
          </w:p>
        </w:tc>
        <w:tc>
          <w:tcPr/>
          <w:p>
            <w:pPr>
              <w:pStyle w:val="Compact"/>
            </w:pPr>
            <w:r>
              <w:t xml:space="preserve">1.650** (0.338)</w:t>
            </w:r>
          </w:p>
        </w:tc>
      </w:tr>
      <w:tr>
        <w:tc>
          <w:tcPr/>
          <w:p>
            <w:pPr>
              <w:pStyle w:val="Compact"/>
            </w:pPr>
            <w:r>
              <w:t xml:space="preserve">한국(KR)</w:t>
            </w:r>
          </w:p>
        </w:tc>
        <w:tc>
          <w:tcPr/>
          <w:p>
            <w:pPr>
              <w:pStyle w:val="Compact"/>
            </w:pPr>
            <w:r>
              <w:t xml:space="preserve">1.430 (0.467)</w:t>
            </w:r>
          </w:p>
        </w:tc>
      </w:tr>
      <w:tr>
        <w:tc>
          <w:tcPr/>
          <w:p>
            <w:pPr>
              <w:pStyle w:val="Compact"/>
            </w:pPr>
            <w:r>
              <w:t xml:space="preserve">대만(TW)</w:t>
            </w:r>
          </w:p>
        </w:tc>
        <w:tc>
          <w:tcPr/>
          <w:p>
            <w:pPr>
              <w:pStyle w:val="Compact"/>
            </w:pPr>
            <w:r>
              <w:t xml:space="preserve">1.555 (0.451)</w:t>
            </w:r>
          </w:p>
        </w:tc>
      </w:tr>
      <w:tr>
        <w:tc>
          <w:tcPr/>
          <w:p>
            <w:pPr>
              <w:pStyle w:val="Compact"/>
            </w:pPr>
            <w:r>
              <w:t xml:space="preserve">일본(JP)</w:t>
            </w:r>
          </w:p>
        </w:tc>
        <w:tc>
          <w:tcPr/>
          <w:p>
            <w:pPr>
              <w:pStyle w:val="Compact"/>
            </w:pPr>
            <w:r>
              <w:t xml:space="preserve">0.483 (0.233)</w:t>
            </w:r>
          </w:p>
        </w:tc>
      </w:tr>
      <w:tr>
        <w:tc>
          <w:tcPr/>
          <w:p>
            <w:pPr>
              <w:pStyle w:val="Compact"/>
            </w:pPr>
            <w:r>
              <w:t xml:space="preserve">EPO</w:t>
            </w:r>
          </w:p>
        </w:tc>
        <w:tc>
          <w:tcPr/>
          <w:p>
            <w:pPr>
              <w:pStyle w:val="Compact"/>
            </w:pPr>
            <w:r>
              <w:t xml:space="preserve">1.170 (0.312)</w:t>
            </w:r>
          </w:p>
        </w:tc>
      </w:tr>
      <w:tr>
        <w:tc>
          <w:tcPr/>
          <w:p>
            <w:pPr>
              <w:pStyle w:val="Compact"/>
            </w:pPr>
            <w:r>
              <w:t xml:space="preserve">PCT(WO)</w:t>
            </w:r>
          </w:p>
        </w:tc>
        <w:tc>
          <w:tcPr/>
          <w:p>
            <w:pPr>
              <w:pStyle w:val="Compact"/>
            </w:pPr>
            <w:r>
              <w:t xml:space="preserve">1.398 (0.329)</w:t>
            </w:r>
          </w:p>
        </w:tc>
      </w:tr>
      <w:tr>
        <w:tc>
          <w:tcPr/>
          <w:p>
            <w:pPr>
              <w:pStyle w:val="Compact"/>
            </w:pPr>
            <w:r>
              <w:t xml:space="preserve">기타</w:t>
            </w:r>
          </w:p>
        </w:tc>
        <w:tc>
          <w:tcPr/>
          <w:p>
            <w:pPr>
              <w:pStyle w:val="Compact"/>
            </w:pPr>
            <w:r>
              <w:t xml:space="preserve">2.132 (1.307)</w:t>
            </w:r>
          </w:p>
        </w:tc>
      </w:tr>
    </w:tbl>
    <w:p>
      <w:pPr>
        <w:pStyle w:val="BodyText"/>
      </w:pPr>
      <w:r>
        <w:rPr>
          <w:i/>
          <w:iCs/>
        </w:rPr>
        <w:t xml:space="preserve">주: N=928 · log-lik −547.6 · AIC 1115.1 · AUC 0.707.</w:t>
      </w:r>
    </w:p>
    <w:p>
      <w:pPr>
        <w:pStyle w:val="BodyText"/>
      </w:pPr>
      <w:r>
        <w:t xml:space="preserve">이 결과는 두 가지를 시사한다. 첫째, 기술범위와 전공정 청구의</w:t>
      </w:r>
      <w:r>
        <w:t xml:space="preserve"> </w:t>
      </w:r>
      <w:r>
        <w:rPr>
          <w:b/>
          <w:bCs/>
        </w:rPr>
        <w:t xml:space="preserve">동반 상승</w:t>
      </w:r>
      <w:r>
        <w:t xml:space="preserve">(OR 1.267)은 인과의 방향을 단정할 수 없으나, 넓은 특허일수록 전·후공정을 함께 청구하는 경향—즉 경계 흐려짐의 미시적 발현—을 보여준다. 둘째, 출원연도의 음(−) 효과(OR 0.946)는 분야가 성숙하면서 무게중심이 순수 제조공정 청구에서 본딩·접합 수준의 청구로 이동함을 뜻한다. 이는 전공정 비중의 ’감소’가 기술의 후퇴가 아니라 후공정·접합 영역으로의 혁신 확산을 반영한다는 해석을 뒷받침한다. 중국 출원청의 높은 전공정 청구 승산(OR 1.650)은 §5.3의 process-only 결과와 함께 읽어야 그 전략적 의미가 분명해진다. AUC 0.707은 완벽하지는 않으나, 소수 공변량만으로 전공정 청구를 의미 있게 판별함을 나타낸다.</w:t>
      </w:r>
    </w:p>
    <w:bookmarkEnd w:id="57"/>
    <w:bookmarkStart w:id="58" w:name="전략유형-다항-로짓"/>
    <w:p>
      <w:pPr>
        <w:pStyle w:val="Heading2"/>
      </w:pPr>
      <w:r>
        <w:t xml:space="preserve">5.3 전략유형 (다항 로짓)</w:t>
      </w:r>
    </w:p>
    <w:p>
      <w:pPr>
        <w:pStyle w:val="FirstParagraph"/>
      </w:pPr>
      <w:r>
        <w:t xml:space="preserve">전략유형을 assembly-only(기준)·integrated·process-only로 구분한 다항 로짓([표 5-3])은 순수형 두 갈래를 분리해 보여준다. 기술범위는 특허를</w:t>
      </w:r>
      <w:r>
        <w:t xml:space="preserve"> </w:t>
      </w:r>
      <w:r>
        <w:rPr>
          <w:b/>
          <w:bCs/>
        </w:rPr>
        <w:t xml:space="preserve">integrated 쪽으로</w:t>
      </w:r>
      <w:r>
        <w:t xml:space="preserve"> </w:t>
      </w:r>
      <w:r>
        <w:t xml:space="preserve">밀고(RRR 1.403, p&lt;0.01)</w:t>
      </w:r>
      <w:r>
        <w:t xml:space="preserve"> </w:t>
      </w:r>
      <w:r>
        <w:rPr>
          <w:b/>
          <w:bCs/>
        </w:rPr>
        <w:t xml:space="preserve">process-only에서 멀어지게</w:t>
      </w:r>
      <w:r>
        <w:t xml:space="preserve">(RRR 0.905, p&lt;0.05) 하여, 넓은 특허는 두 층위를 아우르고 좁은 특허는 특화됨을 나타낸다. 가장 뚜렷한 대비는 process-only 갈래의 출원청 효과로,</w:t>
      </w:r>
      <w:r>
        <w:t xml:space="preserve"> </w:t>
      </w:r>
      <w:r>
        <w:rPr>
          <w:b/>
          <w:bCs/>
        </w:rPr>
        <w:t xml:space="preserve">중국 출원청이 미국 대비 process-only를 호스팅할 가능성이 훨씬 높고</w:t>
      </w:r>
      <w:r>
        <w:t xml:space="preserve">(RRR 2.687, p&lt;0.01) 대만(RRR 2.102, p&lt;0.10)·PCT(RRR 1.997, p&lt;0.05)도 높은 반면</w:t>
      </w:r>
      <w:r>
        <w:t xml:space="preserve"> </w:t>
      </w:r>
      <w:r>
        <w:rPr>
          <w:b/>
          <w:bCs/>
        </w:rPr>
        <w:t xml:space="preserve">일본은 거의 없었다</w:t>
      </w:r>
      <w:r>
        <w:t xml:space="preserve">(RRR 0.086, p&lt;0.01). 출원연도 추세도 process-only 비중을 끌어내렸다(RRR 0.913, p&lt;0.01)([그림 6]).</w:t>
      </w:r>
    </w:p>
    <w:p>
      <w:pPr>
        <w:pStyle w:val="BodyText"/>
      </w:pPr>
      <w:r>
        <w:rPr>
          <w:b/>
          <w:bCs/>
        </w:rPr>
        <w:t xml:space="preserve">[표 5-3] 전략유형 다항 로짓</w:t>
      </w:r>
      <w:r>
        <w:t xml:space="preserve"> </w:t>
      </w:r>
      <w:r>
        <w:t xml:space="preserve">(상대위험비 RRR, 기준=assembly-only; 괄호 안 표준오차; * p&lt;0.10, ** p&lt;0.05, *** p&lt;0.01)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Integrated</w:t>
            </w:r>
          </w:p>
        </w:tc>
        <w:tc>
          <w:tcPr/>
          <w:p>
            <w:pPr>
              <w:pStyle w:val="Compact"/>
            </w:pPr>
            <w:r>
              <w:t xml:space="preserve">Process-only</w:t>
            </w:r>
          </w:p>
        </w:tc>
      </w:tr>
      <w:tr>
        <w:tc>
          <w:tcPr/>
          <w:p>
            <w:pPr>
              <w:pStyle w:val="Compact"/>
            </w:pPr>
            <w:r>
              <w:t xml:space="preserve">출원연도(yc)</w:t>
            </w:r>
          </w:p>
        </w:tc>
        <w:tc>
          <w:tcPr/>
          <w:p>
            <w:pPr>
              <w:pStyle w:val="Compact"/>
            </w:pPr>
            <w:r>
              <w:t xml:space="preserve">0.993 (0.015)</w:t>
            </w:r>
          </w:p>
        </w:tc>
        <w:tc>
          <w:tcPr/>
          <w:p>
            <w:pPr>
              <w:pStyle w:val="Compact"/>
            </w:pPr>
            <w:r>
              <w:t xml:space="preserve">0.913*** (0.013)</w:t>
            </w:r>
          </w:p>
        </w:tc>
      </w:tr>
      <w:tr>
        <w:tc>
          <w:tcPr/>
          <w:p>
            <w:pPr>
              <w:pStyle w:val="Compact"/>
            </w:pPr>
            <w:r>
              <w:t xml:space="preserve">기술범위(breadth)</w:t>
            </w:r>
          </w:p>
        </w:tc>
        <w:tc>
          <w:tcPr/>
          <w:p>
            <w:pPr>
              <w:pStyle w:val="Compact"/>
            </w:pPr>
            <w:r>
              <w:t xml:space="preserve">1.403*** (0.043)</w:t>
            </w:r>
          </w:p>
        </w:tc>
        <w:tc>
          <w:tcPr/>
          <w:p>
            <w:pPr>
              <w:pStyle w:val="Compact"/>
            </w:pPr>
            <w:r>
              <w:t xml:space="preserve">0.905** (0.044)</w:t>
            </w:r>
          </w:p>
        </w:tc>
      </w:tr>
      <w:tr>
        <w:tc>
          <w:tcPr/>
          <w:p>
            <w:pPr>
              <w:pStyle w:val="Compact"/>
            </w:pPr>
            <w:r>
              <w:t xml:space="preserve">중국(CN)</w:t>
            </w:r>
          </w:p>
        </w:tc>
        <w:tc>
          <w:tcPr/>
          <w:p>
            <w:pPr>
              <w:pStyle w:val="Compact"/>
            </w:pPr>
            <w:r>
              <w:t xml:space="preserve">1.205 (0.280)</w:t>
            </w:r>
          </w:p>
        </w:tc>
        <w:tc>
          <w:tcPr/>
          <w:p>
            <w:pPr>
              <w:pStyle w:val="Compact"/>
            </w:pPr>
            <w:r>
              <w:t xml:space="preserve">2.687*** (0.740)</w:t>
            </w:r>
          </w:p>
        </w:tc>
      </w:tr>
      <w:tr>
        <w:tc>
          <w:tcPr/>
          <w:p>
            <w:pPr>
              <w:pStyle w:val="Compact"/>
            </w:pPr>
            <w:r>
              <w:t xml:space="preserve">한국(KR)</w:t>
            </w:r>
          </w:p>
        </w:tc>
        <w:tc>
          <w:tcPr/>
          <w:p>
            <w:pPr>
              <w:pStyle w:val="Compact"/>
            </w:pPr>
            <w:r>
              <w:t xml:space="preserve">1.166 (0.444)</w:t>
            </w:r>
          </w:p>
        </w:tc>
        <w:tc>
          <w:tcPr/>
          <w:p>
            <w:pPr>
              <w:pStyle w:val="Compact"/>
            </w:pPr>
            <w:r>
              <w:t xml:space="preserve">1.906 (0.799)</w:t>
            </w:r>
          </w:p>
        </w:tc>
      </w:tr>
      <w:tr>
        <w:tc>
          <w:tcPr/>
          <w:p>
            <w:pPr>
              <w:pStyle w:val="Compact"/>
            </w:pPr>
            <w:r>
              <w:t xml:space="preserve">대만(TW)</w:t>
            </w:r>
          </w:p>
        </w:tc>
        <w:tc>
          <w:tcPr/>
          <w:p>
            <w:pPr>
              <w:pStyle w:val="Compact"/>
            </w:pPr>
            <w:r>
              <w:t xml:space="preserve">1.312 (0.422)</w:t>
            </w:r>
          </w:p>
        </w:tc>
        <w:tc>
          <w:tcPr/>
          <w:p>
            <w:pPr>
              <w:pStyle w:val="Compact"/>
            </w:pPr>
            <w:r>
              <w:t xml:space="preserve">2.102* (0.857)</w:t>
            </w:r>
          </w:p>
        </w:tc>
      </w:tr>
      <w:tr>
        <w:tc>
          <w:tcPr/>
          <w:p>
            <w:pPr>
              <w:pStyle w:val="Compact"/>
            </w:pPr>
            <w:r>
              <w:t xml:space="preserve">일본(JP)</w:t>
            </w:r>
          </w:p>
        </w:tc>
        <w:tc>
          <w:tcPr/>
          <w:p>
            <w:pPr>
              <w:pStyle w:val="Compact"/>
            </w:pPr>
            <w:r>
              <w:t xml:space="preserve">1.046 (0.583)</w:t>
            </w:r>
          </w:p>
        </w:tc>
        <w:tc>
          <w:tcPr/>
          <w:p>
            <w:pPr>
              <w:pStyle w:val="Compact"/>
            </w:pPr>
            <w:r>
              <w:t xml:space="preserve">0.086*** (0.070)</w:t>
            </w:r>
          </w:p>
        </w:tc>
      </w:tr>
      <w:tr>
        <w:tc>
          <w:tcPr/>
          <w:p>
            <w:pPr>
              <w:pStyle w:val="Compact"/>
            </w:pPr>
            <w:r>
              <w:t xml:space="preserve">EPO</w:t>
            </w:r>
          </w:p>
        </w:tc>
        <w:tc>
          <w:tcPr/>
          <w:p>
            <w:pPr>
              <w:pStyle w:val="Compact"/>
            </w:pPr>
            <w:r>
              <w:t xml:space="preserve">1.307 (0.380)</w:t>
            </w:r>
          </w:p>
        </w:tc>
        <w:tc>
          <w:tcPr/>
          <w:p>
            <w:pPr>
              <w:pStyle w:val="Compact"/>
            </w:pPr>
            <w:r>
              <w:t xml:space="preserve">0.858 (0.376)</w:t>
            </w:r>
          </w:p>
        </w:tc>
      </w:tr>
      <w:tr>
        <w:tc>
          <w:tcPr/>
          <w:p>
            <w:pPr>
              <w:pStyle w:val="Compact"/>
            </w:pPr>
            <w:r>
              <w:t xml:space="preserve">PCT(WO)</w:t>
            </w:r>
          </w:p>
        </w:tc>
        <w:tc>
          <w:tcPr/>
          <w:p>
            <w:pPr>
              <w:pStyle w:val="Compact"/>
            </w:pPr>
            <w:r>
              <w:t xml:space="preserve">1.126 (0.302)</w:t>
            </w:r>
          </w:p>
        </w:tc>
        <w:tc>
          <w:tcPr/>
          <w:p>
            <w:pPr>
              <w:pStyle w:val="Compact"/>
            </w:pPr>
            <w:r>
              <w:t xml:space="preserve">1.997** (0.645)</w:t>
            </w:r>
          </w:p>
        </w:tc>
      </w:tr>
      <w:tr>
        <w:tc>
          <w:tcPr/>
          <w:p>
            <w:pPr>
              <w:pStyle w:val="Compact"/>
            </w:pPr>
            <w:r>
              <w:t xml:space="preserve">기타</w:t>
            </w:r>
          </w:p>
        </w:tc>
        <w:tc>
          <w:tcPr/>
          <w:p>
            <w:pPr>
              <w:pStyle w:val="Compact"/>
            </w:pPr>
            <w:r>
              <w:t xml:space="preserve">2.326 (1.585)</w:t>
            </w:r>
          </w:p>
        </w:tc>
        <w:tc>
          <w:tcPr/>
          <w:p>
            <w:pPr>
              <w:pStyle w:val="Compact"/>
            </w:pPr>
            <w:r>
              <w:t xml:space="preserve">1.901 (1.480)</w:t>
            </w:r>
          </w:p>
        </w:tc>
      </w:tr>
    </w:tbl>
    <w:p>
      <w:pPr>
        <w:pStyle w:val="BodyText"/>
      </w:pPr>
      <w:r>
        <w:rPr>
          <w:i/>
          <w:iCs/>
        </w:rPr>
        <w:t xml:space="preserve">주: N=928 · log-lik −774.5 · AIC 1589.0 · 기준=assembly-only.</w:t>
      </w:r>
    </w:p>
    <w:p>
      <w:pPr>
        <w:pStyle w:val="BodyText"/>
      </w:pPr>
      <w:r>
        <w:t xml:space="preserve">다항 로짓은 이항 로짓이 합쳐 버린 두 가지 ’순수형’을 분리함으로써 더 풍부한 해석을 제공한다. 기술범위가 특허를 integrated로 밀고(RRR 1.403) process-only에서 멀어지게(RRR 0.905) 한다는 결과는,</w:t>
      </w:r>
      <w:r>
        <w:t xml:space="preserve"> </w:t>
      </w:r>
      <w:r>
        <w:rPr>
          <w:b/>
          <w:bCs/>
        </w:rPr>
        <w:t xml:space="preserve">넓은 특허는 전·후공정을 동시에 청구하는 통합형</w:t>
      </w:r>
      <w:r>
        <w:t xml:space="preserve">인 반면</w:t>
      </w:r>
      <w:r>
        <w:t xml:space="preserve"> </w:t>
      </w:r>
      <w:r>
        <w:rPr>
          <w:b/>
          <w:bCs/>
        </w:rPr>
        <w:t xml:space="preserve">좁은 특허는 어느 한쪽에 특화</w:t>
      </w:r>
      <w:r>
        <w:t xml:space="preserve">됨을 의미한다. 관할권 효과는 process-only 갈래에서 가장 극적이다. 중국의 높은 process-only 경향(RRR 2.687)은 구리 표면처리·저온 어닐·다이싱 같은 특정 전공정 단계를 집중 내재화하는 추격 전략으로 해석되며, 일본의 거의 전무한 process-only(RRR 0.086)는 전 공정 흐름을 아우르는 장비·소재 공급자형 전략과 대비된다. 대만·PCT의 상승된 process-only 경향은 각각 파운드리 공정 특화와 국제 출원 경로의 특성을 반영한다. 다만 다항 로짓의 IIA 가정을 고려하여, 이들 수치는 기준(assembly-only) 대비 상대적 경향으로 해석하며 절대 확률의 단정은 피한다.</w:t>
      </w:r>
    </w:p>
    <w:bookmarkEnd w:id="58"/>
    <w:bookmarkStart w:id="59" w:name="결과의-종합과-강건성"/>
    <w:p>
      <w:pPr>
        <w:pStyle w:val="Heading2"/>
      </w:pPr>
      <w:r>
        <w:t xml:space="preserve">5.4 결과의 종합과 강건성</w:t>
      </w:r>
    </w:p>
    <w:p>
      <w:pPr>
        <w:pStyle w:val="FirstParagraph"/>
      </w:pPr>
      <w:r>
        <w:t xml:space="preserve">세 모형의 적합도를 종합하면 [표 5-4]와 같다.</w:t>
      </w:r>
    </w:p>
    <w:p>
      <w:pPr>
        <w:pStyle w:val="BodyText"/>
      </w:pPr>
      <w:r>
        <w:rPr>
          <w:b/>
          <w:bCs/>
        </w:rPr>
        <w:t xml:space="preserve">[표 5-4] 모형 적합도 종합</w:t>
      </w:r>
      <w:r>
        <w:t xml:space="preserve"> </w:t>
      </w:r>
      <w:r>
        <w:t xml:space="preserve">(N=928,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결과변수</w:t>
            </w:r>
          </w:p>
        </w:tc>
        <w:tc>
          <w:tcPr/>
          <w:p>
            <w:pPr>
              <w:pStyle w:val="Compact"/>
            </w:pPr>
            <w:r>
              <w:t xml:space="preserve">모형</w:t>
            </w:r>
          </w:p>
        </w:tc>
        <w:tc>
          <w:tcPr/>
          <w:p>
            <w:pPr>
              <w:pStyle w:val="Compact"/>
            </w:pPr>
            <w:r>
              <w:t xml:space="preserve">핵심 적합 지표</w:t>
            </w:r>
          </w:p>
        </w:tc>
      </w:tr>
      <w:tr>
        <w:tc>
          <w:tcPr/>
          <w:p>
            <w:pPr>
              <w:pStyle w:val="Compact"/>
            </w:pPr>
            <w:r>
              <w:t xml:space="preserve">breadth</w:t>
            </w:r>
          </w:p>
        </w:tc>
        <w:tc>
          <w:tcPr/>
          <w:p>
            <w:pPr>
              <w:pStyle w:val="Compact"/>
            </w:pPr>
            <w:r>
              <w:t xml:space="preserve">OLS</w:t>
            </w:r>
          </w:p>
        </w:tc>
        <w:tc>
          <w:tcPr/>
          <w:p>
            <w:pPr>
              <w:pStyle w:val="Compact"/>
            </w:pPr>
            <w:r>
              <w:t xml:space="preserve">R²=0.033, AIC 5224.9</w:t>
            </w:r>
          </w:p>
        </w:tc>
      </w:tr>
      <w:tr>
        <w:tc>
          <w:tcPr/>
          <w:p>
            <w:pPr>
              <w:pStyle w:val="Compact"/>
            </w:pPr>
            <w:r>
              <w:t xml:space="preserve">breadth</w:t>
            </w:r>
          </w:p>
        </w:tc>
        <w:tc>
          <w:tcPr/>
          <w:p>
            <w:pPr>
              <w:pStyle w:val="Compact"/>
            </w:pPr>
            <w:r>
              <w:t xml:space="preserve">Poisson</w:t>
            </w:r>
          </w:p>
        </w:tc>
        <w:tc>
          <w:tcPr/>
          <w:p>
            <w:pPr>
              <w:pStyle w:val="Compact"/>
            </w:pPr>
            <w:r>
              <w:t xml:space="preserve">AIC 5477.2</w:t>
            </w:r>
          </w:p>
        </w:tc>
      </w:tr>
      <w:tr>
        <w:tc>
          <w:tcPr/>
          <w:p>
            <w:pPr>
              <w:pStyle w:val="Compact"/>
            </w:pPr>
            <w:r>
              <w:t xml:space="preserve">breadth</w:t>
            </w:r>
          </w:p>
        </w:tc>
        <w:tc>
          <w:tcPr/>
          <w:p>
            <w:pPr>
              <w:pStyle w:val="Compact"/>
            </w:pPr>
            <w:r>
              <w:rPr>
                <w:b/>
                <w:bCs/>
              </w:rPr>
              <w:t xml:space="preserve">음이항(채택)</w:t>
            </w:r>
          </w:p>
        </w:tc>
        <w:tc>
          <w:tcPr/>
          <w:p>
            <w:pPr>
              <w:pStyle w:val="Compact"/>
            </w:pPr>
            <w:r>
              <w:rPr>
                <w:b/>
                <w:bCs/>
              </w:rPr>
              <w:t xml:space="preserve">AIC 4883.0</w:t>
            </w:r>
            <w:r>
              <w:t xml:space="preserve">, ln(alpha) −1.316</w:t>
            </w:r>
          </w:p>
        </w:tc>
      </w:tr>
      <w:tr>
        <w:tc>
          <w:tcPr/>
          <w:p>
            <w:pPr>
              <w:pStyle w:val="Compact"/>
            </w:pPr>
            <w:r>
              <w:t xml:space="preserve">has_process</w:t>
            </w:r>
          </w:p>
        </w:tc>
        <w:tc>
          <w:tcPr/>
          <w:p>
            <w:pPr>
              <w:pStyle w:val="Compact"/>
            </w:pPr>
            <w:r>
              <w:t xml:space="preserve">이항 로짓</w:t>
            </w:r>
          </w:p>
        </w:tc>
        <w:tc>
          <w:tcPr/>
          <w:p>
            <w:pPr>
              <w:pStyle w:val="Compact"/>
            </w:pPr>
            <w:r>
              <w:t xml:space="preserve">logL −547.6, AIC 1115.1,</w:t>
            </w:r>
            <w:r>
              <w:t xml:space="preserve"> </w:t>
            </w:r>
            <w:r>
              <w:rPr>
                <w:b/>
                <w:bCs/>
              </w:rPr>
              <w:t xml:space="preserve">AUC 0.707</w:t>
            </w:r>
          </w:p>
        </w:tc>
      </w:tr>
      <w:tr>
        <w:tc>
          <w:tcPr/>
          <w:p>
            <w:pPr>
              <w:pStyle w:val="Compact"/>
            </w:pPr>
            <w:r>
              <w:t xml:space="preserve">tech_cat</w:t>
            </w:r>
          </w:p>
        </w:tc>
        <w:tc>
          <w:tcPr/>
          <w:p>
            <w:pPr>
              <w:pStyle w:val="Compact"/>
            </w:pPr>
            <w:r>
              <w:t xml:space="preserve">다항 로짓</w:t>
            </w:r>
          </w:p>
        </w:tc>
        <w:tc>
          <w:tcPr/>
          <w:p>
            <w:pPr>
              <w:pStyle w:val="Compact"/>
            </w:pPr>
            <w:r>
              <w:t xml:space="preserve">logL −774.5, AIC 1589.0</w:t>
            </w:r>
          </w:p>
        </w:tc>
      </w:tr>
    </w:tbl>
    <w:p>
      <w:pPr>
        <w:pStyle w:val="BodyText"/>
      </w:pPr>
      <w:r>
        <w:t xml:space="preserve">세 모형은 일관된 그림을 그린다. 기술범위는 시간에 따라 넓어지고(음이항), 넓은 특허일수록 전공정을 청구하며(이항 로짓), 통합형으로 귀결된다(다항 로짓). 관할권 차원에서는 중국이 좁고 전공정·process-only에 치우치며, 일본이 넓고 </w:t>
      </w:r>
      <w:r>
        <w:rPr>
          <w:rFonts w:hint="eastAsia"/>
        </w:rPr>
        <w:t xml:space="preserve">통합·비(非)process-only에</w:t>
      </w:r>
      <w:r>
        <w:t xml:space="preserve"> 치우치는 대비가 세 모형에서 반복된다. 이러한</w:t>
      </w:r>
      <w:r>
        <w:t xml:space="preserve"> </w:t>
      </w:r>
      <w:r>
        <w:rPr>
          <w:b/>
          <w:bCs/>
        </w:rPr>
        <w:t xml:space="preserve">모형 간 일관성</w:t>
      </w:r>
      <w:r>
        <w:t xml:space="preserve">은 결과의 강건성을 뒷받침한다. 적합도 측면에서도 음이항은 Poisson 대비 AIC가 크게 낮고(4,883 vs 5,477), 이항 로짓의 AUC(0.707)는 수용 가능하며, 로버스트 표준오차로도 핵심 계수의 부호·유의성이 유지되었다. 다만 모든 추정치는 관찰 데이터에 기반한</w:t>
      </w:r>
      <w:r>
        <w:t xml:space="preserve"> </w:t>
      </w:r>
      <w:r>
        <w:rPr>
          <w:b/>
          <w:bCs/>
        </w:rPr>
        <w:t xml:space="preserve">연관</w:t>
      </w:r>
      <w:r>
        <w:t xml:space="preserve">이며, 관할권은 출원청(출원인 국적 아님)이라는 점에서 해석의 한계가 있다(제7.3절). 이 미시 결과는 제6장에서 거시 증거와 결합되어 ’경계 흐려짐’으로 종합된다.</w:t>
      </w:r>
    </w:p>
    <w:p>
      <w:r>
        <w:pict>
          <v:rect style="width:0;height:1.5pt" o:hralign="center" o:hrstd="t" o:hr="t"/>
        </w:pict>
      </w:r>
    </w:p>
    <w:bookmarkEnd w:id="59"/>
    <w:bookmarkEnd w:id="60"/>
    <w:bookmarkStart w:id="67" w:name="제6장-통합-논의-전후공정-경계의-흐려짐-rq4"/>
    <w:p>
      <w:pPr>
        <w:pStyle w:val="Heading1"/>
      </w:pPr>
      <w:r>
        <w:t xml:space="preserve">제6장 통합 논의: 전/후공정 경계의 흐려짐 (RQ4)</w:t>
      </w:r>
    </w:p>
    <w:bookmarkStart w:id="61" w:name="거시미시-증거의-수렴"/>
    <w:p>
      <w:pPr>
        <w:pStyle w:val="Heading2"/>
      </w:pPr>
      <w:r>
        <w:t xml:space="preserve">6.1 거시–미시 증거의 수렴</w:t>
      </w:r>
    </w:p>
    <w:p>
      <w:pPr>
        <w:pStyle w:val="FirstParagraph"/>
      </w:pPr>
      <w:r>
        <w:t xml:space="preserve">거시 분석(제4장)은 부가가치가 전공정에서 후공정으로 이동하며, 선도 제조사(TSMC)가 CMP·다마신 등 전공정 기술을 후공정 본딩에 내재화함을 보였다. 미시 분석(제5장)은 이를 특허 수준에서 확인한다. 전체 출원의 63.6%가 전공정 기호를 보유(has_process)하고, 기술범위가 넓을수록 integrated 전략과 전공정 청구로 이어졌다. 즉 거시의</w:t>
      </w:r>
      <w:r>
        <w:t xml:space="preserve"> </w:t>
      </w:r>
      <w:r>
        <w:t xml:space="preserve">“전→후공정 가치 이동”</w:t>
      </w:r>
      <w:r>
        <w:t xml:space="preserve"> </w:t>
      </w:r>
      <w:r>
        <w:t xml:space="preserve">명제와 미시의</w:t>
      </w:r>
      <w:r>
        <w:t xml:space="preserve"> </w:t>
      </w:r>
      <w:r>
        <w:t xml:space="preserve">“후공정 특허의 전공정 침투”</w:t>
      </w:r>
      <w:r>
        <w:t xml:space="preserve"> </w:t>
      </w:r>
      <w:r>
        <w:t xml:space="preserve">증거가 하나의 현상으로 수렴한다.</w:t>
      </w:r>
    </w:p>
    <w:p>
      <w:pPr>
        <w:pStyle w:val="BodyText"/>
      </w:pPr>
      <w:r>
        <w:t xml:space="preserve">시간 추세 역시 두 층위에서 정합한다. 거시에서는 기술이 기초 제조 특허에서 본딩·집적 수준의 광범위한 청구로 성숙해 가며, 미시에서는 기술범위가 확대(IRR&gt;1)되는 동시에 전공정 지향 비중이 감소(OR&lt;1)한다. 이는 하이브리드 본딩이 W2W(이미지센서·3D NAND)에서 D2W(HBM·고성능 로직)로 이행해 온 산업 궤적을 특허 언어로 재현한 것이다.</w:t>
      </w:r>
    </w:p>
    <w:p>
      <w:pPr>
        <w:pStyle w:val="BodyText"/>
      </w:pPr>
      <w:r>
        <w:t xml:space="preserve">RQ4의</w:t>
      </w:r>
      <w:r>
        <w:t xml:space="preserve"> </w:t>
      </w:r>
      <w:r>
        <w:t xml:space="preserve">“수렴”</w:t>
      </w:r>
      <w:r>
        <w:t xml:space="preserve">을 측정 가능한 형태로 정리하면 [표 6-1]과 같다. 세 가지 수렴 신호 각각에 대해 거시·미시 증거가 같은 방향을 가리킨다.</w:t>
      </w:r>
    </w:p>
    <w:p>
      <w:pPr>
        <w:pStyle w:val="BodyText"/>
      </w:pPr>
      <w:r>
        <w:rPr>
          <w:b/>
          <w:bCs/>
        </w:rPr>
        <w:t xml:space="preserve">[표 6-1] 거시–미시 수렴 지표 종합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수렴 신호</w:t>
            </w:r>
          </w:p>
        </w:tc>
        <w:tc>
          <w:tcPr/>
          <w:p>
            <w:pPr>
              <w:pStyle w:val="Compact"/>
            </w:pPr>
            <w:r>
              <w:t xml:space="preserve">거시 증거(자료②)</w:t>
            </w:r>
          </w:p>
        </w:tc>
        <w:tc>
          <w:tcPr/>
          <w:p>
            <w:pPr>
              <w:pStyle w:val="Compact"/>
            </w:pPr>
            <w:r>
              <w:t xml:space="preserve">미시 증거(자료①)</w:t>
            </w:r>
          </w:p>
        </w:tc>
      </w:tr>
      <w:tr>
        <w:tc>
          <w:tcPr/>
          <w:p>
            <w:pPr>
              <w:pStyle w:val="Compact"/>
            </w:pPr>
            <w:r>
              <w:t xml:space="preserve">전·후공정 융합</w:t>
            </w:r>
          </w:p>
        </w:tc>
        <w:tc>
          <w:tcPr/>
          <w:p>
            <w:pPr>
              <w:pStyle w:val="Compact"/>
            </w:pPr>
            <w:r>
              <w:t xml:space="preserve">TSMC가 CMP·다마신 등 전공정 기술을 본딩에 내재화(SoIC)</w:t>
            </w:r>
          </w:p>
        </w:tc>
        <w:tc>
          <w:tcPr/>
          <w:p>
            <w:pPr>
              <w:pStyle w:val="Compact"/>
            </w:pPr>
            <w:r>
              <w:t xml:space="preserve">has_process 비중 63.6%; breadth↑ → 전공정 청구 OR 1.267</w:t>
            </w:r>
          </w:p>
        </w:tc>
      </w:tr>
      <w:tr>
        <w:tc>
          <w:tcPr/>
          <w:p>
            <w:pPr>
              <w:pStyle w:val="Compact"/>
            </w:pPr>
            <w:r>
              <w:t xml:space="preserve">시간적 성숙</w:t>
            </w:r>
          </w:p>
        </w:tc>
        <w:tc>
          <w:tcPr/>
          <w:p>
            <w:pPr>
              <w:pStyle w:val="Compact"/>
            </w:pPr>
            <w:r>
              <w:t xml:space="preserve">기초 제조특허 → 본딩·집적 청구로 이동</w:t>
            </w:r>
          </w:p>
        </w:tc>
        <w:tc>
          <w:tcPr/>
          <w:p>
            <w:pPr>
              <w:pStyle w:val="Compact"/>
            </w:pPr>
            <w:r>
              <w:t xml:space="preserve">breadth 시간 IRR 1.014↑; process지향 시간 OR 0.946↓</w:t>
            </w:r>
          </w:p>
        </w:tc>
      </w:tr>
      <w:tr>
        <w:tc>
          <w:tcPr/>
          <w:p>
            <w:pPr>
              <w:pStyle w:val="Compact"/>
            </w:pPr>
            <w:r>
              <w:t xml:space="preserve">범위–전략 연동</w:t>
            </w:r>
          </w:p>
        </w:tc>
        <w:tc>
          <w:tcPr/>
          <w:p>
            <w:pPr>
              <w:pStyle w:val="Compact"/>
            </w:pPr>
            <w:r>
              <w:t xml:space="preserve">IP·선도 제조사의 광범 포트폴리오</w:t>
            </w:r>
          </w:p>
        </w:tc>
        <w:tc>
          <w:tcPr/>
          <w:p>
            <w:pPr>
              <w:pStyle w:val="Compact"/>
            </w:pPr>
            <w:r>
              <w:t xml:space="preserve">breadth↑ → integrated RRR 1.403, process-only RRR 0.905↓</w:t>
            </w:r>
          </w:p>
        </w:tc>
      </w:tr>
    </w:tbl>
    <w:p>
      <w:pPr>
        <w:pStyle w:val="BodyText"/>
      </w:pPr>
      <w:r>
        <w:t xml:space="preserve">다만 두 명제는 개념적으로 구분된다.</w:t>
      </w:r>
      <w:r>
        <w:t xml:space="preserve"> </w:t>
      </w:r>
      <w:r>
        <w:t xml:space="preserve">“전→후공정 가치 이동”</w:t>
      </w:r>
      <w:r>
        <w:t xml:space="preserve">은</w:t>
      </w:r>
      <w:r>
        <w:t xml:space="preserve"> </w:t>
      </w:r>
      <w:r>
        <w:rPr>
          <w:b/>
          <w:bCs/>
        </w:rPr>
        <w:t xml:space="preserve">가치사슬상의 무게중심 이동</w:t>
      </w:r>
      <w:r>
        <w:t xml:space="preserve">을,</w:t>
      </w:r>
      <w:r>
        <w:t xml:space="preserve"> </w:t>
      </w:r>
      <w:r>
        <w:t xml:space="preserve">“후공정 특허의 전공정 침투”</w:t>
      </w:r>
      <w:r>
        <w:t xml:space="preserve">는</w:t>
      </w:r>
      <w:r>
        <w:t xml:space="preserve"> </w:t>
      </w:r>
      <w:r>
        <w:rPr>
          <w:b/>
          <w:bCs/>
        </w:rPr>
        <w:t xml:space="preserve">개별 특허의 청구범위 확장</w:t>
      </w:r>
      <w:r>
        <w:t xml:space="preserve">을 가리킨다. 본 연구는 이 둘이 동일 기간·동일 모집단에서 같은 방향으로 동시에 관찰된다는 점을 근거로 ’수렴’으로 해석하며, 양자를 무비판적으로 등치하지 않는다.</w:t>
      </w:r>
    </w:p>
    <w:p>
      <w:pPr>
        <w:pStyle w:val="BodyText"/>
      </w:pPr>
      <w:r>
        <w:t xml:space="preserve">이 수렴의 메커니즘은 기술적 필연성에서 비롯된다. 하이브리드 본딩의 성패는 나노미터 단위의 표면 평탄화(CMP), 상온 접합을 위한 표면 활성화, 정밀 정렬에 달려 있는데, 이들은 본래 전공정(H01L21)의 역량이다. 따라서 후공정 본딩을 고도화하려는 주체는 필연적으로 전공정 기술을 청구·내재화하게 되며(예: TSMC의 CMP·다마신 집중), 이것이 미시 수준에서 has_process 비중 증가와 integrated 전략 확대로 나타난다. 동시에 거시 수준에서는 이 역량을 가진 파운드리가 패키징 가치를 흡수하면서 가치사슬의 무게중심이 이동한다. 즉 동일한 기술적 동인(전공정 역량의 본딩 공정 침투)이 미시(청구범위)와 거시(가치사슬) 양쪽에 발현되는 것이며, 이 공통 원인이 두 층위의 증거를 ’수렴’으로 묶는 근거가 된다.</w:t>
      </w:r>
    </w:p>
    <w:bookmarkEnd w:id="61"/>
    <w:bookmarkStart w:id="62" w:name="범용기술gpt-특성과의-정합성"/>
    <w:p>
      <w:pPr>
        <w:pStyle w:val="Heading2"/>
      </w:pPr>
      <w:r>
        <w:t xml:space="preserve">6.2 범용기술(GPT) 특성과의 정합성</w:t>
      </w:r>
    </w:p>
    <w:p>
      <w:pPr>
        <w:pStyle w:val="FirstParagraph"/>
      </w:pPr>
      <w:r>
        <w:t xml:space="preserve">응용이 로직·메모리·전력반도체·MicroLED로 확산되고(자료②) 특허의 기술범위가 확대되는 양상은 범용기술(GPT)의 특성과</w:t>
      </w:r>
      <w:r>
        <w:t xml:space="preserve"> </w:t>
      </w:r>
      <w:r>
        <w:rPr>
          <w:b/>
          <w:bCs/>
        </w:rPr>
        <w:t xml:space="preserve">정합하는 패턴</w:t>
      </w:r>
      <w:r>
        <w:t xml:space="preserve">으로 볼 수 있다(Hall &amp; Trajtenberg, 2004). 다만 본 연구는 GPT 식별 지표인 일반성(generality) 지수와 피인용 분포를 직접 산출하지 않았으므로, 하이브리드 본딩을 GPT로 단정하기보다는 응용 다변화와 기술범위 확대라는 GPT적 징후가 관찰된다고 해석하는 데 그친다. 엄밀한 GPT 판정은 generality 지수의 직접 측정을 요하는 후속 과제다.</w:t>
      </w:r>
    </w:p>
    <w:bookmarkEnd w:id="62"/>
    <w:bookmarkStart w:id="63" w:name="관할권기업-전략의-종합-해석"/>
    <w:p>
      <w:pPr>
        <w:pStyle w:val="Heading2"/>
      </w:pPr>
      <w:r>
        <w:t xml:space="preserve">6.3 관할권·기업 전략의 종합 해석</w:t>
      </w:r>
    </w:p>
    <w:p>
      <w:pPr>
        <w:pStyle w:val="FirstParagraph"/>
      </w:pPr>
      <w:r>
        <w:t xml:space="preserve">출원청 패턴은 거시의 기업 전략과 정합한다.</w:t>
      </w:r>
      <w:r>
        <w:t xml:space="preserve"> </w:t>
      </w:r>
      <w:r>
        <w:rPr>
          <w:b/>
          <w:bCs/>
        </w:rPr>
        <w:t xml:space="preserve">중국 출원청</w:t>
      </w:r>
      <w:r>
        <w:t xml:space="preserve">은 범위가 좁고 process-only 가능성이 가장 높은데, 이는 특정 제조 공정(구리 표면 처리, 저온 어닐, 다이싱)의 내재화에 집중하는 추격 전략과 부합하며, 거시에서 본 YMTC의 X-Stacking·높은 과학연계성 전략과 맞닿는다.</w:t>
      </w:r>
      <w:r>
        <w:t xml:space="preserve"> </w:t>
      </w:r>
      <w:r>
        <w:rPr>
          <w:b/>
          <w:bCs/>
        </w:rPr>
        <w:t xml:space="preserve">일본 출원청</w:t>
      </w:r>
      <w:r>
        <w:t xml:space="preserve">은 범위가 넓고 process-only가 거의 없는데, 이는 전 공정 흐름에 걸쳐 특허를 내는 장비·소재 공급자(예: Tokyo Electron)의 행태와 일치한다.</w:t>
      </w:r>
      <w:r>
        <w:t xml:space="preserve"> </w:t>
      </w:r>
      <w:r>
        <w:rPr>
          <w:b/>
          <w:bCs/>
        </w:rPr>
        <w:t xml:space="preserve">한국·대만</w:t>
      </w:r>
      <w:r>
        <w:t xml:space="preserve">은 미국 기준에 근접하여, 미국 출원인과 정면 경쟁하는 메모리 제조사와 파운드리의 위치를 반영한다.</w:t>
      </w:r>
    </w:p>
    <w:p>
      <w:pPr>
        <w:pStyle w:val="BodyText"/>
      </w:pPr>
      <w:r>
        <w:t xml:space="preserve">거시의 전략 유형과 미시의 관할권·특허 패턴을 직접 매핑하면 [표 6-2]와 같다. 이로써 두 층위가 하나의 전략 지형으로 통합된다.</w:t>
      </w:r>
    </w:p>
    <w:p>
      <w:pPr>
        <w:pStyle w:val="BodyText"/>
      </w:pPr>
      <w:r>
        <w:rPr>
          <w:b/>
          <w:bCs/>
        </w:rPr>
        <w:t xml:space="preserve">[표 6-2] 전략 유형(거시) ↔ 관할권·특허 패턴(미시) 교차 매핑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 유형(거시)</w:t>
            </w:r>
          </w:p>
        </w:tc>
        <w:tc>
          <w:tcPr/>
          <w:p>
            <w:pPr>
              <w:pStyle w:val="Compact"/>
            </w:pPr>
            <w:r>
              <w:t xml:space="preserve">대표 주체(자료②)</w:t>
            </w:r>
          </w:p>
        </w:tc>
        <w:tc>
          <w:tcPr/>
          <w:p>
            <w:pPr>
              <w:pStyle w:val="Compact"/>
            </w:pPr>
            <w:r>
              <w:t xml:space="preserve">미시 관할권·특허 패턴(자료①)</w:t>
            </w:r>
          </w:p>
        </w:tc>
      </w:tr>
      <w:tr>
        <w:tc>
          <w:tcPr/>
          <w:p>
            <w:pPr>
              <w:pStyle w:val="Compact"/>
            </w:pPr>
            <w:r>
              <w:t xml:space="preserve">IP 원천형</w:t>
            </w:r>
          </w:p>
        </w:tc>
        <w:tc>
          <w:tcPr/>
          <w:p>
            <w:pPr>
              <w:pStyle w:val="Compact"/>
            </w:pPr>
            <w:r>
              <w:t xml:space="preserve">Adeia 계열(Ziptronix 등)</w:t>
            </w:r>
          </w:p>
        </w:tc>
        <w:tc>
          <w:tcPr/>
          <w:p>
            <w:pPr>
              <w:pStyle w:val="Compact"/>
            </w:pPr>
            <w:r>
              <w:t xml:space="preserve">최고 CII·SLI·PFS로 원천성 확보(관할권 무관)</w:t>
            </w:r>
          </w:p>
        </w:tc>
      </w:tr>
      <w:tr>
        <w:tc>
          <w:tcPr/>
          <w:p>
            <w:pPr>
              <w:pStyle w:val="Compact"/>
            </w:pPr>
            <w:r>
              <w:t xml:space="preserve">제조 선도·통합형</w:t>
            </w:r>
          </w:p>
        </w:tc>
        <w:tc>
          <w:tcPr/>
          <w:p>
            <w:pPr>
              <w:pStyle w:val="Compact"/>
            </w:pPr>
            <w:r>
              <w:t xml:space="preserve">TSMC, 일본 장비·소재사</w:t>
            </w:r>
          </w:p>
        </w:tc>
        <w:tc>
          <w:tcPr/>
          <w:p>
            <w:pPr>
              <w:pStyle w:val="Compact"/>
            </w:pPr>
            <w:r>
              <w:rPr>
                <w:rFonts w:hint="eastAsia"/>
              </w:rPr>
              <w:t xml:space="preserve">日</w:t>
            </w:r>
            <w:r>
              <w:t xml:space="preserve"> 출원청 breadth 최광폭·integrated, process-only 거의 없음(RRR 0.086)</w:t>
            </w:r>
          </w:p>
        </w:tc>
      </w:tr>
      <w:tr>
        <w:tc>
          <w:tcPr/>
          <w:p>
            <w:pPr>
              <w:pStyle w:val="Compact"/>
            </w:pPr>
            <w:r>
              <w:t xml:space="preserve">추격·공정집중형</w:t>
            </w:r>
          </w:p>
        </w:tc>
        <w:tc>
          <w:tcPr/>
          <w:p>
            <w:pPr>
              <w:pStyle w:val="Compact"/>
            </w:pPr>
            <w:r>
              <w:t xml:space="preserve">YMTC 등 중국</w:t>
            </w:r>
          </w:p>
        </w:tc>
        <w:tc>
          <w:tcPr/>
          <w:p>
            <w:pPr>
              <w:pStyle w:val="Compact"/>
            </w:pPr>
            <w:r>
              <w:rPr>
                <w:rFonts w:hint="eastAsia"/>
              </w:rPr>
              <w:t xml:space="preserve">中</w:t>
            </w:r>
            <w:r>
              <w:t xml:space="preserve"> 출원청 breadth 약 21%↓, process-only RRR 2.687↑</w:t>
            </w:r>
          </w:p>
        </w:tc>
      </w:tr>
      <w:tr>
        <w:tc>
          <w:tcPr/>
          <w:p>
            <w:pPr>
              <w:pStyle w:val="Compact"/>
            </w:pPr>
            <w:r>
              <w:t xml:space="preserve">US 근접 경쟁형</w:t>
            </w:r>
          </w:p>
        </w:tc>
        <w:tc>
          <w:tcPr/>
          <w:p>
            <w:pPr>
              <w:pStyle w:val="Compact"/>
            </w:pPr>
            <w:r>
              <w:t xml:space="preserve">한국·대만 메모리/파운드리</w:t>
            </w:r>
          </w:p>
        </w:tc>
        <w:tc>
          <w:tcPr/>
          <w:p>
            <w:pPr>
              <w:pStyle w:val="Compact"/>
            </w:pPr>
            <w:r>
              <w:t xml:space="preserve">한·대만 breadth가 US 기준과 무차별</w:t>
            </w:r>
          </w:p>
        </w:tc>
      </w:tr>
    </w:tbl>
    <w:bookmarkEnd w:id="63"/>
    <w:bookmarkStart w:id="64" w:name="한국-산업에의-시사점"/>
    <w:p>
      <w:pPr>
        <w:pStyle w:val="Heading2"/>
      </w:pPr>
      <w:r>
        <w:t xml:space="preserve">6.4 한국 산업에의 시사점</w:t>
      </w:r>
    </w:p>
    <w:p>
      <w:pPr>
        <w:pStyle w:val="FirstParagraph"/>
      </w:pPr>
      <w:r>
        <w:t xml:space="preserve">관할권·기업 전략을 종합하면 [표 6-3]과 같은 국가별 전략 지형이 드러난다. 이는 §6.3의 교차 매핑을 국가 단위로 요약한 것이다.</w:t>
      </w:r>
    </w:p>
    <w:p>
      <w:pPr>
        <w:pStyle w:val="BodyText"/>
      </w:pPr>
      <w:r>
        <w:rPr>
          <w:b/>
          <w:bCs/>
        </w:rPr>
        <w:t xml:space="preserve">[표 6-3] 관할권별 전략 지형 종합</w:t>
      </w:r>
      <w:r>
        <w:t xml:space="preserve"> </w:t>
      </w:r>
      <w:r>
        <w:t xml:space="preserve">(자료①②)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관할권</w:t>
            </w:r>
          </w:p>
        </w:tc>
        <w:tc>
          <w:tcPr/>
          <w:p>
            <w:pPr>
              <w:pStyle w:val="Compact"/>
            </w:pPr>
            <w:r>
              <w:t xml:space="preserve">기술범위(미시)</w:t>
            </w:r>
          </w:p>
        </w:tc>
        <w:tc>
          <w:tcPr/>
          <w:p>
            <w:pPr>
              <w:pStyle w:val="Compact"/>
            </w:pPr>
            <w:r>
              <w:t xml:space="preserve">전략지향(미시)</w:t>
            </w:r>
          </w:p>
        </w:tc>
        <w:tc>
          <w:tcPr/>
          <w:p>
            <w:pPr>
              <w:pStyle w:val="Compact"/>
            </w:pPr>
            <w:r>
              <w:t xml:space="preserve">거시 전략·대표 주체</w:t>
            </w:r>
          </w:p>
        </w:tc>
      </w:tr>
      <w:tr>
        <w:tc>
          <w:tcPr/>
          <w:p>
            <w:pPr>
              <w:pStyle w:val="Compact"/>
            </w:pPr>
            <w:r>
              <w:t xml:space="preserve">미국(US)</w:t>
            </w:r>
          </w:p>
        </w:tc>
        <w:tc>
          <w:tcPr/>
          <w:p>
            <w:pPr>
              <w:pStyle w:val="Compact"/>
            </w:pPr>
            <w:r>
              <w:t xml:space="preserve">기준(넓은 편)</w:t>
            </w:r>
          </w:p>
        </w:tc>
        <w:tc>
          <w:tcPr/>
          <w:p>
            <w:pPr>
              <w:pStyle w:val="Compact"/>
            </w:pPr>
            <w:r>
              <w:t xml:space="preserve">균형</w:t>
            </w:r>
          </w:p>
        </w:tc>
        <w:tc>
          <w:tcPr/>
          <w:p>
            <w:pPr>
              <w:pStyle w:val="Compact"/>
            </w:pPr>
            <w:r>
              <w:t xml:space="preserve">원천 IP(Adeia 계열)·종합</w:t>
            </w:r>
          </w:p>
        </w:tc>
      </w:tr>
      <w:tr>
        <w:tc>
          <w:tcPr/>
          <w:p>
            <w:pPr>
              <w:pStyle w:val="Compact"/>
            </w:pPr>
            <w:r>
              <w:t xml:space="preserve">중국(CN)</w:t>
            </w:r>
          </w:p>
        </w:tc>
        <w:tc>
          <w:tcPr/>
          <w:p>
            <w:pPr>
              <w:pStyle w:val="Compact"/>
            </w:pPr>
            <w:r>
              <w:t xml:space="preserve">약 21% 좁음</w:t>
            </w:r>
          </w:p>
        </w:tc>
        <w:tc>
          <w:tcPr/>
          <w:p>
            <w:pPr>
              <w:pStyle w:val="Compact"/>
            </w:pPr>
            <w:r>
              <w:t xml:space="preserve">process-only 강함(RRR 2.69)</w:t>
            </w:r>
          </w:p>
        </w:tc>
        <w:tc>
          <w:tcPr/>
          <w:p>
            <w:pPr>
              <w:pStyle w:val="Compact"/>
            </w:pPr>
            <w:r>
              <w:t xml:space="preserve">추격·공정 내재화(YMTC X-Stacking)</w:t>
            </w:r>
          </w:p>
        </w:tc>
      </w:tr>
      <w:tr>
        <w:tc>
          <w:tcPr/>
          <w:p>
            <w:pPr>
              <w:pStyle w:val="Compact"/>
            </w:pPr>
            <w:r>
              <w:t xml:space="preserve">일본(JP)</w:t>
            </w:r>
          </w:p>
        </w:tc>
        <w:tc>
          <w:tcPr/>
          <w:p>
            <w:pPr>
              <w:pStyle w:val="Compact"/>
            </w:pPr>
            <w:r>
              <w:t xml:space="preserve">최광폭</w:t>
            </w:r>
          </w:p>
        </w:tc>
        <w:tc>
          <w:tcPr/>
          <w:p>
            <w:pPr>
              <w:pStyle w:val="Compact"/>
            </w:pPr>
            <w:r>
              <w:t xml:space="preserve">process-only 거의 없음(RRR 0.086)</w:t>
            </w:r>
          </w:p>
        </w:tc>
        <w:tc>
          <w:tcPr/>
          <w:p>
            <w:pPr>
              <w:pStyle w:val="Compact"/>
            </w:pPr>
            <w:r>
              <w:t xml:space="preserve">장비·소재 전 공정 포트폴리오(TEL 등)</w:t>
            </w:r>
          </w:p>
        </w:tc>
      </w:tr>
      <w:tr>
        <w:tc>
          <w:tcPr/>
          <w:p>
            <w:pPr>
              <w:pStyle w:val="Compact"/>
            </w:pPr>
            <w:r>
              <w:t xml:space="preserve">대만(TW)</w:t>
            </w:r>
          </w:p>
        </w:tc>
        <w:tc>
          <w:tcPr/>
          <w:p>
            <w:pPr>
              <w:pStyle w:val="Compact"/>
            </w:pPr>
            <w:r>
              <w:t xml:space="preserve">US와 무차별</w:t>
            </w:r>
          </w:p>
        </w:tc>
        <w:tc>
          <w:tcPr/>
          <w:p>
            <w:pPr>
              <w:pStyle w:val="Compact"/>
            </w:pPr>
            <w:r>
              <w:t xml:space="preserve">process-only 다소 높음</w:t>
            </w:r>
          </w:p>
        </w:tc>
        <w:tc>
          <w:tcPr/>
          <w:p>
            <w:pPr>
              <w:pStyle w:val="Compact"/>
            </w:pPr>
            <w:r>
              <w:t xml:space="preserve">파운드리 공정 특화(TSMC)</w:t>
            </w:r>
          </w:p>
        </w:tc>
      </w:tr>
      <w:tr>
        <w:tc>
          <w:tcPr/>
          <w:p>
            <w:pPr>
              <w:pStyle w:val="Compact"/>
            </w:pPr>
            <w:r>
              <w:t xml:space="preserve">한국(KR)</w:t>
            </w:r>
          </w:p>
        </w:tc>
        <w:tc>
          <w:tcPr/>
          <w:p>
            <w:pPr>
              <w:pStyle w:val="Compact"/>
            </w:pPr>
            <w:r>
              <w:t xml:space="preserve">US와 무차별</w:t>
            </w:r>
          </w:p>
        </w:tc>
        <w:tc>
          <w:tcPr/>
          <w:p>
            <w:pPr>
              <w:pStyle w:val="Compact"/>
            </w:pPr>
            <w:r>
              <w:t xml:space="preserve">균형</w:t>
            </w:r>
          </w:p>
        </w:tc>
        <w:tc>
          <w:tcPr/>
          <w:p>
            <w:pPr>
              <w:pStyle w:val="Compact"/>
            </w:pPr>
            <w:r>
              <w:t xml:space="preserve">메모리 제조(Samsung), 질적 고도화 과제</w:t>
            </w:r>
          </w:p>
        </w:tc>
      </w:tr>
    </w:tbl>
    <w:p>
      <w:pPr>
        <w:pStyle w:val="BodyText"/>
      </w:pPr>
      <w:r>
        <w:t xml:space="preserve">분석 결과는 하이브리드 본딩이 후공정·전공정 융합으로 완성되는 복합 기술임을 입증한다. 한국 기업이 경쟁 우위를 점하려면 (i) 메모리–파운드리–패키징을 아우르는</w:t>
      </w:r>
      <w:r>
        <w:t xml:space="preserve"> </w:t>
      </w:r>
      <w:r>
        <w:rPr>
          <w:b/>
          <w:bCs/>
        </w:rPr>
        <w:t xml:space="preserve">턴키(turn-key) 전략</w:t>
      </w:r>
      <w:r>
        <w:t xml:space="preserve">을 구체화하고, (ii) 소부장(소재·부품·장비) 기업 및 학계와의 협력으로</w:t>
      </w:r>
      <w:r>
        <w:t xml:space="preserve"> </w:t>
      </w:r>
      <w:r>
        <w:rPr>
          <w:b/>
          <w:bCs/>
        </w:rPr>
        <w:t xml:space="preserve">기초 연구 역량</w:t>
      </w:r>
      <w:r>
        <w:t xml:space="preserve">을 강화해야 한다. 특히 Samsung은 다수 특허에도 인용 영향력(CII 24.75)이 Ziptronix(272.5)·TSMC(71.12)에 크게 못 미치고 무인용 비율(37.3%)이 높아, 양적 확대를 넘어선</w:t>
      </w:r>
      <w:r>
        <w:t xml:space="preserve"> </w:t>
      </w:r>
      <w:r>
        <w:rPr>
          <w:b/>
          <w:bCs/>
        </w:rPr>
        <w:t xml:space="preserve">질적 고도화</w:t>
      </w:r>
      <w:r>
        <w:t xml:space="preserve">가 시급하다. 이는 단순 출원 경쟁이 아니라 원천성·과학연계성을 갖춘 특허 포트폴리오 구축으로의 전환을 요구한다.</w:t>
      </w:r>
    </w:p>
    <w:p>
      <w:pPr>
        <w:pStyle w:val="BodyText"/>
      </w:pPr>
      <w:r>
        <w:t xml:space="preserve">구체적 정책 함의는 다음과 같다. 첫째,</w:t>
      </w:r>
      <w:r>
        <w:t xml:space="preserve"> </w:t>
      </w:r>
      <w:r>
        <w:rPr>
          <w:b/>
          <w:bCs/>
        </w:rPr>
        <w:t xml:space="preserve">턴키 전략의 구체화</w:t>
      </w:r>
      <w:r>
        <w:t xml:space="preserve"> </w:t>
      </w:r>
      <w:r>
        <w:t xml:space="preserve">— 메모리·파운드리·패키징을 수직 통합해 제공하는 역량은 TSMC의 lock-in에 대응하는 후발자의 유력한 카드다. 둘째,</w:t>
      </w:r>
      <w:r>
        <w:t xml:space="preserve"> </w:t>
      </w:r>
      <w:r>
        <w:rPr>
          <w:b/>
          <w:bCs/>
        </w:rPr>
        <w:t xml:space="preserve">원천 IP 확보·우회</w:t>
      </w:r>
      <w:r>
        <w:t xml:space="preserve"> </w:t>
      </w:r>
      <w:r>
        <w:t xml:space="preserve">— Adeia 계열의 원천 특허망을 회피하거나 라이선싱·교차실시로 관리하는 전략이 필요하며, 동시에 상온 접합·표면처리 분야의 자체 원천 특허 확보가 요구된다. 셋째,</w:t>
      </w:r>
      <w:r>
        <w:t xml:space="preserve"> </w:t>
      </w:r>
      <w:r>
        <w:rPr>
          <w:b/>
          <w:bCs/>
        </w:rPr>
        <w:t xml:space="preserve">소부장·학계 연계 강화</w:t>
      </w:r>
      <w:r>
        <w:t xml:space="preserve"> </w:t>
      </w:r>
      <w:r>
        <w:t xml:space="preserve">— 하이브리드 본딩은 장비(본더·다이싱·CMP)·소재(표면처리)의 동반 성장 없이는 수율을 확보할 수 없으므로, 소부장 기업과 대학의 기초연구 역량을 연결하는 산학 생태계가 관건이다. YMTC가 라이선스에서 자립으로 이행한 경로는 기초과학 투자(높은 SLI)가 추격을 가능케 함을 보여주는 반면교사이자 참고 사례다.</w:t>
      </w:r>
    </w:p>
    <w:bookmarkEnd w:id="64"/>
    <w:bookmarkStart w:id="65" w:name="이론적-함의"/>
    <w:p>
      <w:pPr>
        <w:pStyle w:val="Heading2"/>
      </w:pPr>
      <w:r>
        <w:t xml:space="preserve">6.5 이론적 함의</w:t>
      </w:r>
    </w:p>
    <w:p>
      <w:pPr>
        <w:pStyle w:val="FirstParagraph"/>
      </w:pPr>
      <w:r>
        <w:t xml:space="preserve">본 연구의 결과는 세 가지 이론적 함의를 가진다. 첫째,</w:t>
      </w:r>
      <w:r>
        <w:t xml:space="preserve"> </w:t>
      </w:r>
      <w:r>
        <w:rPr>
          <w:b/>
          <w:bCs/>
        </w:rPr>
        <w:t xml:space="preserve">다층 분석의 유효성</w:t>
      </w:r>
      <w:r>
        <w:t xml:space="preserve">이다. 거시적 생태계 서사와 미시적 특허 계량을 분리하지 않고 동일 모집단에서 결합함으로써, 어느 한 층위만으로는 보이지 않던 ’수렴’을 드러낼 수 있었다. 이는 기술 진화 연구에서 서술적 스캐닝과 계량적 검정의 통합이 갖는 설명력을 시사한다. 둘째,</w:t>
      </w:r>
      <w:r>
        <w:t xml:space="preserve"> </w:t>
      </w:r>
      <w:r>
        <w:rPr>
          <w:b/>
          <w:bCs/>
        </w:rPr>
        <w:t xml:space="preserve">융합의 기술적 미시 기초</w:t>
      </w:r>
      <w:r>
        <w:t xml:space="preserve">다. 산업 간 융합(전·후공정 경계의 흐려짐)이 추상적 추세가 아니라 개별 특허의 청구범위·기술범위라는 미시 행위의 집적으로 발현됨을 보였다. 셋째,</w:t>
      </w:r>
      <w:r>
        <w:t xml:space="preserve"> </w:t>
      </w:r>
      <w:r>
        <w:rPr>
          <w:b/>
          <w:bCs/>
        </w:rPr>
        <w:t xml:space="preserve">모형–결과변수 정합성의 방법론적 교훈</w:t>
      </w:r>
      <w:r>
        <w:t xml:space="preserve">이다. 기술범위(카운트)는 음이항으로, 전략유형(범주)은 다항 로짓으로 다루어야 하며, 단일 선형 모형으로의 강제는 오설정을 낳는다는 점은 특허 계량 일반에 적용되는 교훈이다.</w:t>
      </w:r>
    </w:p>
    <w:bookmarkEnd w:id="65"/>
    <w:bookmarkStart w:id="66" w:name="선행연구와의-비교-및-정합성"/>
    <w:p>
      <w:pPr>
        <w:pStyle w:val="Heading2"/>
      </w:pPr>
      <w:r>
        <w:t xml:space="preserve">6.6 선행연구와의 비교 및 정합성</w:t>
      </w:r>
    </w:p>
    <w:p>
      <w:pPr>
        <w:pStyle w:val="FirstParagraph"/>
      </w:pPr>
      <w:r>
        <w:t xml:space="preserve">본 연구의 결과는 선행연구와 어떻게 연결되는가? 첫째,</w:t>
      </w:r>
      <w:r>
        <w:t xml:space="preserve"> </w:t>
      </w:r>
      <w:r>
        <w:rPr>
          <w:b/>
          <w:bCs/>
        </w:rPr>
        <w:t xml:space="preserve">융합·피인용 문헌과의 정합.</w:t>
      </w:r>
      <w:r>
        <w:t xml:space="preserve"> </w:t>
      </w:r>
      <w:r>
        <w:t xml:space="preserve">기술 융복합·시장 다변화가 특허 피인용에 긍정적이라는 김영준(2023)의 결론은, 본 연구에서 기술범위(breadth)가 넓을수록 integrated 전략(전·후공정 동시 청구)으로 귀결된다는 미시 결과와 같은 방향이다. 즉 ’넓은 특허일수록 융합적’이라는 명제가 본 사례에서 재확인된다. 둘째,</w:t>
      </w:r>
      <w:r>
        <w:t xml:space="preserve"> </w:t>
      </w:r>
      <w:r>
        <w:rPr>
          <w:b/>
          <w:bCs/>
        </w:rPr>
        <w:t xml:space="preserve">파운드리 경쟁 문헌과의 정합.</w:t>
      </w:r>
      <w:r>
        <w:t xml:space="preserve"> </w:t>
      </w:r>
      <w:r>
        <w:t xml:space="preserve">TSMC가 전공정 미세화와 첨단 패키징(CoWoS·SoIC)을 동시에 구축한다는 지일용(2025)의 관찰은, 본 연구의 거시(RTA상 TSMC의 다마신·CMP 집중)와 미시(일본 외 제조 강국의 integrated 경향)에서 일관되게 나타난다. 셋째,</w:t>
      </w:r>
      <w:r>
        <w:t xml:space="preserve"> </w:t>
      </w:r>
      <w:r>
        <w:rPr>
          <w:b/>
          <w:bCs/>
        </w:rPr>
        <w:t xml:space="preserve">기술수명·추격 문헌과의 정합.</w:t>
      </w:r>
      <w:r>
        <w:t xml:space="preserve"> </w:t>
      </w:r>
      <w:r>
        <w:t xml:space="preserve">후발자의 추격 가능성을 기술수명주기(TCT)로 분석한 이종호·오철(2022)의 시각은, YMTC의 빠른 인용 피크(2년)와 높은 과학연계성이 추격을 넘어선 자립 신호라는 본 연구의 해석과 부합한다.</w:t>
      </w:r>
    </w:p>
    <w:p>
      <w:pPr>
        <w:pStyle w:val="BodyText"/>
      </w:pPr>
      <w:r>
        <w:t xml:space="preserve">동시에 본 연구는 선행연구를</w:t>
      </w:r>
      <w:r>
        <w:t xml:space="preserve"> </w:t>
      </w:r>
      <w:r>
        <w:rPr>
          <w:b/>
          <w:bCs/>
        </w:rPr>
        <w:t xml:space="preserve">확장</w:t>
      </w:r>
      <w:r>
        <w:t xml:space="preserve">한다. Curran과 Leker(2011), Kwon 등(2020)의 융합 측정은 주로 산업·기술 간 경계를 다루었으나, 본 연구는 그 경계를</w:t>
      </w:r>
      <w:r>
        <w:t xml:space="preserve"> </w:t>
      </w:r>
      <w:r>
        <w:rPr>
          <w:b/>
          <w:bCs/>
        </w:rPr>
        <w:t xml:space="preserve">단일 기술 내부의 전·후공정 축</w:t>
      </w:r>
      <w:r>
        <w:t xml:space="preserve">으로 좁혀 측정 가능한 형태(has_process·tech_cat)로 조작화하였다. 또한 Hall과 Trajtenberg(2004)의 GPT 식별이 generality 등 인용 기반 지표에 의존한 데 비해, 본 연구는 응용 다변화와 기술범위 확대라는 보완적 징후를 제시하되 그 한계(generality 미산출)를 명시함으로써 과잉 일반화를 경계하였다. 요컨대 본 연구는 기존 거시·방법 문헌의 통찰을 하이브리드 본딩이라는 구체적 사례에서</w:t>
      </w:r>
      <w:r>
        <w:t xml:space="preserve"> </w:t>
      </w:r>
      <w:r>
        <w:rPr>
          <w:b/>
          <w:bCs/>
        </w:rPr>
        <w:t xml:space="preserve">거시-미시 양 층위로 교차 확인</w:t>
      </w:r>
      <w:r>
        <w:t xml:space="preserve">했다는 점에서 차별적 기여를 갖는다.</w:t>
      </w:r>
    </w:p>
    <w:p>
      <w:r>
        <w:pict>
          <v:rect style="width:0;height:1.5pt" o:hralign="center" o:hrstd="t" o:hr="t"/>
        </w:pict>
      </w:r>
    </w:p>
    <w:bookmarkEnd w:id="66"/>
    <w:bookmarkEnd w:id="67"/>
    <w:bookmarkStart w:id="72" w:name="제7장-결론"/>
    <w:p>
      <w:pPr>
        <w:pStyle w:val="Heading1"/>
      </w:pPr>
      <w:r>
        <w:t xml:space="preserve">제7장 결론</w:t>
      </w:r>
    </w:p>
    <w:bookmarkStart w:id="68" w:name="연구-요약"/>
    <w:p>
      <w:pPr>
        <w:pStyle w:val="Heading2"/>
      </w:pPr>
      <w:r>
        <w:t xml:space="preserve">7.1 연구 요약</w:t>
      </w:r>
    </w:p>
    <w:p>
      <w:pPr>
        <w:pStyle w:val="FirstParagraph"/>
      </w:pPr>
      <w:r>
        <w:t xml:space="preserve">본 연구는 PATSTAT 특허 데이터를 활용하여 하이브리드 본딩 중심의 차세대 패키징 생태계 진화를 거시–미시 다층으로 분석하였다. 연구질문별 결과는 다음과 같다.</w:t>
      </w:r>
      <w:r>
        <w:t xml:space="preserve"> </w:t>
      </w:r>
      <w:r>
        <w:rPr>
          <w:b/>
          <w:bCs/>
        </w:rPr>
        <w:t xml:space="preserve">(RQ1, 거시)</w:t>
      </w:r>
      <w:r>
        <w:t xml:space="preserve"> </w:t>
      </w:r>
      <w:r>
        <w:t xml:space="preserve">하이브리드 본딩 출원은 2021년 약 66% 급증하며 제품(HBM)을 선행하였고, 상위 10개 기업이 58.5%를 점유하는 가운데 Adeia 계열이 원천 특허 장벽(최고 CII·SLI·PFS)을 구축하였으며 TSMC(전공정 내재화)·YMTC(독자 X-Stacking)·Samsung·Intel(질적 열위) 등 전략이 분화되었다.</w:t>
      </w:r>
      <w:r>
        <w:t xml:space="preserve"> </w:t>
      </w:r>
      <w:r>
        <w:rPr>
          <w:b/>
          <w:bCs/>
        </w:rPr>
        <w:t xml:space="preserve">(RQ2, 미시)</w:t>
      </w:r>
      <w:r>
        <w:t xml:space="preserve"> </w:t>
      </w:r>
      <w:r>
        <w:t xml:space="preserve">기술범위는 시간에 따라 확대되고(연간 IRR≈1.014) 중국 출원청이 약 21% 좁은 반면 일본이 가장 넓었다(음이항).</w:t>
      </w:r>
      <w:r>
        <w:t xml:space="preserve"> </w:t>
      </w:r>
      <w:r>
        <w:rPr>
          <w:b/>
          <w:bCs/>
        </w:rPr>
        <w:t xml:space="preserve">(RQ3, 미시)</w:t>
      </w:r>
      <w:r>
        <w:t xml:space="preserve"> </w:t>
      </w:r>
      <w:r>
        <w:t xml:space="preserve">전공정 청구는 기술범위와 강하게 연동되며(OR 1.267) 시간에 따라 감소하고, process-only는 중국에서 높고(RRR 2.687) 일본에서 거의 없었다(RRR 0.086).</w:t>
      </w:r>
      <w:r>
        <w:t xml:space="preserve"> </w:t>
      </w:r>
      <w:r>
        <w:rPr>
          <w:b/>
          <w:bCs/>
        </w:rPr>
        <w:t xml:space="preserve">(RQ4, 통합)</w:t>
      </w:r>
      <w:r>
        <w:t xml:space="preserve"> </w:t>
      </w:r>
      <w:r>
        <w:t xml:space="preserve">거시 명제(전→후공정 가치 이동)와 미시 증거(후공정 특허의 전공정 침투)는 전/후공정 경계의 흐려짐이라는 하나의 융합 현상으로 수렴하며, 그 공통 동인은 전공정 역량(CMP·표면처리·정렬)의 본딩 공정 침투였다.</w:t>
      </w:r>
    </w:p>
    <w:bookmarkEnd w:id="68"/>
    <w:bookmarkStart w:id="69" w:name="이론적실무적-기여"/>
    <w:p>
      <w:pPr>
        <w:pStyle w:val="Heading2"/>
      </w:pPr>
      <w:r>
        <w:t xml:space="preserve">7.2 이론적·실무적 기여</w:t>
      </w:r>
    </w:p>
    <w:p>
      <w:pPr>
        <w:pStyle w:val="Compact"/>
        <w:numPr>
          <w:ilvl w:val="0"/>
          <w:numId w:val="1005"/>
        </w:numPr>
      </w:pPr>
      <w:r>
        <w:rPr>
          <w:b/>
          <w:bCs/>
        </w:rPr>
        <w:t xml:space="preserve">이론적 기여</w:t>
      </w:r>
      <w:r>
        <w:t xml:space="preserve"> </w:t>
      </w:r>
      <w:r>
        <w:t xml:space="preserve">— P–S–P 프레임에 기술융합 렌즈를 결합한 다층 분석틀을 제시하여, 단위공정의 진화가 구조·제품으로 확장되는 Bottom-up 메커니즘을 규명하였다. 특히 산업 간 융합이라는 거시 현상이 개별 특허의 청구범위·기술범위라는 미시 행위로 발현됨을 보여, 융합의 ’미시 기초’를 실증하였다. (2)</w:t>
      </w:r>
      <w:r>
        <w:t xml:space="preserve"> </w:t>
      </w:r>
      <w:r>
        <w:rPr>
          <w:b/>
          <w:bCs/>
        </w:rPr>
        <w:t xml:space="preserve">방법론적 기여</w:t>
      </w:r>
      <w:r>
        <w:t xml:space="preserve"> </w:t>
      </w:r>
      <w:r>
        <w:t xml:space="preserve">— 동일 데이터에 기술 스캐닝(서술·네트워크·지표)과 가설 검정(계량)을 결합한 혼합방법을 구현하고, 결과변수의 통계적 성격에 맞춘 모형 선택(카운트→음이항, 범주→다항 로짓)의 중요성을 진단을 통해 입증하였다. (3)</w:t>
      </w:r>
      <w:r>
        <w:t xml:space="preserve"> </w:t>
      </w:r>
      <w:r>
        <w:rPr>
          <w:b/>
          <w:bCs/>
        </w:rPr>
        <w:t xml:space="preserve">실증적 기여</w:t>
      </w:r>
      <w:r>
        <w:t xml:space="preserve"> </w:t>
      </w:r>
      <w:r>
        <w:t xml:space="preserve">— 신흥 핵심 공정인 하이브리드 본딩을 특허 계량의 대상으로 삼아, GPT적 징후를 생태계·특허 수준에서 동시에 규명하였다. (4)</w:t>
      </w:r>
      <w:r>
        <w:t xml:space="preserve"> </w:t>
      </w:r>
      <w:r>
        <w:rPr>
          <w:b/>
          <w:bCs/>
        </w:rPr>
        <w:t xml:space="preserve">정책·실무적 기여</w:t>
      </w:r>
      <w:r>
        <w:t xml:space="preserve"> </w:t>
      </w:r>
      <w:r>
        <w:t xml:space="preserve">— IP 원천형·제조 선도형·추격형·근접 경쟁형이라는 전략 유형화를 통해, 한국 반도체 산업이 메모리–파운드리–패키징을 아우르는 턴키 전략과 기초연구·소부장 연계로 질적 고도화를 추구해야 한다는 함의를 도출하였다.</w:t>
      </w:r>
    </w:p>
    <w:bookmarkEnd w:id="69"/>
    <w:bookmarkStart w:id="70" w:name="한계-및-향후-연구"/>
    <w:p>
      <w:pPr>
        <w:pStyle w:val="Heading2"/>
      </w:pPr>
      <w:r>
        <w:t xml:space="preserve">7.3 한계 및 향후 연구</w:t>
      </w:r>
    </w:p>
    <w:p>
      <w:pPr>
        <w:pStyle w:val="FirstParagraph"/>
      </w:pPr>
      <w:r>
        <w:t xml:space="preserve">본 연구는 다음의 한계를 가진다. 첫째,</w:t>
      </w:r>
      <w:r>
        <w:t xml:space="preserve"> </w:t>
      </w:r>
      <w:r>
        <w:rPr>
          <w:b/>
          <w:bCs/>
        </w:rPr>
        <w:t xml:space="preserve">측정의 한계</w:t>
      </w:r>
      <w:r>
        <w:t xml:space="preserve"> </w:t>
      </w:r>
      <w:r>
        <w:t xml:space="preserve">— 관할권 변수는 출원인 국적이 아니라 출원청이므로 출원청 간 차이에는 발명 기원과 보호 전략이 혼재하며, WO·EP는 국가가 아닌 출원 경로다. 둘째,</w:t>
      </w:r>
      <w:r>
        <w:t xml:space="preserve"> </w:t>
      </w:r>
      <w:r>
        <w:rPr>
          <w:b/>
          <w:bCs/>
        </w:rPr>
        <w:t xml:space="preserve">인과 식별의 한계</w:t>
      </w:r>
      <w:r>
        <w:t xml:space="preserve"> </w:t>
      </w:r>
      <w:r>
        <w:t xml:space="preserve">— 추정치는 연관(association)이며, 기술범위와 전략은 동시 결정될 수 있으나 자료 내 적절한 도구변수가 없어 인과 식별은 후속 과제로 남긴다. 셋째,</w:t>
      </w:r>
      <w:r>
        <w:t xml:space="preserve"> </w:t>
      </w:r>
      <w:r>
        <w:rPr>
          <w:b/>
          <w:bCs/>
        </w:rPr>
        <w:t xml:space="preserve">통제의 한계</w:t>
      </w:r>
      <w:r>
        <w:t xml:space="preserve"> </w:t>
      </w:r>
      <w:r>
        <w:t xml:space="preserve">— 출원인 식별자 부재로 기업 고정효과를 통제하지 못해, 관할권 효과에 기업 구성 효과가 일부 섞일 수 있다. 넷째,</w:t>
      </w:r>
      <w:r>
        <w:t xml:space="preserve"> </w:t>
      </w:r>
      <w:r>
        <w:rPr>
          <w:b/>
          <w:bCs/>
        </w:rPr>
        <w:t xml:space="preserve">재현성의 한계</w:t>
      </w:r>
      <w:r>
        <w:t xml:space="preserve"> </w:t>
      </w:r>
      <w:r>
        <w:t xml:space="preserve">— 본 논문은 저자의 선행 분석 결과를 통합·재해석한 것으로 수치의 독립적 재계산(데이터 재추출·모형 재추정)은 수행하지 않았으므로, 동일 PATSTAT 스냅숏과 분석 코드를 공개하여 재현성을 확보하는 작업이 필요하다. 다섯째,</w:t>
      </w:r>
      <w:r>
        <w:t xml:space="preserve"> </w:t>
      </w:r>
      <w:r>
        <w:rPr>
          <w:b/>
          <w:bCs/>
        </w:rPr>
        <w:t xml:space="preserve">프레임의 한계</w:t>
      </w:r>
      <w:r>
        <w:t xml:space="preserve"> </w:t>
      </w:r>
      <w:r>
        <w:t xml:space="preserve">— P–S–P에서 공정–구조 연결의 규명이 미흡하였다(자료②).</w:t>
      </w:r>
    </w:p>
    <w:p>
      <w:pPr>
        <w:pStyle w:val="BodyText"/>
      </w:pPr>
      <w:r>
        <w:t xml:space="preserve">향후 연구 방향은 다음과 같다. (a) 플라즈마 다이싱·초정밀 CMP 슬러리·본딩 장비 등</w:t>
      </w:r>
      <w:r>
        <w:t xml:space="preserve"> </w:t>
      </w:r>
      <w:r>
        <w:rPr>
          <w:b/>
          <w:bCs/>
        </w:rPr>
        <w:t xml:space="preserve">세부 장비·소재 기술</w:t>
      </w:r>
      <w:r>
        <w:t xml:space="preserve">의 특허 분석으로 공정–구조 연결을 보강하고, (b) 실리콘 포토닉스(CPO)·MicroLED·전력반도체(SiC/GaN) 등</w:t>
      </w:r>
      <w:r>
        <w:t xml:space="preserve"> </w:t>
      </w:r>
      <w:r>
        <w:rPr>
          <w:b/>
          <w:bCs/>
        </w:rPr>
        <w:t xml:space="preserve">파생 응용</w:t>
      </w:r>
      <w:r>
        <w:t xml:space="preserve">별 기술 요구와 특허 동향을 비교하여 GPT적 파급을 정량화하며, (c) 인용 대신</w:t>
      </w:r>
      <w:r>
        <w:t xml:space="preserve"> </w:t>
      </w:r>
      <w:r>
        <w:rPr>
          <w:b/>
          <w:bCs/>
        </w:rPr>
        <w:t xml:space="preserve">텍스트마이닝 기반 특허 네트워크</w:t>
      </w:r>
      <w:r>
        <w:t xml:space="preserve">(Yoon &amp; Park, 2004)로 공정–구조–제품 연결을 정교화하고, (d) generality 지수의 직접 산출로 GPT 가설을</w:t>
      </w:r>
      <w:r>
        <w:t xml:space="preserve"> </w:t>
      </w:r>
      <w:r>
        <w:rPr>
          <w:b/>
          <w:bCs/>
        </w:rPr>
        <w:t xml:space="preserve">엄밀히 검정</w:t>
      </w:r>
      <w:r>
        <w:t xml:space="preserve">하며, (e) 출원인 패널을 구축해</w:t>
      </w:r>
      <w:r>
        <w:t xml:space="preserve"> </w:t>
      </w:r>
      <w:r>
        <w:rPr>
          <w:b/>
          <w:bCs/>
        </w:rPr>
        <w:t xml:space="preserve">기업 고정효과·인과 식별</w:t>
      </w:r>
      <w:r>
        <w:t xml:space="preserve">을 시도할 수 있다.</w:t>
      </w:r>
    </w:p>
    <w:bookmarkEnd w:id="70"/>
    <w:bookmarkStart w:id="71" w:name="맺음말"/>
    <w:p>
      <w:pPr>
        <w:pStyle w:val="Heading2"/>
      </w:pPr>
      <w:r>
        <w:t xml:space="preserve">7.4 맺음말</w:t>
      </w:r>
    </w:p>
    <w:p>
      <w:pPr>
        <w:pStyle w:val="FirstParagraph"/>
      </w:pPr>
      <w:r>
        <w:t xml:space="preserve">하이브리드 본딩은 단순한 후공정 패키징 기술이 아니라, 전공정 역량과의 융합을 통해 완성되는 복합 기술이자 차세대 반도체의 공통 기반이다. 본 연구는 특허라는 정량적 증거를 거시·미시 두 층위에서 교차 확인함으로써, 산업계의 통념이던 ’전·후공정 경계의 흐려짐’을 데이터로 뒷받침하였다. 기술 패권 경쟁이 심화되는 국면에서, 원천성과 과학연계성을 갖춘 특허 포트폴리오의 구축과 메모리–파운드리–패키징의 통합 역량 확보는 한국 반도체 산업의 지속 가능한 경쟁 우위를 위한 핵심 과제가 될 것이다.</w:t>
      </w:r>
    </w:p>
    <w:p>
      <w:r>
        <w:pict>
          <v:rect style="width:0;height:1.5pt" o:hralign="center" o:hrstd="t" o:hr="t"/>
        </w:pict>
      </w:r>
    </w:p>
    <w:bookmarkEnd w:id="71"/>
    <w:bookmarkEnd w:id="72"/>
    <w:bookmarkStart w:id="75" w:name="참고문헌-references"/>
    <w:p>
      <w:pPr>
        <w:pStyle w:val="Heading1"/>
      </w:pPr>
      <w:r>
        <w:t xml:space="preserve">참고문헌 (References)</w:t>
      </w:r>
    </w:p>
    <w:p>
      <w:pPr>
        <w:pStyle w:val="BlockText"/>
      </w:pPr>
      <w:r>
        <w:t xml:space="preserve">APA 7판 기준. 가나다/알파벳 정렬은 학교 양식 확정 시 최종화.</w:t>
      </w:r>
    </w:p>
    <w:bookmarkStart w:id="73" w:name="국문"/>
    <w:p>
      <w:pPr>
        <w:pStyle w:val="Heading2"/>
      </w:pPr>
      <w:r>
        <w:t xml:space="preserve">국문</w:t>
      </w:r>
    </w:p>
    <w:p>
      <w:pPr>
        <w:pStyle w:val="Compact"/>
        <w:numPr>
          <w:ilvl w:val="0"/>
          <w:numId w:val="1006"/>
        </w:numPr>
      </w:pPr>
      <w:r>
        <w:t xml:space="preserve">금연욱, 김의석. (2023). 반도체 장비 기업의 유형별 혁신 속성 및 기술지식 영향력 요인 연구.</w:t>
      </w:r>
      <w:r>
        <w:t xml:space="preserve"> </w:t>
      </w:r>
      <w:r>
        <w:rPr>
          <w:i/>
          <w:iCs/>
        </w:rPr>
        <w:t xml:space="preserve">한국산학기술학회논문지, 24</w:t>
      </w:r>
      <w:r>
        <w:t xml:space="preserve">(7), 176–188.</w:t>
      </w:r>
    </w:p>
    <w:p>
      <w:pPr>
        <w:pStyle w:val="Compact"/>
        <w:numPr>
          <w:ilvl w:val="0"/>
          <w:numId w:val="1006"/>
        </w:numPr>
      </w:pPr>
      <w:r>
        <w:t xml:space="preserve">김기윤, 이성주. (2024). 한국 반도체 기술 네트워크 연구: 데이터 기반 접근법.</w:t>
      </w:r>
      <w:r>
        <w:t xml:space="preserve"> </w:t>
      </w:r>
      <w:r>
        <w:rPr>
          <w:i/>
          <w:iCs/>
        </w:rPr>
        <w:t xml:space="preserve">정부학연구, 30</w:t>
      </w:r>
      <w:r>
        <w:t xml:space="preserve">(1), 89–116.</w:t>
      </w:r>
    </w:p>
    <w:p>
      <w:pPr>
        <w:pStyle w:val="Compact"/>
        <w:numPr>
          <w:ilvl w:val="0"/>
          <w:numId w:val="1006"/>
        </w:numPr>
      </w:pPr>
      <w:r>
        <w:t xml:space="preserve">김민규, 설영진, 이승현, 윤장혁. (2025). 특허의 Problem-Solution 분석을 활용한 반도체 기술동향 분석.</w:t>
      </w:r>
      <w:r>
        <w:t xml:space="preserve"> </w:t>
      </w:r>
      <w:r>
        <w:rPr>
          <w:i/>
          <w:iCs/>
        </w:rPr>
        <w:t xml:space="preserve">지식재산연구, 20</w:t>
      </w:r>
      <w:r>
        <w:t xml:space="preserve">(1), 145–175.</w:t>
      </w:r>
    </w:p>
    <w:p>
      <w:pPr>
        <w:pStyle w:val="Compact"/>
        <w:numPr>
          <w:ilvl w:val="0"/>
          <w:numId w:val="1006"/>
        </w:numPr>
      </w:pPr>
      <w:r>
        <w:t xml:space="preserve">김영준. (2023).</w:t>
      </w:r>
      <w:r>
        <w:t xml:space="preserve"> </w:t>
      </w:r>
      <w:r>
        <w:rPr>
          <w:i/>
          <w:iCs/>
        </w:rPr>
        <w:t xml:space="preserve">기업의 기술 융복합 활동 및 시장 다변화 노력이 특허의 피인용에 미치는 영향: 미국 반도체 특허를 중심으로</w:t>
      </w:r>
      <w:r>
        <w:t xml:space="preserve"> </w:t>
      </w:r>
      <w:r>
        <w:t xml:space="preserve">(박사학위논문, 고려대학교 기술경영전문대학원).</w:t>
      </w:r>
    </w:p>
    <w:p>
      <w:pPr>
        <w:pStyle w:val="Compact"/>
        <w:numPr>
          <w:ilvl w:val="0"/>
          <w:numId w:val="1006"/>
        </w:numPr>
      </w:pPr>
      <w:r>
        <w:t xml:space="preserve">민성기. (2023). 미중 디커플링과 AI 산업 기술공급망 분리.</w:t>
      </w:r>
      <w:r>
        <w:t xml:space="preserve"> </w:t>
      </w:r>
      <w:r>
        <w:rPr>
          <w:i/>
          <w:iCs/>
        </w:rPr>
        <w:t xml:space="preserve">중국과 중국학, 48</w:t>
      </w:r>
      <w:r>
        <w:t xml:space="preserve">, 51–75.</w:t>
      </w:r>
    </w:p>
    <w:p>
      <w:pPr>
        <w:pStyle w:val="Compact"/>
        <w:numPr>
          <w:ilvl w:val="0"/>
          <w:numId w:val="1006"/>
        </w:numPr>
      </w:pPr>
      <w:r>
        <w:t xml:space="preserve">박지민. (2019).</w:t>
      </w:r>
      <w:r>
        <w:t xml:space="preserve"> </w:t>
      </w:r>
      <w:r>
        <w:rPr>
          <w:i/>
          <w:iCs/>
        </w:rPr>
        <w:t xml:space="preserve">특허 데이터를 활용한 인공지능 반도체 트렌드 및 글로벌 기업 활동 분석</w:t>
      </w:r>
      <w:r>
        <w:t xml:space="preserve"> </w:t>
      </w:r>
      <w:r>
        <w:t xml:space="preserve">(석사학위논문, 연세대학교).</w:t>
      </w:r>
    </w:p>
    <w:p>
      <w:pPr>
        <w:pStyle w:val="Compact"/>
        <w:numPr>
          <w:ilvl w:val="0"/>
          <w:numId w:val="1006"/>
        </w:numPr>
      </w:pPr>
      <w:r>
        <w:t xml:space="preserve">오유진. (2025).</w:t>
      </w:r>
      <w:r>
        <w:t xml:space="preserve"> </w:t>
      </w:r>
      <w:r>
        <w:rPr>
          <w:i/>
          <w:iCs/>
        </w:rPr>
        <w:t xml:space="preserve">특허 데이터 기반 텍스트 마이닝을 이용한 반도체 패키징 기술동향 연구</w:t>
      </w:r>
      <w:r>
        <w:t xml:space="preserve"> </w:t>
      </w:r>
      <w:r>
        <w:t xml:space="preserve">(석사학위논문, 고려대학교 기술경영전문대학원).</w:t>
      </w:r>
    </w:p>
    <w:p>
      <w:pPr>
        <w:pStyle w:val="Compact"/>
        <w:numPr>
          <w:ilvl w:val="0"/>
          <w:numId w:val="1006"/>
        </w:numPr>
      </w:pPr>
      <w:r>
        <w:t xml:space="preserve">오철. (2024). 시스템 반도체 산업에서 미·중 경쟁과 한국의 AI 반도체 산업정책에 대한 시사점.</w:t>
      </w:r>
      <w:r>
        <w:t xml:space="preserve"> </w:t>
      </w:r>
      <w:r>
        <w:rPr>
          <w:i/>
          <w:iCs/>
        </w:rPr>
        <w:t xml:space="preserve">중국과 중국학, 51</w:t>
      </w:r>
      <w:r>
        <w:t xml:space="preserve">, 1–24.</w:t>
      </w:r>
    </w:p>
    <w:p>
      <w:pPr>
        <w:pStyle w:val="Compact"/>
        <w:numPr>
          <w:ilvl w:val="0"/>
          <w:numId w:val="1006"/>
        </w:numPr>
      </w:pPr>
      <w:r>
        <w:t xml:space="preserve">우징원, 남은영. (2023). 중국 3세대 반도체 산업 발전이 한국에 주는 시사점.</w:t>
      </w:r>
      <w:r>
        <w:t xml:space="preserve"> </w:t>
      </w:r>
      <w:r>
        <w:rPr>
          <w:i/>
          <w:iCs/>
        </w:rPr>
        <w:t xml:space="preserve">한중사회과학연구, 21</w:t>
      </w:r>
      <w:r>
        <w:t xml:space="preserve">(4), 81–109.</w:t>
      </w:r>
    </w:p>
    <w:p>
      <w:pPr>
        <w:pStyle w:val="Compact"/>
        <w:numPr>
          <w:ilvl w:val="0"/>
          <w:numId w:val="1006"/>
        </w:numPr>
      </w:pPr>
      <w:r>
        <w:t xml:space="preserve">이종호, 오철. (2022). AI 반도체 산업의 기술발전 방향과 후발자의 추격 가능성에 대한 고찰.</w:t>
      </w:r>
      <w:r>
        <w:t xml:space="preserve"> </w:t>
      </w:r>
      <w:r>
        <w:rPr>
          <w:i/>
          <w:iCs/>
        </w:rPr>
        <w:t xml:space="preserve">한국혁신학회지, 17</w:t>
      </w:r>
      <w:r>
        <w:t xml:space="preserve">(3).</w:t>
      </w:r>
    </w:p>
    <w:p>
      <w:pPr>
        <w:pStyle w:val="Compact"/>
        <w:numPr>
          <w:ilvl w:val="0"/>
          <w:numId w:val="1006"/>
        </w:numPr>
      </w:pPr>
      <w:r>
        <w:t xml:space="preserve">이찬우. (2020). 중국 반도체 산업의 기술혁신 성과 분석: 파운드리 기업 SMIC의 특허 분석을 중심으로.</w:t>
      </w:r>
      <w:r>
        <w:t xml:space="preserve"> </w:t>
      </w:r>
      <w:r>
        <w:rPr>
          <w:i/>
          <w:iCs/>
        </w:rPr>
        <w:t xml:space="preserve">중국학연구</w:t>
      </w:r>
      <w:r>
        <w:t xml:space="preserve">, 175–208.</w:t>
      </w:r>
    </w:p>
    <w:p>
      <w:pPr>
        <w:pStyle w:val="Compact"/>
        <w:numPr>
          <w:ilvl w:val="0"/>
          <w:numId w:val="1006"/>
        </w:numPr>
      </w:pPr>
      <w:r>
        <w:t xml:space="preserve">이승환. (2025).</w:t>
      </w:r>
      <w:r>
        <w:t xml:space="preserve"> </w:t>
      </w:r>
      <w:r>
        <w:rPr>
          <w:i/>
          <w:iCs/>
        </w:rPr>
        <w:t xml:space="preserve">글로벌 선도기업 기술경쟁력에 관한 연구: 원자층 증착 기술 특허분석을 바탕으로</w:t>
      </w:r>
      <w:r>
        <w:t xml:space="preserve"> </w:t>
      </w:r>
      <w:r>
        <w:t xml:space="preserve">(박사학위논문, 성균관대학교 기술경영전문대학원).</w:t>
      </w:r>
    </w:p>
    <w:p>
      <w:pPr>
        <w:pStyle w:val="Compact"/>
        <w:numPr>
          <w:ilvl w:val="0"/>
          <w:numId w:val="1006"/>
        </w:numPr>
      </w:pPr>
      <w:r>
        <w:t xml:space="preserve">지일용. (2025). 특허 자료를 활용한 한국과 대만의 대표 파운드리 기업 간 반도체 공정기술 분야 기술경쟁력 및 차별성 비교 분석.</w:t>
      </w:r>
      <w:r>
        <w:t xml:space="preserve"> </w:t>
      </w:r>
      <w:r>
        <w:rPr>
          <w:i/>
          <w:iCs/>
        </w:rPr>
        <w:t xml:space="preserve">한국산학기술학회논문지, 26</w:t>
      </w:r>
      <w:r>
        <w:t xml:space="preserve">(6), 841–851.</w:t>
      </w:r>
    </w:p>
    <w:bookmarkEnd w:id="73"/>
    <w:bookmarkStart w:id="74" w:name="영문"/>
    <w:p>
      <w:pPr>
        <w:pStyle w:val="Heading2"/>
      </w:pPr>
      <w:r>
        <w:t xml:space="preserve">영문</w:t>
      </w:r>
    </w:p>
    <w:p>
      <w:pPr>
        <w:pStyle w:val="Compact"/>
        <w:numPr>
          <w:ilvl w:val="0"/>
          <w:numId w:val="1007"/>
        </w:numPr>
      </w:pPr>
      <w:r>
        <w:t xml:space="preserve">Cameron, A. C., &amp; Trivedi, P. K. (2013).</w:t>
      </w:r>
      <w:r>
        <w:t xml:space="preserve"> </w:t>
      </w:r>
      <w:r>
        <w:rPr>
          <w:i/>
          <w:iCs/>
        </w:rPr>
        <w:t xml:space="preserve">Regression analysis of count data</w:t>
      </w:r>
      <w:r>
        <w:t xml:space="preserve"> </w:t>
      </w:r>
      <w:r>
        <w:t xml:space="preserve">(2nd ed.). Cambridge University Press.</w:t>
      </w:r>
    </w:p>
    <w:p>
      <w:pPr>
        <w:pStyle w:val="Compact"/>
        <w:numPr>
          <w:ilvl w:val="0"/>
          <w:numId w:val="1007"/>
        </w:numPr>
      </w:pPr>
      <w:r>
        <w:t xml:space="preserve">Curran, C.-S., &amp; Leker, J. (2011). Patent indicators for monitoring convergence – Examples from NFF and ICT.</w:t>
      </w:r>
      <w:r>
        <w:t xml:space="preserve"> </w:t>
      </w:r>
      <w:r>
        <w:rPr>
          <w:i/>
          <w:iCs/>
        </w:rPr>
        <w:t xml:space="preserve">Technological Forecasting and Social Change, 78</w:t>
      </w:r>
      <w:r>
        <w:t xml:space="preserve">(2), 256–273.</w:t>
      </w:r>
    </w:p>
    <w:p>
      <w:pPr>
        <w:pStyle w:val="Compact"/>
        <w:numPr>
          <w:ilvl w:val="0"/>
          <w:numId w:val="1007"/>
        </w:numPr>
      </w:pPr>
      <w:r>
        <w:t xml:space="preserve">European Patent Office. (2025).</w:t>
      </w:r>
      <w:r>
        <w:t xml:space="preserve"> </w:t>
      </w:r>
      <w:r>
        <w:rPr>
          <w:i/>
          <w:iCs/>
        </w:rPr>
        <w:t xml:space="preserve">PATSTAT Global</w:t>
      </w:r>
      <w:r>
        <w:t xml:space="preserve"> </w:t>
      </w:r>
      <w:r>
        <w:t xml:space="preserve">[Database]. EPO.</w:t>
      </w:r>
    </w:p>
    <w:p>
      <w:pPr>
        <w:pStyle w:val="Compact"/>
        <w:numPr>
          <w:ilvl w:val="0"/>
          <w:numId w:val="1007"/>
        </w:numPr>
      </w:pPr>
      <w:r>
        <w:t xml:space="preserve">Hall, B. H., &amp; Trajtenberg, M. (2004).</w:t>
      </w:r>
      <w:r>
        <w:t xml:space="preserve"> </w:t>
      </w:r>
      <w:r>
        <w:rPr>
          <w:i/>
          <w:iCs/>
        </w:rPr>
        <w:t xml:space="preserve">Uncovering GPTs with patent data</w:t>
      </w:r>
      <w:r>
        <w:t xml:space="preserve"> </w:t>
      </w:r>
      <w:r>
        <w:t xml:space="preserve">(NBER Working Paper No. 10901). National Bureau of Economic Research.</w:t>
      </w:r>
    </w:p>
    <w:p>
      <w:pPr>
        <w:pStyle w:val="Compact"/>
        <w:numPr>
          <w:ilvl w:val="0"/>
          <w:numId w:val="1007"/>
        </w:numPr>
      </w:pPr>
      <w:r>
        <w:t xml:space="preserve">Hausman, J., Hall, B. H., &amp; Griliches, Z. (1984). Econometric models for count data with an application to the patents–R&amp;D relationship.</w:t>
      </w:r>
      <w:r>
        <w:t xml:space="preserve"> </w:t>
      </w:r>
      <w:r>
        <w:rPr>
          <w:i/>
          <w:iCs/>
        </w:rPr>
        <w:t xml:space="preserve">Econometrica, 52</w:t>
      </w:r>
      <w:r>
        <w:t xml:space="preserve">(4), 909–938.</w:t>
      </w:r>
    </w:p>
    <w:p>
      <w:pPr>
        <w:pStyle w:val="Compact"/>
        <w:numPr>
          <w:ilvl w:val="0"/>
          <w:numId w:val="1007"/>
        </w:numPr>
      </w:pPr>
      <w:r>
        <w:t xml:space="preserve">Kwon, O., An, Y., Kim, M., &amp; Lee, C. (2020). Anticipating technology-driven industry convergence: Evidence from large-scale patent analysis.</w:t>
      </w:r>
      <w:r>
        <w:t xml:space="preserve"> </w:t>
      </w:r>
      <w:r>
        <w:rPr>
          <w:i/>
          <w:iCs/>
        </w:rPr>
        <w:t xml:space="preserve">Technology Analysis &amp; Strategic Management, 32</w:t>
      </w:r>
      <w:r>
        <w:t xml:space="preserve">(4), 363–378.</w:t>
      </w:r>
    </w:p>
    <w:p>
      <w:pPr>
        <w:pStyle w:val="Compact"/>
        <w:numPr>
          <w:ilvl w:val="0"/>
          <w:numId w:val="1007"/>
        </w:numPr>
      </w:pPr>
      <w:r>
        <w:t xml:space="preserve">Narin, F., Noma, E., &amp; Perry, R. (1987). Patents as indicators of corporate technological strength.</w:t>
      </w:r>
      <w:r>
        <w:t xml:space="preserve"> </w:t>
      </w:r>
      <w:r>
        <w:rPr>
          <w:i/>
          <w:iCs/>
        </w:rPr>
        <w:t xml:space="preserve">Research Policy, 16</w:t>
      </w:r>
      <w:r>
        <w:t xml:space="preserve">(2–4), 143–155.</w:t>
      </w:r>
    </w:p>
    <w:p>
      <w:pPr>
        <w:pStyle w:val="Compact"/>
        <w:numPr>
          <w:ilvl w:val="0"/>
          <w:numId w:val="1007"/>
        </w:numPr>
      </w:pPr>
      <w:r>
        <w:t xml:space="preserve">Yoon, B., &amp; Park, Y. (2004). A text-mining-based patent network: Analytical tool for high-technology trend.</w:t>
      </w:r>
      <w:r>
        <w:t xml:space="preserve"> </w:t>
      </w:r>
      <w:r>
        <w:rPr>
          <w:i/>
          <w:iCs/>
        </w:rPr>
        <w:t xml:space="preserve">The Journal of High Technology Management Research, 15</w:t>
      </w:r>
      <w:r>
        <w:t xml:space="preserve">(1), 37–50.</w:t>
      </w:r>
    </w:p>
    <w:p>
      <w:pPr>
        <w:pStyle w:val="Compact"/>
        <w:numPr>
          <w:ilvl w:val="0"/>
          <w:numId w:val="1007"/>
        </w:numPr>
      </w:pPr>
      <w:r>
        <w:rPr>
          <w:i/>
          <w:iCs/>
        </w:rPr>
        <w:t xml:space="preserve">State-of-the-art and outlooks of chiplets heterogeneous integration and hybrid bonding.</w:t>
      </w:r>
      <w:r>
        <w:t xml:space="preserve"> </w:t>
      </w:r>
      <w:r>
        <w:t xml:space="preserve">(2021).</w:t>
      </w:r>
      <w:r>
        <w:t xml:space="preserve"> </w:t>
      </w:r>
      <w:r>
        <w:rPr>
          <w:i/>
          <w:iCs/>
        </w:rPr>
        <w:t xml:space="preserve">Journal of Microelectronics and Electronic Packaging, 18</w:t>
      </w:r>
      <w:r>
        <w:t xml:space="preserve">(4), 145. ★확인</w:t>
      </w:r>
    </w:p>
    <w:p>
      <w:pPr>
        <w:pStyle w:val="Compact"/>
        <w:numPr>
          <w:ilvl w:val="0"/>
          <w:numId w:val="1007"/>
        </w:numPr>
      </w:pPr>
      <w:r>
        <w:rPr>
          <w:i/>
          <w:iCs/>
        </w:rPr>
        <w:t xml:space="preserve">Manufacturing challenges of hybrid bonding for chiplets heterogeneous integration.</w:t>
      </w:r>
      <w:r>
        <w:t xml:space="preserve"> </w:t>
      </w:r>
      <w:r>
        <w:t xml:space="preserve">(2026).</w:t>
      </w:r>
      <w:r>
        <w:t xml:space="preserve"> </w:t>
      </w:r>
      <w:r>
        <w:rPr>
          <w:i/>
          <w:iCs/>
        </w:rPr>
        <w:t xml:space="preserve">ASME Journal of Electronic Packaging, 148</w:t>
      </w:r>
      <w:r>
        <w:t xml:space="preserve">(1), 010801. ★확인</w:t>
      </w:r>
    </w:p>
    <w:p>
      <w:r>
        <w:pict>
          <v:rect style="width:0;height:1.5pt" o:hralign="center" o:hrstd="t" o:hr="t"/>
        </w:pict>
      </w:r>
    </w:p>
    <w:bookmarkEnd w:id="74"/>
    <w:bookmarkEnd w:id="75"/>
    <w:bookmarkStart w:id="76" w:name="부록-a.-변수-기술통계-및-cpc-정의"/>
    <w:p>
      <w:pPr>
        <w:pStyle w:val="Heading1"/>
      </w:pPr>
      <w:r>
        <w:t xml:space="preserve">부록 A. 변수 기술통계 및 CPC 정의</w:t>
      </w:r>
    </w:p>
    <w:p>
      <w:pPr>
        <w:pStyle w:val="FirstParagraph"/>
      </w:pPr>
      <w:r>
        <w:rPr>
          <w:b/>
          <w:bCs/>
        </w:rPr>
        <w:t xml:space="preserve">[표 A-1] 미시 분석 변수 기술통계</w:t>
      </w:r>
      <w:r>
        <w:t xml:space="preserve"> </w:t>
      </w:r>
      <w:r>
        <w:t xml:space="preserve">(N=928, 자료①)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통계</w:t>
            </w:r>
          </w:p>
        </w:tc>
      </w:tr>
      <w:tr>
        <w:tc>
          <w:tcPr/>
          <w:p>
            <w:pPr>
              <w:pStyle w:val="Compact"/>
            </w:pPr>
            <w:r>
              <w:t xml:space="preserve">breadth(기술범위)</w:t>
            </w:r>
          </w:p>
        </w:tc>
        <w:tc>
          <w:tcPr/>
          <w:p>
            <w:pPr>
              <w:pStyle w:val="Compact"/>
            </w:pPr>
            <w:r>
              <w:t xml:space="preserve">평균 5.69, 표준편차 4.07, 범위 1–21</w:t>
            </w:r>
          </w:p>
        </w:tc>
      </w:tr>
      <w:tr>
        <w:tc>
          <w:tcPr/>
          <w:p>
            <w:pPr>
              <w:pStyle w:val="Compact"/>
            </w:pPr>
            <w:r>
              <w:t xml:space="preserve">has_process(전공정 청구)</w:t>
            </w:r>
          </w:p>
        </w:tc>
        <w:tc>
          <w:tcPr/>
          <w:p>
            <w:pPr>
              <w:pStyle w:val="Compact"/>
            </w:pPr>
            <w:r>
              <w:t xml:space="preserve">1(있음) 590건(63.6%), 0(없음) 338건(36.4%)</w:t>
            </w:r>
          </w:p>
        </w:tc>
      </w:tr>
      <w:tr>
        <w:tc>
          <w:tcPr/>
          <w:p>
            <w:pPr>
              <w:pStyle w:val="Compact"/>
            </w:pPr>
            <w:r>
              <w:t xml:space="preserve">tech_cat(전략유형)</w:t>
            </w:r>
          </w:p>
        </w:tc>
        <w:tc>
          <w:tcPr/>
          <w:p>
            <w:pPr>
              <w:pStyle w:val="Compact"/>
            </w:pPr>
            <w:r>
              <w:t xml:space="preserve">assembly-only 338, integrated 425, process-only 165</w:t>
            </w:r>
          </w:p>
        </w:tc>
      </w:tr>
      <w:tr>
        <w:tc>
          <w:tcPr/>
          <w:p>
            <w:pPr>
              <w:pStyle w:val="Compact"/>
            </w:pPr>
            <w:r>
              <w:t xml:space="preserve">출원연도</w:t>
            </w:r>
          </w:p>
        </w:tc>
        <w:tc>
          <w:tcPr/>
          <w:p>
            <w:pPr>
              <w:pStyle w:val="Compact"/>
            </w:pPr>
            <w:r>
              <w:t xml:space="preserve">1968–2024(표본 출원 기준)</w:t>
            </w:r>
          </w:p>
        </w:tc>
      </w:tr>
      <w:tr>
        <w:tc>
          <w:tcPr/>
          <w:p>
            <w:pPr>
              <w:pStyle w:val="Compact"/>
            </w:pPr>
            <w:r>
              <w:t xml:space="preserve">출원청(ccode)</w:t>
            </w:r>
          </w:p>
        </w:tc>
        <w:tc>
          <w:tcPr/>
          <w:p>
            <w:pPr>
              <w:pStyle w:val="Compact"/>
            </w:pPr>
            <w:r>
              <w:t xml:space="preserve">US 382 · CN 175 · WO 113 · EP 83 · TW 75 · KR 58 · JP 26 · 기타 16</w:t>
            </w:r>
          </w:p>
        </w:tc>
      </w:tr>
    </w:tbl>
    <w:p>
      <w:pPr>
        <w:pStyle w:val="BodyText"/>
      </w:pPr>
      <w:r>
        <w:rPr>
          <w:b/>
          <w:bCs/>
        </w:rPr>
        <w:t xml:space="preserve">[표 A-2] 주요 CPC 코드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정의</w:t>
            </w:r>
          </w:p>
        </w:tc>
        <w:tc>
          <w:tcPr/>
          <w:p>
            <w:pPr>
              <w:pStyle w:val="Compact"/>
            </w:pPr>
            <w:r>
              <w:t xml:space="preserve">본 연구에서의 위치</w:t>
            </w:r>
          </w:p>
        </w:tc>
      </w:tr>
      <w:tr>
        <w:tc>
          <w:tcPr/>
          <w:p>
            <w:pPr>
              <w:pStyle w:val="Compact"/>
            </w:pPr>
            <w:r>
              <w:t xml:space="preserve">H01L21</w:t>
            </w:r>
          </w:p>
        </w:tc>
        <w:tc>
          <w:tcPr/>
          <w:p>
            <w:pPr>
              <w:pStyle w:val="Compact"/>
            </w:pPr>
            <w:r>
              <w:t xml:space="preserve">반도체 장치의 제조 또는 처리</w:t>
            </w:r>
          </w:p>
        </w:tc>
        <w:tc>
          <w:tcPr/>
          <w:p>
            <w:pPr>
              <w:pStyle w:val="Compact"/>
            </w:pPr>
            <w:r>
              <w:t xml:space="preserve">전공정(미시 축)</w:t>
            </w:r>
          </w:p>
        </w:tc>
      </w:tr>
      <w:tr>
        <w:tc>
          <w:tcPr/>
          <w:p>
            <w:pPr>
              <w:pStyle w:val="Compact"/>
            </w:pPr>
            <w:r>
              <w:t xml:space="preserve">H01L24</w:t>
            </w:r>
          </w:p>
        </w:tc>
        <w:tc>
          <w:tcPr/>
          <w:p>
            <w:pPr>
              <w:pStyle w:val="Compact"/>
            </w:pPr>
            <w:r>
              <w:t xml:space="preserve">(부품의) 본딩·인터커넥트</w:t>
            </w:r>
          </w:p>
        </w:tc>
        <w:tc>
          <w:tcPr/>
          <w:p>
            <w:pPr>
              <w:pStyle w:val="Compact"/>
            </w:pPr>
            <w:r>
              <w:t xml:space="preserve">후공정·접합(미시 축)</w:t>
            </w:r>
          </w:p>
        </w:tc>
      </w:tr>
      <w:tr>
        <w:tc>
          <w:tcPr/>
          <w:p>
            <w:pPr>
              <w:pStyle w:val="Compact"/>
            </w:pPr>
            <w:r>
              <w:t xml:space="preserve">H01L23</w:t>
            </w:r>
          </w:p>
        </w:tc>
        <w:tc>
          <w:tcPr/>
          <w:p>
            <w:pPr>
              <w:pStyle w:val="Compact"/>
            </w:pPr>
            <w:r>
              <w:t xml:space="preserve">반도체 장치의 세부 구조</w:t>
            </w:r>
          </w:p>
        </w:tc>
        <w:tc>
          <w:tcPr/>
          <w:p>
            <w:pPr>
              <w:pStyle w:val="Compact"/>
            </w:pPr>
            <w:r>
              <w:t xml:space="preserve">구조(거시)</w:t>
            </w:r>
          </w:p>
        </w:tc>
      </w:tr>
      <w:tr>
        <w:tc>
          <w:tcPr/>
          <w:p>
            <w:pPr>
              <w:pStyle w:val="Compact"/>
            </w:pPr>
            <w:r>
              <w:t xml:space="preserve">H01L25</w:t>
            </w:r>
          </w:p>
        </w:tc>
        <w:tc>
          <w:tcPr/>
          <w:p>
            <w:pPr>
              <w:pStyle w:val="Compact"/>
            </w:pPr>
            <w:r>
              <w:t xml:space="preserve">칩/소자의 집적·어셈블리</w:t>
            </w:r>
          </w:p>
        </w:tc>
        <w:tc>
          <w:tcPr/>
          <w:p>
            <w:pPr>
              <w:pStyle w:val="Compact"/>
            </w:pPr>
            <w:r>
              <w:t xml:space="preserve">구조(거시); 예 H01L25/50 적층</w:t>
            </w:r>
          </w:p>
        </w:tc>
      </w:tr>
      <w:tr>
        <w:tc>
          <w:tcPr/>
          <w:p>
            <w:pPr>
              <w:pStyle w:val="Compact"/>
            </w:pPr>
            <w:r>
              <w:t xml:space="preserve">H01L2224/08145</w:t>
            </w:r>
          </w:p>
        </w:tc>
        <w:tc>
          <w:tcPr/>
          <w:p>
            <w:pPr>
              <w:pStyle w:val="Compact"/>
            </w:pPr>
            <w:r>
              <w:t xml:space="preserve">금속–금속 및 유전체–유전체 접합의 조합을 포괄하는 직접 접합</w:t>
            </w:r>
          </w:p>
        </w:tc>
        <w:tc>
          <w:tcPr/>
          <w:p>
            <w:pPr>
              <w:pStyle w:val="Compact"/>
            </w:pPr>
            <w:r>
              <w:t xml:space="preserve">하이브리드 본딩 정체성 코드</w:t>
            </w:r>
          </w:p>
        </w:tc>
      </w:tr>
      <w:tr>
        <w:tc>
          <w:tcPr/>
          <w:p>
            <w:pPr>
              <w:pStyle w:val="Compact"/>
            </w:pPr>
            <w:r>
              <w:t xml:space="preserve">H01L27·G11C·G06F</w:t>
            </w:r>
          </w:p>
        </w:tc>
        <w:tc>
          <w:tcPr/>
          <w:p>
            <w:pPr>
              <w:pStyle w:val="Compact"/>
            </w:pPr>
            <w:r>
              <w:t xml:space="preserve">복합 소자·메모리·디지털 데이터 처리</w:t>
            </w:r>
          </w:p>
        </w:tc>
        <w:tc>
          <w:tcPr/>
          <w:p>
            <w:pPr>
              <w:pStyle w:val="Compact"/>
            </w:pPr>
            <w:r>
              <w:t xml:space="preserve">제품(거시)</w:t>
            </w:r>
          </w:p>
        </w:tc>
      </w:tr>
    </w:tbl>
    <w:p>
      <w:r>
        <w:pict>
          <v:rect style="width:0;height:1.5pt" o:hralign="center" o:hrstd="t" o:hr="t"/>
        </w:pict>
      </w:r>
    </w:p>
    <w:bookmarkEnd w:id="76"/>
    <w:bookmarkStart w:id="77" w:name="부록-b.-표그림-목록"/>
    <w:p>
      <w:pPr>
        <w:pStyle w:val="Heading1"/>
      </w:pPr>
      <w:r>
        <w:t xml:space="preserve">부록 B. 표·그림 목록</w:t>
      </w:r>
    </w:p>
    <w:p>
      <w:pPr>
        <w:pStyle w:val="BlockText"/>
      </w:pPr>
      <w:r>
        <w:t xml:space="preserve">회귀 표(표 5-1–5-3, 6-1, 6-2)는 본문에 수치로 삽입됨. 아래 그림·원자료 표는 원본(①②)의 이미지/표로, 학교 양식 변환 시 해당 위치에 삽입 예정.</w:t>
      </w:r>
    </w:p>
    <w:p>
      <w:pPr>
        <w:pStyle w:val="Compact"/>
        <w:numPr>
          <w:ilvl w:val="0"/>
          <w:numId w:val="1008"/>
        </w:numPr>
      </w:pPr>
      <w:r>
        <w:rPr>
          <w:b/>
          <w:bCs/>
        </w:rPr>
        <w:t xml:space="preserve">본문 삽입(수치 표):</w:t>
      </w:r>
      <w:r>
        <w:t xml:space="preserve"> </w:t>
      </w:r>
      <w:r>
        <w:t xml:space="preserve">표 1(변수), 표 5-1(breadth), 표 5-2(이항 로짓), 표 5-3(다항 로짓), 표 6-1(수렴), 표 6-2(전략↔관할권)</w:t>
      </w:r>
    </w:p>
    <w:p>
      <w:pPr>
        <w:pStyle w:val="Compact"/>
        <w:numPr>
          <w:ilvl w:val="0"/>
          <w:numId w:val="1008"/>
        </w:numPr>
      </w:pPr>
      <w:r>
        <w:rPr>
          <w:b/>
          <w:bCs/>
        </w:rPr>
        <w:t xml:space="preserve">삽입 예정(그림, 자료①):</w:t>
      </w:r>
      <w:r>
        <w:t xml:space="preserve"> </w:t>
      </w:r>
      <w:r>
        <w:t xml:space="preserve">[그림 2] 출원연도, [그림 3] OLS 잔차, [그림 4] 관할권별 예측 범위, [그림 5] ROC, [그림 6] process-only 예측</w:t>
      </w:r>
    </w:p>
    <w:p>
      <w:pPr>
        <w:pStyle w:val="Compact"/>
        <w:numPr>
          <w:ilvl w:val="0"/>
          <w:numId w:val="1008"/>
        </w:numPr>
      </w:pPr>
      <w:r>
        <w:rPr>
          <w:b/>
          <w:bCs/>
        </w:rPr>
        <w:t xml:space="preserve">삽입 예정(그림, 자료②):</w:t>
      </w:r>
      <w:r>
        <w:t xml:space="preserve"> </w:t>
      </w:r>
      <w:r>
        <w:t xml:space="preserve">[그림 10] 프레임워크, [그림 11] 하이브리드본딩·HBM 추이, [그림 12] 출원회사 Top10, [그림 13] 과학연계성, [그림 14] 인용영향력, [그림 15] 특허인용 감쇠</w:t>
      </w:r>
    </w:p>
    <w:p>
      <w:pPr>
        <w:pStyle w:val="Compact"/>
        <w:numPr>
          <w:ilvl w:val="0"/>
          <w:numId w:val="1008"/>
        </w:numPr>
      </w:pPr>
      <w:r>
        <w:rPr>
          <w:b/>
          <w:bCs/>
        </w:rPr>
        <w:t xml:space="preserve">삽입 예정(세부 표, 자료②):</w:t>
      </w:r>
      <w:r>
        <w:t xml:space="preserve"> </w:t>
      </w:r>
      <w:r>
        <w:t xml:space="preserve">[표 2]·[표 3] CPC 분류, [표 4] 출원국가 순위, [표 5] 기술집중도, [표 6] 클러스터, [표 7] 네트워크, [표 8] 인용특허 Top10, [표 9] 인용수명</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51088;&#47308;&#9312;" TargetMode="External" /></Relationships>
</file>

<file path=word/_rels/footnotes.xml.rels><?xml version="1.0" encoding="UTF-8"?><Relationships xmlns="http://schemas.openxmlformats.org/package/2006/relationships"><Relationship Type="http://schemas.openxmlformats.org/officeDocument/2006/relationships/hyperlink" Id="rId37" Target="&#51088;&#47308;&#93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2026-06-24T02:11:44Z</dcterms:created>
  <dcterms:modified xsi:type="dcterms:W3CDTF">2026-06-24T02:11:44Z</dcterms:modified>
</cp:coreProperties>
</file>

<file path=docProps/custom.xml><?xml version="1.0" encoding="utf-8"?>
<Properties xmlns="http://schemas.openxmlformats.org/officeDocument/2006/custom-properties" xmlns:vt="http://schemas.openxmlformats.org/officeDocument/2006/docPropsVTypes"/>
</file>