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영역이다. 하이브리드 본딩은 후공정의 접합 기술인데도 표면 평탄화, 표면 처리 같은 전공정의 제조공정 기술 없이는 성능이 나오지 않는다. 이 논문은 그 두 영역의 기술이 실제로 한 특허 안에 함께 담기는지, 담긴다면 어떤 특허에서 그러한지를 유럽특허청 PATSTAT의 하이브리드 본딩 관련 특허출원 928건으로 살핀다. 출원마다 부여된 CPC 기호를 보아 접합 기술 분류(H01L24)만 있으면 조립 단독형, 제조공정 기술 분류(H01L21)만 있으면 공정 단독형, 둘이 함께 있으면 통합형으로 나누었고, 분석단위는 개별 특허출원이다. 두 클래스가 함께 부여된 공동분류는 제조공정 영역과 접합 영역 사이의 경계 넘기를 재는 특허 기반 대리측정치다. 기준 정의에서는 통합형이 45.8%로 가장 많았고, 조립 단계의 제조공정을 제외한 보수적 정의에서도 통합형은 전체 출원의 37.2%를 차지했다. 회귀분석 결과, 두 클래스 안에서 세부 기술을 더 다양하게 포함한 출원일수록 통합형일 가능성이 높았다(조립 단독형 대비 상대위험비 1.40). 다만 두 변수가 같은 CPC 정보로 만들어지므로 이는 통합형 특허의 구성적 특징으로 본다. 출원연도가 최근일수록 공정 단독형으로 분류될 상대적 가능성이 낮았으며, 기술통계에서도 공정 단독형의 비중은 2014년 이전 43.6%에서 2020–2024년 10.4%로 감소했다. 중국 출원청 출원은 미국 출원청 출원보다 기술범위가 좁았고 표본을 바꾸어도 그러했지만, 공정 단독형 편중은 최근 출원에 민감한 제한적 결과였다. 이러한 결과는 기술융합이 산업과 산업 사이만이 아니라 한 산업의 공정 단계 사이에서도 일어난다는 견해와 맞아떨어지는 특허 수준의 증거이고, 그 융합을 개별 출원 단위에서 잴 수 있음을 보여준다.</w:t>
      </w:r>
    </w:p>
    <w:p>
      <w:pPr>
        <w:pStyle w:val="BodyText"/>
      </w:pPr>
      <w:r>
        <w:rPr>
          <w:b/>
          <w:bCs/>
        </w:rPr>
        <w:t xml:space="preserve">주제어:</w:t>
      </w:r>
      <w:r>
        <w:t xml:space="preserve"> </w:t>
      </w:r>
      <w:r>
        <w:t xml:space="preserve">기술융합; 산업 아키텍처; 하이브리드 본딩; 첨단 패키징; 클래스 내 CPC 범위;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actually being combined within single patents and, if so, in which ones. Using 928 hybrid-bonding-related applications drawn from EPO PATSTAT, we read the CPC symbols assigned to each application and label it assembly-only when it carries only H01L24 symbols (bonding technology), process-only when it carries only H01L21 symbols (fabrication processes), and integrated when it carries both; the unit of analysis is the individual application. Co-classification in the two classes serves as a patent-based proxy for boundary spanning between the fabrication-process and bonding domains. Under the baseline definition, integrated applications constitute the largest group at 45.8%. Even under a narrower definition that excludes assembly-stage processes, they account for 37.2% of the sample. In the regressions, applications that span more diverse technical elements within the two classes are more likely to be integrated (relative-risk ratio 1.40 against assembly-only), which we treat as a compositional feature of integrated patents since both variables come from the same CPC information. Process-only classification becomes relatively less likely for more recent filings. Descriptively, its share declines from 43.6% before 2015 to 10.4% in 2020–2024. Applications filed at the Chinese office are narrower in scope than those filed at the US office whatever the sample, whereas their tilt towards process-only classification hinges on the most recent filings and remains limited evidence. The findings are patent-level evidence consistent with technological convergence across the process stages of a single industry, and they show that such convergence can be measured one application at a time.</w:t>
      </w:r>
    </w:p>
    <w:p>
      <w:pPr>
        <w:pStyle w:val="BodyText"/>
      </w:pPr>
      <w:r>
        <w:rPr>
          <w:b/>
          <w:bCs/>
        </w:rPr>
        <w:t xml:space="preserve">Keywords:</w:t>
      </w:r>
      <w:r>
        <w:t xml:space="preserve"> </w:t>
      </w:r>
      <w:r>
        <w:t xml:space="preserve">technological convergence; industry architecture; hybrid bonding; advanced packaging; within-class CPC breadth;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첨단 패키징은 이 전제를 흔든다. 한 단계의 성능이 다른 단계의 공정 역량에 훨씬 직접적으로 기대게 된 것이다.</w:t>
      </w:r>
    </w:p>
    <w:p>
      <w:pPr>
        <w:pStyle w:val="BodyText"/>
      </w:pPr>
      <w:r>
        <w:t xml:space="preserve">왜 지금인가. 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경계의 흐려짐을 개별 특허 수준에서 볼 수 있는가. 이것이 이 논문의 질문이다.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않았다. 가치사슬 상·하류 기업 간의 특허 인용을 분석한 Karvonen과 Kässi(2012)가 그나마 가까운 선례이지만, 하나의 기술이 공정 단계의 경계를 넘는지를 특허 단위에서 검정한 것은 아니다. 산업 아키텍처, 곧 누가 무엇을 만들고 누가 가치를 가져가는가를 정하는 틀(Jacobides et al., 2006)에 압력을 가하는 융합이 있다면 그것은 바로 이런 종류의 융합이다.</w:t>
      </w:r>
    </w:p>
    <w:p>
      <w:pPr>
        <w:pStyle w:val="BodyText"/>
      </w:pPr>
      <w:r>
        <w:t xml:space="preserve">자료는 유럽특허청(EPO) PATSTAT에서 추출한 하이브리드 본딩 관련 특허출원 928건이고, 여기에 부여된 협력적 특허분류(CPC) 기호가 분석의 재료다. 접합·인터커넥트 기술(H01L24)의 기호와 반도체 제조공정 기술(H01L21)의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답하려는 질문은 셋이다. 하이브리드 본딩 특허에서 제조공정과 접합 기술의 공동분류는 얼마나 일반적이며 시간에 따라 어떻게 변했는가. 어떤 특허 특성이 공동분류 유형과 관련되는가. 이러한 유형과 기술범위는 출원청별로 어떻게 다른가.</w:t>
      </w:r>
    </w:p>
    <w:p>
      <w:pPr>
        <w:pStyle w:val="BodyText"/>
      </w:pPr>
      <w:r>
        <w:t xml:space="preserve">결론부터 적으면 통합형은 출원의 45.8%로 가장 많은 유형이고 좁은 정의로도 37.2%다. 세부 기술을 더 다양하게 포함한 출원일수록 통합형이었고, 최근 출원일수록 공정 단독형은 드물었으며, 중국 출원청 출원은 기술범위가 좁았다. 이 논문의 기여는 세 갈래로 나뉜다. 개념적으로는 산업 간 사례에 머물던 융합 이론을 산업 내 공정 단계 간 사례로 넓히고, 이를 Langlois와 Steinmueller(1999), Kapoor와 Adner(2012), Kapoor(2013)의 반도체 산업 아키텍처 문헌과 잇는다. 방법론적으로는 융합지수를 하나 더 만드는 대신 공동분류를 개별 특허의 유형으로 재구성함으로써, 분야 수준 지수가 평균 속에 묻어 버리는 특허 간 이질성과 그 관련 요인을 추정할 수 있게 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융합과 수직통합은 묻는 것이 다르다. Macher와 Mowery(2004), Kapoor(2013)의 수직통합 문헌이 묻는 것은 어느 기업이 어느 단계를 직접 수행하는가, 곧 조직의 경계다. 융합 문헌은 서로 다른 영역의 기술이 하나의 발명 안에서 결합되는가, 곧 지식의 경계를 묻는다(Kodama, 1992; Curran and Leker, 2011). Hacklin et al.(2010)의 단계 모형에서 기술의 융합은 산업의 융합보다 먼저 온다. 이 논문이 특허에서 보려는 것도 그 앞선 단계다. 기업이 조직적 결정을 내리기 전에, 또는 그 이면에서 진행되는 기술의 결합이다. 산업 아키텍처는 그래서 여기서 직접 검정하는 결과변수가 아니라 결과를 해석하는 상위의 이론적 맥락으로 두고, 수직통합은 직접 측정하지 않는 후속 현상으로 남긴다.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설명변수는 두 갈래의 특허 연구에 기대어 고른다.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관할권에 따라 특허 행태가 달라진다는 연구다. 어느 특허청에 출원하는가에는 출원인 집단, 심사 관행, 출원 목적이 함께 반영된다. 중국의 특허 급증은 제도 변화와 외국인직접투자(Hu and Jefferson, 2009), 그리고 건수를 보상하는 보조금 정책(Dang and Motohashi, 2015)에 힘입은 것이고,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것이라는 예상이 나온다.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통합형 특허의 구성적 특징, 곧 기술적 다양성과 공동분류 사이의 연관에 관한 가설이다.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 다만 출원연도에는 기술의 발전만 담기는 것이 아니다. 분류 체계와 심사 관행, 출원인 구성, 최근 출원의 공개 시차도 함께 반영된다. 그래서 본 연구는 연도 효과를 기술 성숙의 효과라기보다 시간에 따른 변화로 읽는다.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출원하는가에는 누가 무엇을 위해 발명하는가가 묻어난다. Lee와 Lim(2001)의 단계별 추격 논리, Hu와 Jefferson(2009) 및 Dang과 Motohashi(2015)가 보인 중국 특허의 증거, Grimes와 Du(2022)가 기술한 반도체 가치사슬 속 중국의 위치를 함께 놓으면, 중국 출원청 출원은 특정 제조 단계의 확보에 집중되어 범위가 좁고 공정 단독형이 많으리라는 예상에 이른다. 다만 이 예상은 중간 논리를 거쳐야 성립한다. 중국 특허가 늘었다거나 보조금이 있다거나 추격 중이라는 사실만으로 좁은 CPC 범위와 공정 단독형이 따라 나오지는 않기 때문이다. 후발국의 특허 활동이 생산 역량의 국산화, 공정별 병목의 해소, 특정 제조 단계의 권리 확보에 집중된다고 하자. 그러면 하나의 출원이 포괄하는 기술 요소는 시스템 전체의 통합보다 개별 공정 문제의 해결에 가까워지고, 두 클래스 안의 CPC 범위는 좁아지며 공정 단독형의 비중은 높아질 것이다. 이는 중국 특허 선행연구가 직접 내린 결론이 아니라 단계별 추격의 논리를 이 논문의 특허 구성에 적용해 끌어낸 예상이며, 범위와 유형은 서로 다른 모형으로 검정되므로 가설도 둘로 나눈다.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않으며 본문에서도 해석하지 않는다(부록 B).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출원청별 유형 분포와 기술범위는 표 4에 정리했다. 통합형은 EPO, 대만, 일본, 미국에서 절반 안팎으로 가장 많은 유형이지만 중국과 PCT 경로에서는 40% 수준에 그친다. 공정 단독형의 비중은 중국(24.6%)과 한국(27.6%)에서 높은 편이고 일본(11.5%), EPO(12.0%), 미국(13.9%)에서는 낮다. 기술범위 평균을 보면 중국(4.83)과 PCT(5.04)가 가장 좁고 일본(6.88)이 가장 넓다. 다만 출원청마다 출원 시기가 크게 다르다는 점을 함께 보아야 한다. 일본 출원은 절반이 2011년 이전 출원인 반면(중앙값 2011.5년) PCT 출원의 중앙값은 2022년이다. 이런 차이가 출원 시기와 범위를 통제한 뒤에도 남는지는 제5절의 회귀분석에서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분석-방법"/>
    <w:p>
      <w:pPr>
        <w:pStyle w:val="Heading3"/>
      </w:pPr>
      <w:r>
        <w:t xml:space="preserve">4.4 분석 방법</w:t>
      </w:r>
    </w:p>
    <w:p>
      <w:pPr>
        <w:pStyle w:val="FirstParagraph"/>
      </w:pPr>
      <w:r>
        <w:t xml:space="preserve">하나의 회귀모형으로 모든 가설을 검정하지는 않는다. 종속변수의 측정 척도와 각 가설이 묻는 질문이 다르기 때문에 세 모형을 쓴다(표 5). 분석단위는 출원 식별자별로 집계된 특허출원 928건이며, 모든 모형의 설명변수는 출원연도(yc)와 출원청 더미이고 두 로짓 모형에는 기술범위(breadth)를 더한다.</w:t>
      </w:r>
    </w:p>
    <w:p>
      <w:pPr>
        <w:pStyle w:val="BodyText"/>
        <w:keepNext/>
      </w:pPr>
      <w:r>
        <w:rPr>
          <w:b/>
          <w:bCs/>
        </w:rPr>
        <w:t xml:space="preserve">표 5.</w:t>
      </w:r>
      <w:r>
        <w:t xml:space="preserve"> </w:t>
      </w:r>
      <w:r>
        <w:t xml:space="preserve">세 가지 회귀모형의 역할.</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2"/>
        <w:gridCol w:w="1180"/>
        <w:gridCol w:w="1610"/>
        <w:gridCol w:w="1771"/>
        <w:gridCol w:w="1502"/>
        <w:gridCol w:w="1073"/>
      </w:tblGrid>
      <w:tr>
        <w:trPr>
          <w:tblHeader w:val="on"/>
          <w:cantSplit/>
        </w:trPr>
        <w:tc>
          <w:tcPr>
            <w:tcW w:type="dxa" w:w="1932"/>
            <w:tcBorders>
              <w:bottom w:val="single" w:sz="4" w:space="0" w:color="000000"/>
            </w:tcBorders>
          </w:tcPr>
          <w:p>
            <w:pPr>
              <w:pStyle w:val="Compact"/>
              <w:spacing w:before="20" w:after="20" w:line="240" w:lineRule="auto"/>
              <w:keepNext/>
            </w:pPr>
            <w:r>
              <w:rPr>
                <w:sz w:val="14"/>
                <w:szCs w:val="14"/>
              </w:rPr>
              <w:t xml:space="preserve">분석 질문</w:t>
            </w:r>
          </w:p>
        </w:tc>
        <w:tc>
          <w:tcPr>
            <w:tcW w:type="dxa" w:w="1180"/>
            <w:tcBorders>
              <w:bottom w:val="single" w:sz="4" w:space="0" w:color="000000"/>
            </w:tcBorders>
          </w:tcPr>
          <w:p>
            <w:pPr>
              <w:pStyle w:val="Compact"/>
              <w:spacing w:before="20" w:after="20" w:line="240" w:lineRule="auto"/>
              <w:keepNext/>
            </w:pPr>
            <w:r>
              <w:rPr>
                <w:sz w:val="14"/>
                <w:szCs w:val="14"/>
              </w:rPr>
              <w:t xml:space="preserve">종속변수</w:t>
            </w:r>
          </w:p>
        </w:tc>
        <w:tc>
          <w:tcPr>
            <w:tcW w:type="dxa" w:w="1610"/>
            <w:tcBorders>
              <w:bottom w:val="single" w:sz="4" w:space="0" w:color="000000"/>
            </w:tcBorders>
          </w:tcPr>
          <w:p>
            <w:pPr>
              <w:pStyle w:val="Compact"/>
              <w:spacing w:before="20" w:after="20" w:line="240" w:lineRule="auto"/>
              <w:keepNext/>
            </w:pPr>
            <w:r>
              <w:rPr>
                <w:sz w:val="14"/>
                <w:szCs w:val="14"/>
              </w:rPr>
              <w:t xml:space="preserve">척도</w:t>
            </w:r>
          </w:p>
        </w:tc>
        <w:tc>
          <w:tcPr>
            <w:tcW w:type="dxa" w:w="1771"/>
            <w:tcBorders>
              <w:bottom w:val="single" w:sz="4" w:space="0" w:color="000000"/>
            </w:tcBorders>
          </w:tcPr>
          <w:p>
            <w:pPr>
              <w:pStyle w:val="Compact"/>
              <w:spacing w:before="20" w:after="20" w:line="240" w:lineRule="auto"/>
              <w:keepNext/>
            </w:pPr>
            <w:r>
              <w:rPr>
                <w:sz w:val="14"/>
                <w:szCs w:val="14"/>
              </w:rPr>
              <w:t xml:space="preserve">주모형</w:t>
            </w:r>
          </w:p>
        </w:tc>
        <w:tc>
          <w:tcPr>
            <w:tcW w:type="dxa" w:w="1502"/>
            <w:tcBorders>
              <w:bottom w:val="single" w:sz="4" w:space="0" w:color="000000"/>
            </w:tcBorders>
          </w:tcPr>
          <w:p>
            <w:pPr>
              <w:pStyle w:val="Compact"/>
              <w:spacing w:before="20" w:after="20" w:line="240" w:lineRule="auto"/>
              <w:keepNext/>
            </w:pPr>
            <w:r>
              <w:rPr>
                <w:sz w:val="14"/>
                <w:szCs w:val="14"/>
              </w:rPr>
              <w:t xml:space="preserve">보고 지표</w:t>
            </w:r>
          </w:p>
        </w:tc>
        <w:tc>
          <w:tcPr>
            <w:tcW w:type="dxa" w:w="1073"/>
            <w:tcBorders>
              <w:bottom w:val="single" w:sz="4" w:space="0" w:color="000000"/>
            </w:tcBorders>
          </w:tcPr>
          <w:p>
            <w:pPr>
              <w:pStyle w:val="Compact"/>
              <w:spacing w:before="20" w:after="20" w:line="240" w:lineRule="auto"/>
              <w:keepNext/>
            </w:pPr>
            <w:r>
              <w:rPr>
                <w:sz w:val="14"/>
                <w:szCs w:val="14"/>
              </w:rPr>
              <w:t xml:space="preserve">연결 가설</w:t>
            </w:r>
          </w:p>
        </w:tc>
      </w:tr>
      <w:tr>
        <w:trPr>
          <w:cantSplit/>
        </w:trPr>
        <w:tc>
          <w:tcPr>
            <w:tcW w:type="dxa" w:w="1932"/>
          </w:tcPr>
          <w:p>
            <w:pPr>
              <w:pStyle w:val="Compact"/>
              <w:spacing w:before="20" w:after="20" w:line="240" w:lineRule="auto"/>
              <w:keepNext/>
            </w:pPr>
            <w:r>
              <w:rPr>
                <w:sz w:val="14"/>
                <w:szCs w:val="14"/>
              </w:rPr>
              <w:t xml:space="preserve">출원이 두 클래스 안에서 얼마나 많은 CPC 서브그룹을 포함하는가</w:t>
            </w:r>
          </w:p>
        </w:tc>
        <w:tc>
          <w:tcPr>
            <w:tcW w:type="dxa" w:w="1180"/>
          </w:tcPr>
          <w:p>
            <w:pPr>
              <w:pStyle w:val="Compact"/>
              <w:spacing w:before="20" w:after="20" w:line="240" w:lineRule="auto"/>
              <w:keepNext/>
            </w:pPr>
            <w:r>
              <w:rPr>
                <w:sz w:val="14"/>
                <w:szCs w:val="14"/>
              </w:rPr>
              <w:t xml:space="preserve">breadth</w:t>
            </w:r>
          </w:p>
        </w:tc>
        <w:tc>
          <w:tcPr>
            <w:tcW w:type="dxa" w:w="1610"/>
          </w:tcPr>
          <w:p>
            <w:pPr>
              <w:pStyle w:val="Compact"/>
              <w:spacing w:before="20" w:after="20" w:line="240" w:lineRule="auto"/>
              <w:keepNext/>
            </w:pPr>
            <w:r>
              <w:rPr>
                <w:sz w:val="14"/>
                <w:szCs w:val="14"/>
              </w:rPr>
              <w:t xml:space="preserve">카운트, 1–21</w:t>
            </w:r>
          </w:p>
        </w:tc>
        <w:tc>
          <w:tcPr>
            <w:tcW w:type="dxa" w:w="1771"/>
          </w:tcPr>
          <w:p>
            <w:pPr>
              <w:pStyle w:val="Compact"/>
              <w:spacing w:before="20" w:after="20" w:line="240" w:lineRule="auto"/>
              <w:keepNext/>
            </w:pPr>
            <w:r>
              <w:rPr>
                <w:sz w:val="14"/>
                <w:szCs w:val="14"/>
              </w:rPr>
              <w:t xml:space="preserve">음이항 회귀</w:t>
            </w:r>
          </w:p>
        </w:tc>
        <w:tc>
          <w:tcPr>
            <w:tcW w:type="dxa" w:w="1502"/>
          </w:tcPr>
          <w:p>
            <w:pPr>
              <w:pStyle w:val="Compact"/>
              <w:spacing w:before="20" w:after="20" w:line="240" w:lineRule="auto"/>
              <w:keepNext/>
            </w:pPr>
            <w:r>
              <w:rPr>
                <w:sz w:val="14"/>
                <w:szCs w:val="14"/>
              </w:rPr>
              <w:t xml:space="preserve">발생률비(IRR)</w:t>
            </w:r>
          </w:p>
        </w:tc>
        <w:tc>
          <w:tcPr>
            <w:tcW w:type="dxa" w:w="1073"/>
          </w:tcPr>
          <w:p>
            <w:pPr>
              <w:pStyle w:val="Compact"/>
              <w:spacing w:before="20" w:after="20" w:line="240" w:lineRule="auto"/>
              <w:keepNext/>
            </w:pPr>
            <w:r>
              <w:rPr>
                <w:sz w:val="14"/>
                <w:szCs w:val="14"/>
              </w:rPr>
              <w:t xml:space="preserve">H3a</w:t>
            </w:r>
          </w:p>
        </w:tc>
      </w:tr>
      <w:tr>
        <w:trPr>
          <w:cantSplit/>
        </w:trPr>
        <w:tc>
          <w:tcPr>
            <w:tcW w:type="dxa" w:w="1932"/>
          </w:tcPr>
          <w:p>
            <w:pPr>
              <w:pStyle w:val="Compact"/>
              <w:spacing w:before="20" w:after="20" w:line="240" w:lineRule="auto"/>
              <w:keepNext/>
            </w:pPr>
            <w:r>
              <w:rPr>
                <w:sz w:val="14"/>
                <w:szCs w:val="14"/>
              </w:rPr>
              <w:t xml:space="preserve">출원이 제조공정 분류를 하나 이상 포함하는가</w:t>
            </w:r>
          </w:p>
        </w:tc>
        <w:tc>
          <w:tcPr>
            <w:tcW w:type="dxa" w:w="1180"/>
          </w:tcPr>
          <w:p>
            <w:pPr>
              <w:pStyle w:val="Compact"/>
              <w:spacing w:before="20" w:after="20" w:line="240" w:lineRule="auto"/>
              <w:keepNext/>
            </w:pPr>
            <w:r>
              <w:rPr>
                <w:sz w:val="14"/>
                <w:szCs w:val="14"/>
              </w:rPr>
              <w:t xml:space="preserve">has_process</w:t>
            </w:r>
          </w:p>
        </w:tc>
        <w:tc>
          <w:tcPr>
            <w:tcW w:type="dxa" w:w="1610"/>
          </w:tcPr>
          <w:p>
            <w:pPr>
              <w:pStyle w:val="Compact"/>
              <w:spacing w:before="20" w:after="20" w:line="240" w:lineRule="auto"/>
              <w:keepNext/>
            </w:pPr>
            <w:r>
              <w:rPr>
                <w:sz w:val="14"/>
                <w:szCs w:val="14"/>
              </w:rPr>
              <w:t xml:space="preserve">이항, 0/1</w:t>
            </w:r>
          </w:p>
        </w:tc>
        <w:tc>
          <w:tcPr>
            <w:tcW w:type="dxa" w:w="1771"/>
          </w:tcPr>
          <w:p>
            <w:pPr>
              <w:pStyle w:val="Compact"/>
              <w:spacing w:before="20" w:after="20" w:line="240" w:lineRule="auto"/>
              <w:keepNext/>
            </w:pPr>
            <w:r>
              <w:rPr>
                <w:sz w:val="14"/>
                <w:szCs w:val="14"/>
              </w:rPr>
              <w:t xml:space="preserve">이항 로짓</w:t>
            </w:r>
          </w:p>
        </w:tc>
        <w:tc>
          <w:tcPr>
            <w:tcW w:type="dxa" w:w="1502"/>
          </w:tcPr>
          <w:p>
            <w:pPr>
              <w:pStyle w:val="Compact"/>
              <w:spacing w:before="20" w:after="20" w:line="240" w:lineRule="auto"/>
              <w:keepNext/>
            </w:pPr>
            <w:r>
              <w:rPr>
                <w:sz w:val="14"/>
                <w:szCs w:val="14"/>
              </w:rPr>
              <w:t xml:space="preserve">승산비(OR)</w:t>
            </w:r>
          </w:p>
        </w:tc>
        <w:tc>
          <w:tcPr>
            <w:tcW w:type="dxa" w:w="1073"/>
          </w:tcPr>
          <w:p>
            <w:pPr>
              <w:pStyle w:val="Compact"/>
              <w:spacing w:before="20" w:after="20" w:line="240" w:lineRule="auto"/>
              <w:keepNext/>
            </w:pPr>
            <w:r>
              <w:rPr>
                <w:sz w:val="14"/>
                <w:szCs w:val="14"/>
              </w:rPr>
              <w:t xml:space="preserve">보완분석</w:t>
            </w:r>
          </w:p>
        </w:tc>
      </w:tr>
      <w:tr>
        <w:trPr>
          <w:cantSplit/>
        </w:trPr>
        <w:tc>
          <w:tcPr>
            <w:tcW w:type="dxa" w:w="1932"/>
          </w:tcPr>
          <w:p>
            <w:pPr>
              <w:pStyle w:val="Compact"/>
              <w:spacing w:before="20" w:after="20" w:line="240" w:lineRule="auto"/>
              <w:keepNext/>
            </w:pPr>
            <w:r>
              <w:rPr>
                <w:sz w:val="14"/>
                <w:szCs w:val="14"/>
              </w:rPr>
              <w:t xml:space="preserve">출원이 세 공동분류 유형 가운데 어디에 속하는가</w:t>
            </w:r>
          </w:p>
        </w:tc>
        <w:tc>
          <w:tcPr>
            <w:tcW w:type="dxa" w:w="1180"/>
          </w:tcPr>
          <w:p>
            <w:pPr>
              <w:pStyle w:val="Compact"/>
              <w:spacing w:before="20" w:after="20" w:line="240" w:lineRule="auto"/>
              <w:keepNext/>
            </w:pPr>
            <w:r>
              <w:rPr>
                <w:sz w:val="14"/>
                <w:szCs w:val="14"/>
              </w:rPr>
              <w:t xml:space="preserve">tech_cat</w:t>
            </w:r>
          </w:p>
        </w:tc>
        <w:tc>
          <w:tcPr>
            <w:tcW w:type="dxa" w:w="1610"/>
          </w:tcPr>
          <w:p>
            <w:pPr>
              <w:pStyle w:val="Compact"/>
              <w:spacing w:before="20" w:after="20" w:line="240" w:lineRule="auto"/>
              <w:keepNext/>
            </w:pPr>
            <w:r>
              <w:rPr>
                <w:sz w:val="14"/>
                <w:szCs w:val="14"/>
              </w:rPr>
              <w:t xml:space="preserve">순서 없는 3범주</w:t>
            </w:r>
          </w:p>
        </w:tc>
        <w:tc>
          <w:tcPr>
            <w:tcW w:type="dxa" w:w="1771"/>
          </w:tcPr>
          <w:p>
            <w:pPr>
              <w:pStyle w:val="Compact"/>
              <w:spacing w:before="20" w:after="20" w:line="240" w:lineRule="auto"/>
              <w:keepNext/>
            </w:pPr>
            <w:r>
              <w:rPr>
                <w:sz w:val="14"/>
                <w:szCs w:val="14"/>
              </w:rPr>
              <w:t xml:space="preserve">다항 로짓(기준 = 조립 단독형)</w:t>
            </w:r>
          </w:p>
        </w:tc>
        <w:tc>
          <w:tcPr>
            <w:tcW w:type="dxa" w:w="1502"/>
          </w:tcPr>
          <w:p>
            <w:pPr>
              <w:pStyle w:val="Compact"/>
              <w:spacing w:before="20" w:after="20" w:line="240" w:lineRule="auto"/>
              <w:keepNext/>
            </w:pPr>
            <w:r>
              <w:rPr>
                <w:sz w:val="14"/>
                <w:szCs w:val="14"/>
              </w:rPr>
              <w:t xml:space="preserve">상대위험비(RRR)</w:t>
            </w:r>
          </w:p>
        </w:tc>
        <w:tc>
          <w:tcPr>
            <w:tcW w:type="dxa" w:w="1073"/>
          </w:tcPr>
          <w:p>
            <w:pPr>
              <w:pStyle w:val="Compact"/>
              <w:spacing w:before="20" w:after="20" w:line="240" w:lineRule="auto"/>
              <w:keepNext/>
            </w:pPr>
            <w:r>
              <w:rPr>
                <w:sz w:val="14"/>
                <w:szCs w:val="14"/>
              </w:rPr>
              <w:t xml:space="preserve">H1, H2, H3b</w:t>
            </w:r>
          </w:p>
        </w:tc>
      </w:tr>
    </w:tbl>
    <w:p>
      <w:pPr>
        <w:pStyle w:val="BodyText"/>
      </w:pPr>
      <w:r>
        <w:rPr>
          <w:b/>
          <w:bCs/>
        </w:rPr>
        <w:t xml:space="preserve">기술범위 모형: 음이항 회귀.</w:t>
      </w:r>
      <w:r>
        <w:t xml:space="preserve"> </w:t>
      </w:r>
      <w:r>
        <w:t xml:space="preserve">기술범위는 1에서 21 사이의 정수로 측정되는 카운트 변수다. 음수나 소수의 CPC 개수는 관측될 수 없고 분포는 오른쪽으로 치우쳐 있어, 선형회귀는 이런 자료의 비음수성과 평균–분산 관계를 직접 반영하지 못한다. 카운트 자료의 기본 모형인 Poisson 회귀는 설명변수를 통제한 조건부 평균과 분산이 같다고 가정하지만, 본 표본에서는 분산이 평균보다 훨씬 커서 과산포 모수 α가 0.268(표준오차 0.020)로 유의하다. 따라서 별도의 과산포를 허용하는 음이항 회귀(분산 = μ + αμ²)를 주모형으로 쓴다(Cameron and Trivedi, 2013). 모형은 log E(breadth | X) = β₀ + β₁·yc + Σγ_k·ccode_k이며, 계수의 지수값인 발생률비(IRR)로 보고한다. 여기서 IRR은 사건의 시간당 발생률이 아니라 출원당 기대 CPC 서브그룹 수의 비율로 읽는다. 예컨대 중국 출원청의 IRR이 0.785라면 출원연도를 통제했을 때 기대 CPC 서브그룹 수가 미국 출원청보다 약 21% 적다는 조건부 연관이지, 기업의 기술 역량이 그만큼 낮다는 뜻이 아니다. 이 모형이 H3a의 주모형이다. 선형회귀와 Poisson 회귀는 모형 선택에 따라 계수의 방향과 유의성이 달라지는지 확인하기 위해 부록 A에 둔다.</w:t>
      </w:r>
    </w:p>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조립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 이 모형이 H1(기술범위와 통합형), H2(출원연도와 공정 단독형), H3b(중국 출원청과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따라서 기술범위와 통합형 사이의 관계에는 구성적·기계적 연관이 들어 있으며, breadth의 계수는 독립적인 인과효과가 아니라 유형별 기술 구성의 조건부·구성적 연관으로 해석한다.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 출원청)만 바꾸고 나머지 변수는 각 출원의 관측값에 둔 채 표본 전체에서 평균한 평균 예측확률을 함께 제시한다(제5.3절). 음이항의 출원청별 예측 기술범위는 출원연도를 표본 평균에 고정해 계산한다(제5.1절). 어느 방식을 썼는지는 각 그림의 주석에 적었다.</w:t>
      </w:r>
    </w:p>
    <w:p>
      <w:pPr>
        <w:pStyle w:val="BodyText"/>
      </w:pPr>
      <w:r>
        <w:rPr>
          <w:b/>
          <w:bCs/>
        </w:rPr>
        <w:t xml:space="preserve">강건성과 판정 원칙.</w:t>
      </w:r>
      <w:r>
        <w:t xml:space="preserve"> </w:t>
      </w:r>
      <w:r>
        <w:t xml:space="preserve">기준 분석은 2024년 출원까지 포함하되, 2023–2024년 출원은 공개와 CPC 분류가 끝나지 않았을 수 있으므로 두 해를 뺀 표본으로 다시 추정한다. 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다항 로짓은 두 유형 사이의 상대확률비가 세 번째 유형의 존재에 영향받지 않는다는 무관 대안의 독립성(IIA)을 가정하는데, 통합형이 두 단독형과 기술적으로 이어져 있어 강한 가정일 수 있다. 정식 IIA 검정 대신 공정 단독형을 제외하고 통합형 대 조립 단독형의 이항 로짓을 추정해 실질적 해석이 유지되는지를 보는 대안 제외 민감도 분석을 부록 B에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27"/>
    <w:bookmarkEnd w:id="28"/>
    <w:bookmarkStart w:id="46" w:name="결과"/>
    <w:p>
      <w:pPr>
        <w:pStyle w:val="Heading2"/>
      </w:pPr>
      <w:r>
        <w:t xml:space="preserve">5. 결과</w:t>
      </w:r>
    </w:p>
    <w:bookmarkStart w:id="32" w:name="기술범위"/>
    <w:p>
      <w:pPr>
        <w:pStyle w:val="Heading3"/>
      </w:pPr>
      <w:r>
        <w:t xml:space="preserve">5.1 기술범위</w:t>
      </w:r>
    </w:p>
    <w:p>
      <w:pPr>
        <w:pStyle w:val="FirstParagraph"/>
      </w:pPr>
      <w:r>
        <w:t xml:space="preserve">표 6는 기술범위의 음이항 추정 결과다. 두 가지가 눈에 띈다. 첫째, 미국 출원청 기준으로 중국 출원청 출원은 기대 CPC 서브그룹 수가 약 21% 적고(IRR 0.785, p &lt; 0.01), PCT 경로 출원은 약 17% 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6.</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델타법 95% 신뢰구간; 출원청별 N은 표 4. 일본과 기타는 표본이 작아 구간이 넓다).</w:t>
      </w:r>
    </w:p>
    <w:bookmarkEnd w:id="32"/>
    <w:bookmarkStart w:id="33" w:name="제조공정-분류-여부"/>
    <w:p>
      <w:pPr>
        <w:pStyle w:val="Heading3"/>
      </w:pPr>
      <w:r>
        <w:t xml:space="preserve">5.2 제조공정 분류 여부</w:t>
      </w:r>
    </w:p>
    <w:p>
      <w:pPr>
        <w:pStyle w:val="FirstParagraph"/>
      </w:pPr>
      <w:r>
        <w:t xml:space="preserve">표 7은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작아(연간 OR 0.946, p &lt; 0.01), 최근 출원일수록 제조공정 기호를 가질 승산이 낮다.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표 7의 이항 로짓은 제조공정 분류의 전반적 보유 여부를 확인하는 보완분석이며, 공동분류 유형에 관한 H1, H2와 H3b의 본 검정은 제5.3절의 다항 로짓이다.</w:t>
      </w:r>
    </w:p>
    <w:p>
      <w:pPr>
        <w:pStyle w:val="BodyText"/>
        <w:keepNext/>
      </w:pPr>
      <w:r>
        <w:rPr>
          <w:b/>
          <w:bCs/>
        </w:rPr>
        <w:t xml:space="preserve">표 7.</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0.946***</w:t>
            </w:r>
          </w:p>
        </w:tc>
        <w:tc>
          <w:tcPr>
            <w:tcW w:type="dxa" w:w="2771"/>
          </w:tcPr>
          <w:p>
            <w:pPr>
              <w:pStyle w:val="Compact"/>
              <w:spacing w:before="20" w:after="20" w:line="240" w:lineRule="auto"/>
              <w:jc w:val="center"/>
              <w:keepNext/>
            </w:pPr>
            <w:r>
              <w:rPr>
                <w:sz w:val="18"/>
                <w:szCs w:val="18"/>
              </w:rPr>
              <w:t xml:space="preserve">(0.011)</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기술범위</w:t>
            </w:r>
          </w:p>
        </w:tc>
        <w:tc>
          <w:tcPr>
            <w:tcW w:type="dxa" w:w="1679"/>
          </w:tcPr>
          <w:p>
            <w:pPr>
              <w:pStyle w:val="Compact"/>
              <w:spacing w:before="20" w:after="20" w:line="240" w:lineRule="auto"/>
              <w:jc w:val="center"/>
              <w:keepNext/>
            </w:pPr>
            <w:r>
              <w:rPr>
                <w:sz w:val="18"/>
                <w:szCs w:val="18"/>
              </w:rPr>
              <w:t xml:space="preserve">1.267***</w:t>
            </w:r>
          </w:p>
        </w:tc>
        <w:tc>
          <w:tcPr>
            <w:tcW w:type="dxa" w:w="2771"/>
          </w:tcPr>
          <w:p>
            <w:pPr>
              <w:pStyle w:val="Compact"/>
              <w:spacing w:before="20" w:after="20" w:line="240" w:lineRule="auto"/>
              <w:jc w:val="center"/>
              <w:keepNext/>
            </w:pPr>
            <w:r>
              <w:rPr>
                <w:sz w:val="18"/>
                <w:szCs w:val="18"/>
              </w:rPr>
              <w:t xml:space="preserve">(0.027)</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1.650**</w:t>
            </w:r>
          </w:p>
        </w:tc>
        <w:tc>
          <w:tcPr>
            <w:tcW w:type="dxa" w:w="2771"/>
          </w:tcPr>
          <w:p>
            <w:pPr>
              <w:pStyle w:val="Compact"/>
              <w:spacing w:before="20" w:after="20" w:line="240" w:lineRule="auto"/>
              <w:jc w:val="center"/>
              <w:keepNext/>
            </w:pPr>
            <w:r>
              <w:rPr>
                <w:sz w:val="18"/>
                <w:szCs w:val="18"/>
              </w:rPr>
              <w:t xml:space="preserve">(0.205)</w:t>
            </w:r>
          </w:p>
        </w:tc>
        <w:tc>
          <w:tcPr>
            <w:tcW w:type="dxa" w:w="1539"/>
          </w:tcPr>
          <w:p>
            <w:pPr>
              <w:pStyle w:val="Compact"/>
              <w:spacing w:before="20" w:after="20" w:line="240" w:lineRule="auto"/>
              <w:jc w:val="center"/>
              <w:keepNext/>
            </w:pPr>
            <w:r>
              <w:rPr>
                <w:sz w:val="18"/>
                <w:szCs w:val="18"/>
              </w:rPr>
              <w:t xml:space="preserve">0.015</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1.430</w:t>
            </w:r>
          </w:p>
        </w:tc>
        <w:tc>
          <w:tcPr>
            <w:tcW w:type="dxa" w:w="2771"/>
          </w:tcPr>
          <w:p>
            <w:pPr>
              <w:pStyle w:val="Compact"/>
              <w:spacing w:before="20" w:after="20" w:line="240" w:lineRule="auto"/>
              <w:jc w:val="center"/>
              <w:keepNext/>
            </w:pPr>
            <w:r>
              <w:rPr>
                <w:sz w:val="18"/>
                <w:szCs w:val="18"/>
              </w:rPr>
              <w:t xml:space="preserve">(0.327)</w:t>
            </w:r>
          </w:p>
        </w:tc>
        <w:tc>
          <w:tcPr>
            <w:tcW w:type="dxa" w:w="1539"/>
          </w:tcPr>
          <w:p>
            <w:pPr>
              <w:pStyle w:val="Compact"/>
              <w:spacing w:before="20" w:after="20" w:line="240" w:lineRule="auto"/>
              <w:jc w:val="center"/>
              <w:keepNext/>
            </w:pPr>
            <w:r>
              <w:rPr>
                <w:sz w:val="18"/>
                <w:szCs w:val="18"/>
              </w:rPr>
              <w:t xml:space="preserve">0.274</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1.555</w:t>
            </w:r>
          </w:p>
        </w:tc>
        <w:tc>
          <w:tcPr>
            <w:tcW w:type="dxa" w:w="2771"/>
          </w:tcPr>
          <w:p>
            <w:pPr>
              <w:pStyle w:val="Compact"/>
              <w:spacing w:before="20" w:after="20" w:line="240" w:lineRule="auto"/>
              <w:jc w:val="center"/>
              <w:keepNext/>
            </w:pPr>
            <w:r>
              <w:rPr>
                <w:sz w:val="18"/>
                <w:szCs w:val="18"/>
              </w:rPr>
              <w:t xml:space="preserve">(0.290)</w:t>
            </w:r>
          </w:p>
        </w:tc>
        <w:tc>
          <w:tcPr>
            <w:tcW w:type="dxa" w:w="1539"/>
          </w:tcPr>
          <w:p>
            <w:pPr>
              <w:pStyle w:val="Compact"/>
              <w:spacing w:before="20" w:after="20" w:line="240" w:lineRule="auto"/>
              <w:jc w:val="center"/>
              <w:keepNext/>
            </w:pPr>
            <w:r>
              <w:rPr>
                <w:sz w:val="18"/>
                <w:szCs w:val="18"/>
              </w:rPr>
              <w:t xml:space="preserve">0.128</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0.483</w:t>
            </w:r>
          </w:p>
        </w:tc>
        <w:tc>
          <w:tcPr>
            <w:tcW w:type="dxa" w:w="2771"/>
          </w:tcPr>
          <w:p>
            <w:pPr>
              <w:pStyle w:val="Compact"/>
              <w:spacing w:before="20" w:after="20" w:line="240" w:lineRule="auto"/>
              <w:jc w:val="center"/>
              <w:keepNext/>
            </w:pPr>
            <w:r>
              <w:rPr>
                <w:sz w:val="18"/>
                <w:szCs w:val="18"/>
              </w:rPr>
              <w:t xml:space="preserve">(0.482)</w:t>
            </w:r>
          </w:p>
        </w:tc>
        <w:tc>
          <w:tcPr>
            <w:tcW w:type="dxa" w:w="1539"/>
          </w:tcPr>
          <w:p>
            <w:pPr>
              <w:pStyle w:val="Compact"/>
              <w:spacing w:before="20" w:after="20" w:line="240" w:lineRule="auto"/>
              <w:jc w:val="center"/>
              <w:keepNext/>
            </w:pPr>
            <w:r>
              <w:rPr>
                <w:sz w:val="18"/>
                <w:szCs w:val="18"/>
              </w:rPr>
              <w:t xml:space="preserve">0.131</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1.170</w:t>
            </w:r>
          </w:p>
        </w:tc>
        <w:tc>
          <w:tcPr>
            <w:tcW w:type="dxa" w:w="2771"/>
          </w:tcPr>
          <w:p>
            <w:pPr>
              <w:pStyle w:val="Compact"/>
              <w:spacing w:before="20" w:after="20" w:line="240" w:lineRule="auto"/>
              <w:jc w:val="center"/>
              <w:keepNext/>
            </w:pPr>
            <w:r>
              <w:rPr>
                <w:sz w:val="18"/>
                <w:szCs w:val="18"/>
              </w:rPr>
              <w:t xml:space="preserve">(0.267)</w:t>
            </w:r>
          </w:p>
        </w:tc>
        <w:tc>
          <w:tcPr>
            <w:tcW w:type="dxa" w:w="1539"/>
          </w:tcPr>
          <w:p>
            <w:pPr>
              <w:pStyle w:val="Compact"/>
              <w:spacing w:before="20" w:after="20" w:line="240" w:lineRule="auto"/>
              <w:jc w:val="center"/>
              <w:keepNext/>
            </w:pPr>
            <w:r>
              <w:rPr>
                <w:sz w:val="18"/>
                <w:szCs w:val="18"/>
              </w:rPr>
              <w:t xml:space="preserve">0.555</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1.398</w:t>
            </w:r>
          </w:p>
        </w:tc>
        <w:tc>
          <w:tcPr>
            <w:tcW w:type="dxa" w:w="2771"/>
          </w:tcPr>
          <w:p>
            <w:pPr>
              <w:pStyle w:val="Compact"/>
              <w:spacing w:before="20" w:after="20" w:line="240" w:lineRule="auto"/>
              <w:jc w:val="center"/>
              <w:keepNext/>
            </w:pPr>
            <w:r>
              <w:rPr>
                <w:sz w:val="18"/>
                <w:szCs w:val="18"/>
              </w:rPr>
              <w:t xml:space="preserve">(0.235)</w:t>
            </w:r>
          </w:p>
        </w:tc>
        <w:tc>
          <w:tcPr>
            <w:tcW w:type="dxa" w:w="1539"/>
          </w:tcPr>
          <w:p>
            <w:pPr>
              <w:pStyle w:val="Compact"/>
              <w:spacing w:before="20" w:after="20" w:line="240" w:lineRule="auto"/>
              <w:jc w:val="center"/>
              <w:keepNext/>
            </w:pPr>
            <w:r>
              <w:rPr>
                <w:sz w:val="18"/>
                <w:szCs w:val="18"/>
              </w:rPr>
              <w:t xml:space="preserve">0.155</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2.132</w:t>
            </w:r>
          </w:p>
        </w:tc>
        <w:tc>
          <w:tcPr>
            <w:tcW w:type="dxa" w:w="2771"/>
          </w:tcPr>
          <w:p>
            <w:pPr>
              <w:pStyle w:val="Compact"/>
              <w:spacing w:before="20" w:after="20" w:line="240" w:lineRule="auto"/>
              <w:jc w:val="center"/>
              <w:keepNext/>
            </w:pPr>
            <w:r>
              <w:rPr>
                <w:sz w:val="18"/>
                <w:szCs w:val="18"/>
              </w:rPr>
              <w:t xml:space="preserve">(0.613)</w:t>
            </w:r>
          </w:p>
        </w:tc>
        <w:tc>
          <w:tcPr>
            <w:tcW w:type="dxa" w:w="1539"/>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8은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다만 유형과 기술범위가 같은 CPC 정보에서 만들어지므로, 이를 독립적인 인과적 결정요인으로 해석하지 않는다.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7에서 본 제조공정 분류의 감소는 주로 공정 단독형의 감소에서 온 것이다. H2는 지지된다.</w:t>
      </w:r>
    </w:p>
    <w:p>
      <w:pPr>
        <w:pStyle w:val="BodyText"/>
        <w:keepNext/>
      </w:pPr>
      <w:r>
        <w:drawing>
          <wp:inline>
            <wp:extent cx="5334000" cy="2794000"/>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꼴이다. H3b는 기준 모형에서 지지되지만, 2023–2024년 출원을 제외하면 유의성을 잃으므로(제5.4절) 최근 출원 구성에 민감한 제한적 증거로 본다.</w:t>
      </w:r>
    </w:p>
    <w:p>
      <w:pPr>
        <w:pStyle w:val="BodyText"/>
        <w:keepNext/>
      </w:pPr>
      <w:r>
        <w:rPr>
          <w:b/>
          <w:bCs/>
        </w:rPr>
        <w:t xml:space="preserve">표 8.</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p>
      <w:pPr>
        <w:pStyle w:val="BodyText"/>
      </w:pPr>
      <w:r>
        <w:rPr>
          <w:b/>
          <w:bCs/>
        </w:rPr>
        <w:t xml:space="preserve">시기별 분포.</w:t>
      </w:r>
      <w:r>
        <w:t xml:space="preserve"> </w:t>
      </w:r>
      <w:r>
        <w:t xml:space="preserve">선형 연도 추세는 통합형 비중의 오르내림을 가린다. 표 9과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bookmarkEnd w:id="43"/>
    <w:bookmarkStart w:id="44"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10는 핵심 계수를 비교하고, 전체 계수는 부록 B에 실었다.</w:t>
      </w:r>
    </w:p>
    <w:p>
      <w:pPr>
        <w:pStyle w:val="BodyText"/>
        <w:keepNext/>
      </w:pPr>
      <w:r>
        <w:rPr>
          <w:b/>
          <w:bCs/>
        </w:rPr>
        <w:t xml:space="preserve">표 10.</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6·7)</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유형 최소치 조정 CPC 범위(breadth_adj)의 탐색적 결과는 부록 B에 있다.</w:t>
      </w:r>
    </w:p>
    <w:p>
      <w:pPr>
        <w:pStyle w:val="BodyText"/>
      </w:pPr>
      <w:r>
        <w:rPr>
          <w:b/>
          <w:bCs/>
        </w:rPr>
        <w:t xml:space="preserve">관측치의 독립성.</w:t>
      </w:r>
      <w:r>
        <w:t xml:space="preserve"> </w:t>
      </w:r>
      <w:r>
        <w:t xml:space="preserve">같은 제목의 출원을 한 군집으로 묶어 표준오차를 다시 계산해도 표 10의 네 계수는 모두 1% 수준에서 유의하다. 유의성을 잃는 것은 범위 → 공정 단독형(RRR 0.905, p = 0.29)과 일본 → 공정 단독형(p = 0.06) 두 계수뿐이다.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B).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출원 구성에 민감한 제한적 증거이며 제한적 지지로 판정한다.</w:t>
      </w:r>
    </w:p>
    <w:bookmarkEnd w:id="44"/>
    <w:bookmarkStart w:id="45" w:name="가설-판정"/>
    <w:p>
      <w:pPr>
        <w:pStyle w:val="Heading3"/>
      </w:pPr>
      <w:r>
        <w:t xml:space="preserve">5.5 가설 판정</w:t>
      </w:r>
    </w:p>
    <w:p>
      <w:pPr>
        <w:pStyle w:val="FirstParagraph"/>
      </w:pPr>
      <w:r>
        <w:t xml:space="preserve">표 11은 기준 모형(표 6·7)과 제5.4절의 재추정 결과를 함께 고려한 가설 판정이다.</w:t>
      </w:r>
    </w:p>
    <w:p>
      <w:pPr>
        <w:pStyle w:val="BodyText"/>
        <w:keepNext/>
      </w:pPr>
      <w:r>
        <w:rPr>
          <w:b/>
          <w:bCs/>
        </w:rPr>
        <w:t xml:space="preserve">표 11.</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1.403***(95% CI 1.321–1.489; 표 8); 모든 재추정에서 1.295–1.485***(표 10)</w:t>
            </w:r>
          </w:p>
        </w:tc>
        <w:tc>
          <w:tcPr>
            <w:tcW w:type="dxa" w:w="2473"/>
          </w:tcPr>
          <w:p>
            <w:pPr>
              <w:pStyle w:val="Compact"/>
              <w:spacing w:before="20" w:after="20" w:line="240" w:lineRule="auto"/>
              <w:keepNext/>
            </w:pPr>
            <w:r>
              <w:rPr>
                <w:sz w:val="15"/>
                <w:szCs w:val="15"/>
              </w:rPr>
              <w:t xml:space="preserve">지지(구성적 연관)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0.913***(95% CI 0.887–0.940; 표 8); 기간 더미 0.273***/0.101***; 재추정에서 0.820–0.935***(표 10);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0.785***(95% CI 0.695–0.887; 표 6); 모든 재추정에서 0.785–0.808***(표 10)</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2.687***(95% CI 1.566–4.611; 표 8); 재추정에서 2.721–7.211***(표 10); 다만 2023–2024년 제외 시 1.651(비유의)</w:t>
            </w:r>
          </w:p>
        </w:tc>
        <w:tc>
          <w:tcPr>
            <w:tcW w:type="dxa" w:w="2473"/>
          </w:tcPr>
          <w:p>
            <w:pPr>
              <w:pStyle w:val="Compact"/>
              <w:spacing w:before="20" w:after="20" w:line="240" w:lineRule="auto"/>
              <w:keepNext/>
            </w:pPr>
            <w:r>
              <w:rPr>
                <w:sz w:val="15"/>
                <w:szCs w:val="15"/>
              </w:rPr>
              <w:t xml:space="preserve">제한적 지지(최근 출원 구성에 민감)</w:t>
            </w:r>
          </w:p>
        </w:tc>
      </w:tr>
    </w:tbl>
    <w:bookmarkEnd w:id="45"/>
    <w:bookmarkEnd w:id="46"/>
    <w:bookmarkStart w:id="50" w:name="논의"/>
    <w:p>
      <w:pPr>
        <w:pStyle w:val="Heading2"/>
      </w:pPr>
      <w:r>
        <w:t xml:space="preserve">6. 논의</w:t>
      </w:r>
    </w:p>
    <w:bookmarkStart w:id="47"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두 변수가 같은 CPC 정보에서 만들어지므로 이는 결정요인이 아니라 통합형 특허의 구성적 특징이다(제5.4절).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9).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차이가 드러난 곳은 통합형이 아니었다. 공정 단독형과 기술범위였다. 중국 출원청에 진입한 발명 포트폴리오는 범위가 좁고 특정 제조공정에 집중된 출원이 상대적으로 많은데, 이는 적층 전체를 포괄하기 전에 특정 제조 단계부터 확보하는 추격 단계의 출원 양상(Lee and Lim, 2001)과 맞고, 중국 특허의 양적 팽창과 보조금 정책을 다룬 Hu와 Jefferson(2009), Dang과 Motohashi(2015)의 증거와도 어긋나지 않는다. 그렇다고 추격 전략의 직접 증거로 읽을 수는 없다. 출원청 계수는 관할권의 인과효과가 아니라 각 출원청에 제출된 발명 포트폴리오의 조건부 구성 차이이고, 출원인과 패밀리 정보도 통제되지 않았다. 출원인의 국적과 유형, 같은 발명의 해외 출원 여부, 심사 기준과 분류 관행이 그 계수 안에 함께 섞여 있으며, 공정 단독형 편중은 최근 출원 구성에 민감한 제한적 결과이기도 하다. 더 분명하게 말할 수 있는 것은 하나다. 범위와 시점을 통제하면 통합형의 비중 자체는 출원청 간에 다르지 않다. 본 표본에서 출원청별 차이는 공동분류형보다 한 영역에만 분류된 출원에서 더 두드러지게 관찰되었다. 한국과 대만이 범위와 통합형에서 미국과 비슷한 것도, 미국 출원인과 정면으로 경쟁하는 메모리 제조사와 파운드리의 위치를 생각하면 뜻밖의 결과는 아니다.</w:t>
      </w:r>
    </w:p>
    <w:bookmarkEnd w:id="47"/>
    <w:bookmarkStart w:id="48"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상당수 출원이 제조공정과 접합 기술을 함께 포함한다는 결과에서 한 가지를 읽을 수 있다. 하이브리드 본딩에서는 접합 장비를 잘 다루는 것으로 끝나지 않고, 표면 평탄화, 오염 제어, 표면 화학, 정렬까지 아우르는 인접 공정 지식이 중요해질 수 있다는 것이다. KnowMade(2024)의 독립적 산업 분석이 파운드리, 종합반도체기업, 라이선싱 기업을 특허 활동을 주도하는 출원인으로 꼽는 것도 같은 방향이다. 파운드리와 종합반도체기업의 패키징 내재화를 이 결과가 직접 입증하지는 않지만,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정책 면에서 눈여겨볼 것은 관할권 비교다. 중국 출원청 표본의 좁은 클래스 내 CPC 범위는 견고하게 관찰되었다. 그 원인이 Dang과 Motohashi(2015)가 다룬 보조금 정책인지, 출원인 구성인지, 기술 단계나 출원 선택인지는 이 자료로는 가릴 수 없다. 한국 출원청의 계수는 기준 모형에서 유의하지 않았으므로, 한국에 관한 함의는 표본 전체의 패턴에서 끌어낸 것이다. 차세대 HBM을 하이브리드 본딩에 기대고 있는 한국 메모리 산업에 이 결과가 던지는 시사점은, 패키징 경쟁력이 패키징 노하우 하나에 달려 있지 않을 수 있다는 점이다. 평탄화, 표면 화학, 정렬 계측 같은 제조공정 역량, 그리고 이를 하나의 특허출원에서 통합적으로 보호하는 능력이 함께 필요할 수 있다.</w:t>
      </w:r>
    </w:p>
    <w:bookmarkEnd w:id="48"/>
    <w:bookmarkStart w:id="49"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프로필이 어떤 출원인 집단에서 비롯되는지는 가리지 못하며,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9"/>
    <w:bookmarkEnd w:id="50"/>
    <w:bookmarkStart w:id="51"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물었다. 하이브리드 본딩 관련 출원 928건에 부여된 CPC 기호를 기준으로 각 출원을 조립 단독형, 공정 단독형, 통합형으로 나누고, 어떤 특성의 출원이 두 영역의 분류를 함께 가지는지를 추정하였다.</w:t>
      </w:r>
    </w:p>
    <w:p>
      <w:pPr>
        <w:pStyle w:val="BodyText"/>
      </w:pPr>
      <w:r>
        <w:t xml:space="preserve">결과는 견고성에 따라 세 층으로 나누어 읽는 것이 정직하다. 가장 견고한 층에는 세 가지가 있다. 이 논문의 검색식으로 식별된 하이브리드 본딩 관련 출원에서 제조공정과 접합 기술의 공동분류는 45.8%였고 보수적 정의로도 37.2%여서, 예외적인 현상이라고는 보기 어렵다. 공정 단독형의 상대위험은 표본과 정의를 어떻게 바꾸어도 최근 출원일수록 낮았다. 중국 출원청 출원은 미국 출원청 출원보다 두 클래스 안의 CPC 범위가 좁았고, 이 차이 역시 모든 표본에서 살아남았다.</w:t>
      </w:r>
    </w:p>
    <w:p>
      <w:pPr>
        <w:pStyle w:val="BodyText"/>
      </w:pPr>
      <w:r>
        <w:t xml:space="preserve">그다음 층의 보조 결과로는 통합형과 높은 기술적 다양성의 연관, 그리고 통합형 비중이 늘었다가 줄어든 시기별 움직임이 있다. 앞의 것은 통합형의 구성적 특징으로, 뒤의 것은 탐색적 해석으로 제시하였다. 제한적 결과는 중국 출원청의 공정 단독형 편중인데, 이는 최근 출원 구성에 민감하다. 출원인과 공식 패밀리 정보가 없는 본 자료에서 출원청별 차이는 관할권의 인과효과가 아니라 각 출원청에 진입한 발명 포트폴리오의 구성 차이로 해석해야 하며, 산업 아키텍처의 변화는 직접 검정하지 않았다.</w:t>
      </w:r>
    </w:p>
    <w:p>
      <w:pPr>
        <w:pStyle w:val="BodyText"/>
      </w:pPr>
      <w:r>
        <w:t xml:space="preserve">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1"/>
    <w:bookmarkStart w:id="52"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2"/>
    <w:bookmarkStart w:id="56" w:name="부록"/>
    <w:p>
      <w:pPr>
        <w:pStyle w:val="Heading2"/>
      </w:pPr>
      <w:r>
        <w:t xml:space="preserve">부록</w:t>
      </w:r>
    </w:p>
    <w:bookmarkStart w:id="53"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3"/>
    <w:bookmarkStart w:id="54"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 중국 출원청 1.177로, 주요 계수의 방향과 상대적 크기는 다항 로짓 통합형 방정식의 값(1.403, 0.993, 1.205)과 유사했다. 이는 공정 단독형을 제외해도 통합형 관련 결과의 실질적 해석이 크게 달라지지 않음을 보여주는 민감도 분석이며, 정식 IIA 검정(Hausman–McFadden, Small–Hsiao)을 대체하지는 않는다.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4"/>
    <w:bookmarkStart w:id="55"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bookmarkEnd w:id="57"/>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2026-09-25T15:18:06Z</dcterms:created>
  <dcterms:modified xsi:type="dcterms:W3CDTF">2026-09-25T15:18:06Z</dcterms:modified>
</cp:coreProperties>
</file>

<file path=docProps/custom.xml><?xml version="1.0" encoding="utf-8"?>
<Properties xmlns="http://schemas.openxmlformats.org/officeDocument/2006/custom-properties" xmlns:vt="http://schemas.openxmlformats.org/officeDocument/2006/docPropsVTypes"/>
</file>