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37.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접합·인터커넥트(H01L24)와 제조공정(H01L21)을 한 발명 안에서 함께 청구하는 통합형 특허를 경계를 넘는 특허로 정의하고, 이를 조립 단독형·공정 단독형과 구분한다. 통합형은 출원의 45.8%로 최빈 유형이며, 전공정 기술을 청구하는 출원은 63.6%에 이른다. 다항·이항 로짓 추정 결과는 세 가지다.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출원청이 중요하다. 중국 출원청 출원은 모든 모형 설정에서 뚜렷하게 공정 지향적인 반면, 일본 출원청의 효과는 표본 기간에 따라 달라져 취약하다.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markedly more process-oriented in every specification, whereas the Japanese-office effect is sensitive to the sample period.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w:t>
      </w:r>
      <w:r>
        <w:t xml:space="preserve"> </w:t>
      </w:r>
      <w:r>
        <w:rPr>
          <w:i/>
          <w:iCs/>
        </w:rPr>
        <w:t xml:space="preserve">통합형(integrated)</w:t>
      </w:r>
      <w:r>
        <w:t xml:space="preserve"> </w:t>
      </w:r>
      <w:r>
        <w:t xml:space="preserve">청구가 출원의 45.8%로 최빈 유형이며, 전공정 기술을 청구하는 출원은 63.6%에 이른다.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시간에 따라</w:t>
      </w:r>
      <w:r>
        <w:t xml:space="preserve"> </w:t>
      </w:r>
      <w:r>
        <w:rPr>
          <w:i/>
          <w:iCs/>
        </w:rPr>
        <w:t xml:space="preserve">순수</w:t>
      </w:r>
      <w:r>
        <w:t xml:space="preserve"> </w:t>
      </w:r>
      <w:r>
        <w:t xml:space="preserve">전공정 청구의 비중은 모든 명세에서 일관되게 줄었다(2014년 이전 43.6% → 2020–2024년 10.4%). 반면 통합형은 2015–2019년에 62.2%로 정점에 이른 뒤 2020–2024년에는 조립 수준 청구가 다시 늘면서 44.3%로 낮아졌다. 즉 융합은 경계를 넘는 청구의 단조 증가가 아니라 두 단계의 재구성(recomposition)—공정 단독형에서 통합형으로, 다시 통합형에서 접합 구조 청구로—의 형태로 진행되었다. 셋째, 출원청 효과가 산업 아키텍처 및 추격 양상과 부합하는 방식으로 나타난다. 중국 출원청 출원은 범위가 좁고 공정 단독형일 가능성이 훨씬 높으며 이 결과는 모든 명세에서 유지된다. 일본 출원청 출원이 넓고 공정 단독형이 드물다는 결과는 전 기간 표본에서만 나타나고 2010년 이후 표본에서는 사라져, 26건이라는 표본 크기의 한계 안에서만 읽어야 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담고 있으며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w:t>
      </w:r>
      <w:r>
        <w:t xml:space="preserve"> </w:t>
      </w:r>
      <w:r>
        <w:rPr>
          <w:i/>
          <w:iCs/>
        </w:rPr>
        <w:t xml:space="preserve">조직 경계</w:t>
      </w:r>
      <w:r>
        <w:t xml:space="preserve"> </w:t>
      </w:r>
      <w:r>
        <w:t xml:space="preserve">로, 어느 기업이 어느 단계를 직접 수행하는가를 묻는다. 반면 융합 문헌의 분석 단위는</w:t>
      </w:r>
      <w:r>
        <w:t xml:space="preserve"> </w:t>
      </w:r>
      <w:r>
        <w:rPr>
          <w:i/>
          <w:iCs/>
        </w:rPr>
        <w:t xml:space="preserve">지식·기술 기반</w:t>
      </w:r>
      <w:r>
        <w:t xml:space="preserve"> </w:t>
      </w:r>
      <w:r>
        <w:t xml:space="preserve">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w:t>
      </w:r>
      <w:r>
        <w:t xml:space="preserve"> </w:t>
      </w:r>
      <w:r>
        <w:rPr>
          <w:i/>
          <w:iCs/>
        </w:rPr>
        <w:t xml:space="preserve">기술적</w:t>
      </w:r>
      <w:r>
        <w:t xml:space="preserve"> </w:t>
      </w:r>
      <w:r>
        <w:t xml:space="preserve">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측정하는 셈이다.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w:t>
      </w:r>
      <w:r>
        <w:t xml:space="preserve"> </w:t>
      </w:r>
      <w:r>
        <w:rPr>
          <w:i/>
          <w:iCs/>
        </w:rPr>
        <w:t xml:space="preserve">경계를 넘는 특허</w:t>
      </w:r>
      <w:r>
        <w:t xml:space="preserve"> </w:t>
      </w:r>
      <w:r>
        <w:t xml:space="preserve">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w:t>
      </w:r>
      <w:r>
        <w:t xml:space="preserve"> </w:t>
      </w:r>
      <w:r>
        <w:rPr>
          <w:i/>
          <w:iCs/>
        </w:rPr>
        <w:t xml:space="preserve">전공정 지향(front-end orientation)</w:t>
      </w:r>
      <w:r>
        <w:t xml:space="preserve"> </w:t>
      </w:r>
      <w:r>
        <w:t xml:space="preserve">으로 따로 명명하여 경계 넘기와 구별한다.</w:t>
      </w:r>
    </w:p>
    <w:p>
      <w:pPr>
        <w:pStyle w:val="BodyText"/>
      </w:pPr>
      <w:r>
        <w:t xml:space="preserve">설명변수의 선정에는 두 방정식의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분류 기호에 걸치는 특허가 접합 클래스와 전공정 클래스를 함께 포함하는 통합형일 가능성이 더 높아야 한다. 이 메커니즘은 기호가 많을수록 그중 하나가 H01L21일 가능성이 커진다는 점에서 부분적으로 기계적이지만(통합형은 정의상 두 클래스의 기호를 각각 하나 이상 가지므로 범위가 2 이상이다), 동시에 전략적이기도 하다. 따라서 제5.4절에서는 각 클래스의 첫 기호를 제외한 조정 범위로 이 기계적 성분을 분리한다.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w:t>
      </w:r>
      <w:r>
        <w:t xml:space="preserve"> </w:t>
      </w:r>
      <w:r>
        <w:rPr>
          <w:i/>
          <w:iCs/>
        </w:rPr>
        <w:t xml:space="preserve">내부</w:t>
      </w:r>
      <w:r>
        <w:t xml:space="preserve"> </w:t>
      </w:r>
      <w:r>
        <w:t xml:space="preserve">에서 특허가 청구하는 세부 기술의 폭을 측정하며, 반도체 외부 분야로의 확장은 포착하지 않는다.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H01L21·H01L24 계열의 고유 CPC 서브그룹 기호 수로, 분류 기호 수로 범위를 재는 Lerner(1994)의 전통을 두 클래스 내부에 적용한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배정하며, 통합형이 경계 넘기의 측정치다.</w:t>
      </w:r>
      <w:r>
        <w:t xml:space="preserve"> </w:t>
      </w:r>
      <w:r>
        <w:rPr>
          <w:i/>
          <w:iCs/>
        </w:rPr>
        <w:t xml:space="preserve">Has_process</w:t>
      </w:r>
      <w:r>
        <w:t xml:space="preserve"> </w:t>
      </w:r>
      <w:r>
        <w:t xml:space="preserve">는 출원이 H01L21 기호를 하나라도 보유하면 1인 이항 지표로, 통합형과 공정 단독형을 합한 전공정 지향의 측정치다. 두 변수는 역할이 다르다. 경계 넘기의 본 검정은</w:t>
      </w:r>
      <w:r>
        <w:t xml:space="preserve"> </w:t>
      </w:r>
      <w:r>
        <w:rPr>
          <w:i/>
          <w:iCs/>
        </w:rPr>
        <w:t xml:space="preserve">tech_cat</w:t>
      </w:r>
      <w:r>
        <w:t xml:space="preserve"> </w:t>
      </w:r>
      <w:r>
        <w:t xml:space="preserve">의 통합형 방정식이며,</w:t>
      </w:r>
      <w:r>
        <w:t xml:space="preserve"> </w:t>
      </w:r>
      <w:r>
        <w:rPr>
          <w:i/>
          <w:iCs/>
        </w:rPr>
        <w:t xml:space="preserve">has_process</w:t>
      </w:r>
      <w:r>
        <w:t xml:space="preserve"> </w:t>
      </w:r>
      <w:r>
        <w:t xml:space="preserve">는 전공정 기술이 청구되는지 여부만을 묻는 보조 지표다.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H01L21·H01L24 계열 고유 CPC 서브그룹 기호 수(기술범위)</w:t>
            </w:r>
          </w:p>
        </w:tc>
        <w:tc>
          <w:tcPr/>
          <w:p>
            <w:pPr>
              <w:pStyle w:val="Compact"/>
            </w:pPr>
            <w:r>
              <w:t xml:space="preserve">카운트, 1–21</w:t>
            </w:r>
          </w:p>
        </w:tc>
      </w:tr>
      <w:tr>
        <w:tc>
          <w:tcPr/>
          <w:p>
            <w:pPr>
              <w:pStyle w:val="Compact"/>
            </w:pPr>
            <w:r>
              <w:t xml:space="preserve">breadth_adj</w:t>
            </w:r>
          </w:p>
        </w:tc>
        <w:tc>
          <w:tcPr/>
          <w:p>
            <w:pPr>
              <w:pStyle w:val="Compact"/>
            </w:pPr>
            <w:r>
              <w:t xml:space="preserve">breadth − has_process − has_assembly(각 클래스의 첫 기호를 제외한 초과 기호 수; 제5.4절)</w:t>
            </w:r>
          </w:p>
        </w:tc>
        <w:tc>
          <w:tcPr/>
          <w:p>
            <w:pPr>
              <w:pStyle w:val="Compact"/>
            </w:pPr>
            <w:r>
              <w:t xml:space="preserve">카운트, 0–19</w:t>
            </w:r>
          </w:p>
        </w:tc>
      </w:tr>
      <w:tr>
        <w:tc>
          <w:tcPr/>
          <w:p>
            <w:pPr>
              <w:pStyle w:val="Compact"/>
            </w:pPr>
            <w:r>
              <w:t xml:space="preserve">tech_cat</w:t>
            </w:r>
          </w:p>
        </w:tc>
        <w:tc>
          <w:tcPr/>
          <w:p>
            <w:pPr>
              <w:pStyle w:val="Compact"/>
            </w:pPr>
            <w:r>
              <w:t xml:space="preserve">조립 단독형(H01L24만) / 통합형(둘 다 = 경계 넘기) / 공정 단독형(H01L21만)</w:t>
            </w:r>
          </w:p>
        </w:tc>
        <w:tc>
          <w:tcPr/>
          <w:p>
            <w:pPr>
              <w:pStyle w:val="Compact"/>
            </w:pPr>
            <w:r>
              <w:t xml:space="preserve">범주, 3</w:t>
            </w:r>
          </w:p>
        </w:tc>
      </w:tr>
      <w:tr>
        <w:tc>
          <w:tcPr/>
          <w:p>
            <w:pPr>
              <w:pStyle w:val="Compact"/>
            </w:pPr>
            <w:r>
              <w:t xml:space="preserve">has_process</w:t>
            </w:r>
          </w:p>
        </w:tc>
        <w:tc>
          <w:tcPr/>
          <w:p>
            <w:pPr>
              <w:pStyle w:val="Compact"/>
            </w:pPr>
            <w:r>
              <w:t xml:space="preserve">H01L21(제조공정) 기호를 하나라도 보유하면 1(전공정 지향), 아니면 0</w:t>
            </w:r>
          </w:p>
        </w:tc>
        <w:tc>
          <w:tcPr/>
          <w:p>
            <w:pPr>
              <w:pStyle w:val="Compact"/>
            </w:pPr>
            <w:r>
              <w:t xml:space="preserve">이항</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PCT 경로(113), EPO(83), 대만(75), 한국(58), 일본(26), 기타(16)가 뒤를 잇는다. 그림 1은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w:t>
      </w:r>
      <w:r>
        <w:t xml:space="preserve"> </w:t>
      </w:r>
      <w:r>
        <w:rPr>
          <w:i/>
          <w:iCs/>
        </w:rPr>
        <w:t xml:space="preserve">tech_cat</w:t>
      </w:r>
      <w:r>
        <w:t xml:space="preserve"> </w:t>
      </w:r>
      <w:r>
        <w:t xml:space="preserve">을 모형화하고 상대위험비(RRR)로 보고하여, 통합형(경계 넘기)과 공정 단독형을 동일한 기준 범주 대비로 해석할 수 있게 한다. 이것이 H1과 H2의 본 검정이다. 이에 앞서 이항 로짓은 기술범위, 연도 추세, 출원청으로</w:t>
      </w:r>
      <w:r>
        <w:t xml:space="preserve"> </w:t>
      </w:r>
      <w:r>
        <w:rPr>
          <w:i/>
          <w:iCs/>
        </w:rPr>
        <w:t xml:space="preserve">has_process</w:t>
      </w:r>
      <w:r>
        <w:t xml:space="preserve"> </w:t>
      </w:r>
      <w:r>
        <w:t xml:space="preserve">(전공정 지향)를 예측하며, 승산비(OR)로 보고하고 ROC 곡선 하면적(AUC)으로 평가한다(Hosmer et al., 2013). 이항 로짓은 전공정 기술이 청구되는지만을 묻는 단순한 명세로서 다항 결과의 예비 점검 역할을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41"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전 기간 선형 추세의 발생률비(IRR)는 1.014로 서브그룹 수가 연간 약 1.4%씩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2는 모형이 함의하는 출원청별 예측 기술범위를 도시한다. 일본 출원청 출원이 더 넓다는 H3b의 범위 성분은 10% 수준에서 지지되고 2010년 이후 표본에서는 IRR 1.577(p &lt; 0.01)로 오히려 강해지며(제5.4절),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출원청별 예측 기술범위(음이항, 다른 공변량은 평균; 95% 신뢰구간).</w:t>
      </w:r>
    </w:p>
    <w:bookmarkEnd w:id="28"/>
    <w:bookmarkStart w:id="32" w:name="전공정-지향-이항-로짓"/>
    <w:p>
      <w:pPr>
        <w:pStyle w:val="Heading3"/>
      </w:pPr>
      <w:r>
        <w:t xml:space="preserve">5.2 전공정 지향: 이항 로짓</w:t>
      </w:r>
    </w:p>
    <w:p>
      <w:pPr>
        <w:pStyle w:val="FirstParagraph"/>
      </w:pPr>
      <w:r>
        <w:t xml:space="preserve">표 4는 전공정 지향(</w:t>
      </w:r>
      <w:r>
        <w:rPr>
          <w:i/>
          <w:iCs/>
        </w:rPr>
        <w:t xml:space="preserve">has_process</w:t>
      </w:r>
      <w:r>
        <w:t xml:space="preserve">)에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3).</w:t>
      </w:r>
    </w:p>
    <w:p>
      <w:pPr>
        <w:pStyle w:val="BodyText"/>
      </w:pPr>
      <w:r>
        <w:rPr>
          <w:b/>
          <w:bCs/>
        </w:rPr>
        <w:t xml:space="preserve">표 4.</w:t>
      </w:r>
      <w:r>
        <w:t xml:space="preserve"> </w:t>
      </w:r>
      <w:r>
        <w:t xml:space="preserve">전공정 지향의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전공정 지향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분리하며, 경계 넘기(통합형)에 대한 본 검정이다. 조립 단독형 대비로 읽으면, 기술범위는 특허를 통합형으로 밀고(RRR 1.403, p &lt; 0.01) 공정 단독형에서 멀어지게 한다(RRR 0.905, p &lt; 0.05). 넓은 특허는 두 단계에 걸치고, 좁은 특허는 한 단계에 특화한다. H1은 지지된다.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4의 음의 연도 계수는 일차적으로 공정 단독형 발명의 소멸을 반영한다. 다만 선형 추세는 통합형의 비단조적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방정식에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4는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H3a는 지지되며, H3b의 전략 성분은 전 기간 표본에서 지지된다. 그 강건성은 제5.4절에서 다룬다.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 전략의 예측 확률(다항 로짓, 다른 공변량은 평균; 95% 신뢰구간).</w:t>
      </w:r>
    </w:p>
    <w:bookmarkEnd w:id="36"/>
    <w:bookmarkStart w:id="40" w:name="가설-검정-요약과-강건성"/>
    <w:p>
      <w:pPr>
        <w:pStyle w:val="Heading3"/>
      </w:pPr>
      <w:r>
        <w:t xml:space="preserve">5.4 가설 검정 요약과 강건성</w:t>
      </w:r>
    </w:p>
    <w:p>
      <w:pPr>
        <w:pStyle w:val="FirstParagraph"/>
      </w:pPr>
      <w:r>
        <w:t xml:space="preserve">표 6은 가설 검정 결과를 요약하며, 판정에는 아래 강건성 분석을 반영하였다. H1은 다항 로짓의 통합형 방정식에서 지지되고 조정 범위로도 유지된다. H2는 공정 단독형의 감소에 대해서는 모든 명세에서 지지되지만 통합형의 유지에 대해서는 전 기간 평균에서만 성립하여 부분 지지로 판정한다. H3a는 모든 명세에서 지지된다. H3b는 범위 성분은 표본과 무관하게 지지되나 공정 단독형 성분은 2010년 이후 표본에서 사라지므로, 부분 지지로 판정한다.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넘기(통합형)</w:t>
            </w:r>
          </w:p>
        </w:tc>
        <w:tc>
          <w:tcPr/>
          <w:p>
            <w:pPr>
              <w:pStyle w:val="Compact"/>
            </w:pPr>
            <w:r>
              <w:rPr>
                <w:b/>
                <w:bCs/>
              </w:rPr>
              <w:t xml:space="preserve">본 검정:</w:t>
            </w:r>
            <w:r>
              <w:t xml:space="preserve"> </w:t>
            </w:r>
            <w:r>
              <w:t xml:space="preserve">RRR 통합형 1.403***, 공정 단독형 0.905**(표 5); 보조: 전공정 지향 OR 1.267***(표 4)</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공정 단독형: 모든 명세에서 감소(RRR 0.913***; 기간 더미 0.273***/0.101***). 통합형: 전 기간 평탄(0.993)이나 2015–19 정점 후 감소(2010+ 표본 0.934**)</w:t>
            </w:r>
          </w:p>
        </w:tc>
        <w:tc>
          <w:tcPr/>
          <w:p>
            <w:pPr>
              <w:pStyle w:val="Compact"/>
            </w:pPr>
            <w:r>
              <w:t xml:space="preserve">부분 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RRR 공정 단독형 2.687***(표 5); 전공정 지향 OR 1.650**(표 4);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2010+ 표본 1.577*** → 지지. 공정 단독형: RRR 0.086***(표 5)이나 2010+ 표본에서 소멸(표 8); N = 26</w:t>
            </w:r>
          </w:p>
        </w:tc>
        <w:tc>
          <w:tcPr/>
          <w:p>
            <w:pPr>
              <w:pStyle w:val="Compact"/>
            </w:pPr>
            <w:r>
              <w:t xml:space="preserve">범위는 지지, 전략 유형은 취약</w:t>
            </w:r>
          </w:p>
        </w:tc>
      </w:tr>
    </w:tbl>
    <w:p>
      <w:pPr>
        <w:pStyle w:val="BodyText"/>
      </w:pPr>
      <w:r>
        <w:t xml:space="preserve">결과의 강건성을 원자료(출원–CPC 레코드 5,277건)로 재추정하여 점검하였다. 이하에서 ’명세’는 모형 설정(변수 구성과 표본)을 뜻한다. 표 7은 기간별 전략 유형의 분포를, 표 8은 핵심 계수의 명세별 비교를 보고한다.</w:t>
      </w:r>
    </w:p>
    <w:p>
      <w:pPr>
        <w:pStyle w:val="BodyText"/>
      </w:pPr>
      <w:r>
        <w:rPr>
          <w:i/>
          <w:i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유의하고(이항 로짓의 전공정 지향 OR도 1.267에서 1.179로 줄되 유의), 공정 단독형 방정식(0.915, p &lt; 0.05)와 중국·일본 출원청 계수는 사실상 변하지 않는다. H1은 기계적 성분을 제거한 뒤에도 지지된다.</w:t>
      </w:r>
    </w:p>
    <w:p>
      <w:pPr>
        <w:pStyle w:val="BodyText"/>
      </w:pPr>
      <w:r>
        <w:rPr>
          <w:i/>
          <w:iCs/>
        </w:rPr>
        <w:t xml:space="preserve">둘째, 기간 구분과 2010년 이후 하위표본.</w:t>
      </w:r>
      <w:r>
        <w:t xml:space="preserve"> </w:t>
      </w:r>
      <w:r>
        <w:t xml:space="preserve">표 7에서 공정 단독형의 비중은 2014년 이전 43.6%에서 2015–2019년 14.8%, 2020–2024년 10.4%로 단조 감소한다. 통합형은 31.3%에서 62.2%로 급증한 뒤 44.3%로 낮아지고, 조립 단독형은 25.1%와 23.0%에서 45.4%로 늘어난다(그림 5). 선형 연도 추세 대신 기간 더미를 넣은 다항 로짓에서 통합형의 상대위험은 2015–2019년에 1.707(p &lt; 0.10)로 높아졌다가 2020–2024년에는 0.762(비유의)로 낮아지고, 공정 단독형은 0.273과 0.101(모두 p &lt; 0.01)로 낮아진다. 2010년 이후 표본(N = 830)에서는 통합형의 연도 계수가 0.934(p &lt; 0.05)로 유의하게 음이며, 공정 단독형은 0.862(p &lt; 0.01)로 더 가파르게 감소한다. 같은 표본에서 기술범위의 연도 추세는 IRR 0.970(p &lt; 0.01)으로 부호가 바뀐다. 요컨대 공정 단독형의 감소는 모든 명세에서 일관되지만, 통합형이 비중을 유지한다는 결과는 전 기간 선형 평균에 국한된다.</w:t>
      </w:r>
    </w:p>
    <w:p>
      <w:pPr>
        <w:pStyle w:val="BodyText"/>
      </w:pPr>
      <w:r>
        <w:rPr>
          <w:i/>
          <w:iCs/>
        </w:rPr>
        <w:t xml:space="preserve">셋째, 출원청 효과.</w:t>
      </w:r>
      <w:r>
        <w:t xml:space="preserve"> </w:t>
      </w:r>
      <w:r>
        <w:t xml:space="preserve">중국 출원청의 공정 단독형 상대위험은 2.687(전 기간), 2.720(조정 범위), 2.701(2010년 이후), 2.898(기간 더미)로 모든 명세에서 1% 수준 유의하며, 기술범위의 협소함(IRR 0.785 및 0.794)도 유지된다. 반면 일본 출원청의 결과는 취약하다. 공정 단독형 상대위험 0.086은 전 기간과 기간 더미 명세(0.239, p &lt; 0.05)에서는 유지되지만 2010년 이후 표본에서는 3.240(비유의)으로 사라지고, 같은 표본에서 통합형 상대위험은 6.795(p &lt; 0.10)로 나타난다. 일본 출원청 출원은 26건에 불과하고 2010년 이전 출원의 비중이 커서, H3b는 표본 기간에 따라 결론이 달라지는 부분 지지로 판정한다.</w:t>
      </w:r>
    </w:p>
    <w:p>
      <w:pPr>
        <w:pStyle w:val="BodyText"/>
      </w:pPr>
      <w:r>
        <w:rPr>
          <w:i/>
          <w:i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이전에 이미 표본에 등장하므로 코드의 신설이 주된 원인은 아니다. 그러나 출원당 H01L24 계열 기호 수는 2014년 이전 3.03개에서 2015–2019년 4.73개로 늘고 접합 기호를 하나라도 가진 출원의 비율은 56.4%에서 85.2%, 89.6%로 높아진 반면, H01L21 계열 기호 수는 2.12개에서 1.46개로 줄었다. 이는 발명의 중심이 공정에서 접합 구조로 이동했다는 해석과 접합 코드가 더 폭넓게 부여되게 되었다는 해석 모두와 부합하며, 본 연구의 자료로는 둘을 분리할 수 없다. 재구성 해석은 이 유보 아래 제시한다.</w:t>
      </w:r>
    </w:p>
    <w:p>
      <w:pPr>
        <w:pStyle w:val="BodyText"/>
      </w:pPr>
      <w:r>
        <w:rPr>
          <w:i/>
          <w:iCs/>
        </w:rPr>
        <w:t xml:space="preserve">다섯째, 모형 명세.</w:t>
      </w:r>
      <w:r>
        <w:t xml:space="preserve"> </w:t>
      </w:r>
      <w:r>
        <w:t xml:space="preserve">연도와 중국 출원청 효과의 부호와 유의성은 OLS, 로버스트 OLS, Poisson, 음이항 명세에서 동일하다(표 3). 2023–2024년의 출원 감소는 공개 시차의 인공물이므로 공정 단독형의 감소를 절단된 연도까지 외삽하지는 않는다. 다항 결과는 무관 대안의 독립성 가정에 따라 조립 단독형 기준 대비 상대적 경향으로 읽으며, 그 가정을 요구하지 않는 이항 로짓이 범위·시간·중국 출원청에 대해 같은 질적 결론을 준다.</w:t>
      </w:r>
    </w:p>
    <w:p>
      <w:pPr>
        <w:pStyle w:val="BodyText"/>
      </w:pPr>
      <w:r>
        <w:rPr>
          <w:b/>
          <w:bCs/>
        </w:rPr>
        <w:t xml:space="preserve">표 7.</w:t>
      </w:r>
      <w:r>
        <w:t xml:space="preserve"> </w:t>
      </w:r>
      <w:r>
        <w:t xml:space="preserve">기간별 전략 유형 분포(N = 928; 괄호 안은 행 비중).</w:t>
      </w:r>
    </w:p>
    <w:tbl>
      <w:tblPr>
        <w:tblStyle w:val="Table"/>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pPr>
            <w:r>
              <w:t xml:space="preserve">출원 기간</w:t>
            </w:r>
          </w:p>
        </w:tc>
        <w:tc>
          <w:tcPr/>
          <w:p>
            <w:pPr>
              <w:pStyle w:val="Compact"/>
            </w:pPr>
            <w:r>
              <w:t xml:space="preserve">조립 단독형</w:t>
            </w:r>
          </w:p>
        </w:tc>
        <w:tc>
          <w:tcPr/>
          <w:p>
            <w:pPr>
              <w:pStyle w:val="Compact"/>
            </w:pPr>
            <w:r>
              <w:t xml:space="preserve">통합형(경계 넘기)</w:t>
            </w:r>
          </w:p>
        </w:tc>
        <w:tc>
          <w:tcPr/>
          <w:p>
            <w:pPr>
              <w:pStyle w:val="Compact"/>
            </w:pPr>
            <w:r>
              <w:t xml:space="preserve">공정 단독형</w:t>
            </w:r>
          </w:p>
        </w:tc>
        <w:tc>
          <w:tcPr/>
          <w:p>
            <w:pPr>
              <w:pStyle w:val="Compact"/>
              <w:jc w:val="right"/>
            </w:pPr>
            <w:r>
              <w:t xml:space="preserve">N</w:t>
            </w:r>
          </w:p>
        </w:tc>
        <w:tc>
          <w:tcPr/>
          <w:p>
            <w:pPr>
              <w:pStyle w:val="Compact"/>
              <w:jc w:val="right"/>
            </w:pPr>
            <w:r>
              <w:t xml:space="preserve">전공정 지향(%)</w:t>
            </w:r>
          </w:p>
        </w:tc>
      </w:tr>
      <w:tr>
        <w:tc>
          <w:tcPr/>
          <w:p>
            <w:pPr>
              <w:pStyle w:val="Compact"/>
            </w:pPr>
            <w:r>
              <w:t xml:space="preserve">–2014</w:t>
            </w:r>
          </w:p>
        </w:tc>
        <w:tc>
          <w:tcPr/>
          <w:p>
            <w:pPr>
              <w:pStyle w:val="Compact"/>
            </w:pPr>
            <w:r>
              <w:t xml:space="preserve">45 (25.1%)</w:t>
            </w:r>
          </w:p>
        </w:tc>
        <w:tc>
          <w:tcPr/>
          <w:p>
            <w:pPr>
              <w:pStyle w:val="Compact"/>
            </w:pPr>
            <w:r>
              <w:t xml:space="preserve">56 (31.3%)</w:t>
            </w:r>
          </w:p>
        </w:tc>
        <w:tc>
          <w:tcPr/>
          <w:p>
            <w:pPr>
              <w:pStyle w:val="Compact"/>
            </w:pPr>
            <w:r>
              <w:t xml:space="preserve">78 (43.6%)</w:t>
            </w:r>
          </w:p>
        </w:tc>
        <w:tc>
          <w:tcPr/>
          <w:p>
            <w:pPr>
              <w:pStyle w:val="Compact"/>
              <w:jc w:val="right"/>
            </w:pPr>
            <w:r>
              <w:t xml:space="preserve">179</w:t>
            </w:r>
          </w:p>
        </w:tc>
        <w:tc>
          <w:tcPr/>
          <w:p>
            <w:pPr>
              <w:pStyle w:val="Compact"/>
              <w:jc w:val="right"/>
            </w:pPr>
            <w:r>
              <w:t xml:space="preserve">74.9</w:t>
            </w:r>
          </w:p>
        </w:tc>
      </w:tr>
      <w:tr>
        <w:tc>
          <w:tcPr/>
          <w:p>
            <w:pPr>
              <w:pStyle w:val="Compact"/>
            </w:pPr>
            <w:r>
              <w:t xml:space="preserve">2015–2019</w:t>
            </w:r>
          </w:p>
        </w:tc>
        <w:tc>
          <w:tcPr/>
          <w:p>
            <w:pPr>
              <w:pStyle w:val="Compact"/>
            </w:pPr>
            <w:r>
              <w:t xml:space="preserve">48 (23.0%)</w:t>
            </w:r>
          </w:p>
        </w:tc>
        <w:tc>
          <w:tcPr/>
          <w:p>
            <w:pPr>
              <w:pStyle w:val="Compact"/>
            </w:pPr>
            <w:r>
              <w:t xml:space="preserve">130 (62.2%)</w:t>
            </w:r>
          </w:p>
        </w:tc>
        <w:tc>
          <w:tcPr/>
          <w:p>
            <w:pPr>
              <w:pStyle w:val="Compact"/>
            </w:pPr>
            <w:r>
              <w:t xml:space="preserve">31 (14.8%)</w:t>
            </w:r>
          </w:p>
        </w:tc>
        <w:tc>
          <w:tcPr/>
          <w:p>
            <w:pPr>
              <w:pStyle w:val="Compact"/>
              <w:jc w:val="right"/>
            </w:pPr>
            <w:r>
              <w:t xml:space="preserve">209</w:t>
            </w:r>
          </w:p>
        </w:tc>
        <w:tc>
          <w:tcPr/>
          <w:p>
            <w:pPr>
              <w:pStyle w:val="Compact"/>
              <w:jc w:val="right"/>
            </w:pPr>
            <w:r>
              <w:t xml:space="preserve">77.0</w:t>
            </w:r>
          </w:p>
        </w:tc>
      </w:tr>
      <w:tr>
        <w:tc>
          <w:tcPr/>
          <w:p>
            <w:pPr>
              <w:pStyle w:val="Compact"/>
            </w:pPr>
            <w:r>
              <w:t xml:space="preserve">2020–2024</w:t>
            </w:r>
          </w:p>
        </w:tc>
        <w:tc>
          <w:tcPr/>
          <w:p>
            <w:pPr>
              <w:pStyle w:val="Compact"/>
            </w:pPr>
            <w:r>
              <w:t xml:space="preserve">245 (45.4%)</w:t>
            </w:r>
          </w:p>
        </w:tc>
        <w:tc>
          <w:tcPr/>
          <w:p>
            <w:pPr>
              <w:pStyle w:val="Compact"/>
            </w:pPr>
            <w:r>
              <w:t xml:space="preserve">239 (44.3%)</w:t>
            </w:r>
          </w:p>
        </w:tc>
        <w:tc>
          <w:tcPr/>
          <w:p>
            <w:pPr>
              <w:pStyle w:val="Compact"/>
            </w:pPr>
            <w:r>
              <w:t xml:space="preserve">56 (10.4%)</w:t>
            </w:r>
          </w:p>
        </w:tc>
        <w:tc>
          <w:tcPr/>
          <w:p>
            <w:pPr>
              <w:pStyle w:val="Compact"/>
              <w:jc w:val="right"/>
            </w:pPr>
            <w:r>
              <w:t xml:space="preserve">540</w:t>
            </w:r>
          </w:p>
        </w:tc>
        <w:tc>
          <w:tcPr/>
          <w:p>
            <w:pPr>
              <w:pStyle w:val="Compact"/>
              <w:jc w:val="right"/>
            </w:pPr>
            <w:r>
              <w:t xml:space="preserve">54.6</w:t>
            </w:r>
          </w:p>
        </w:tc>
      </w:tr>
    </w:tbl>
    <w:p>
      <w:pPr>
        <w:pStyle w:val="BodyText"/>
      </w:pPr>
      <w:r>
        <w:drawing>
          <wp:inline>
            <wp:extent cx="5334000" cy="3200400"/>
            <wp:effectExtent b="0" l="0" r="0" t="0"/>
            <wp:docPr descr="" title="" id="38" name="Picture"/>
            <a:graphic>
              <a:graphicData uri="http://schemas.openxmlformats.org/drawingml/2006/picture">
                <pic:pic>
                  <pic:nvPicPr>
                    <pic:cNvPr descr="figures/fig5_period_share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기간별 전략 유형 비중(N = 928).</w:t>
      </w:r>
    </w:p>
    <w:p>
      <w:pPr>
        <w:pStyle w:val="BodyText"/>
      </w:pPr>
      <w:r>
        <w:rPr>
          <w:b/>
          <w:bCs/>
        </w:rPr>
        <w:t xml:space="preserve">표 8.</w:t>
      </w:r>
      <w:r>
        <w:t xml:space="preserve"> </w:t>
      </w:r>
      <w:r>
        <w:t xml:space="preserve">핵심 계수의 명세별 비교(다항 로짓 RRR, 기준 = 조립 단독형; 음이항은 IRR; * p &lt; 0.10, ** p &lt; 0.05, *** p &lt; 0.01).</w:t>
      </w:r>
    </w:p>
    <w:tbl>
      <w:tblPr>
        <w:tblStyle w:val="Table"/>
        <w:tblW w:type="pct" w:w="5000"/>
        <w:tblLayout w:type="fixed"/>
        <w:tblLook w:firstRow="1" w:lastRow="0" w:firstColumn="0" w:lastColumn="0" w:noHBand="0" w:noVBand="0" w:val="0020"/>
      </w:tblPr>
      <w:tblGrid>
        <w:gridCol w:w="848"/>
        <w:gridCol w:w="1131"/>
        <w:gridCol w:w="848"/>
        <w:gridCol w:w="848"/>
        <w:gridCol w:w="848"/>
        <w:gridCol w:w="848"/>
        <w:gridCol w:w="848"/>
        <w:gridCol w:w="848"/>
        <w:gridCol w:w="848"/>
      </w:tblGrid>
      <w:tr>
        <w:trPr>
          <w:tblHeader w:val="on"/>
        </w:trPr>
        <w:tc>
          <w:tcPr/>
          <w:p>
            <w:pPr>
              <w:pStyle w:val="Compact"/>
            </w:pPr>
            <w:r>
              <w:t xml:space="preserve">명세</w:t>
            </w:r>
          </w:p>
        </w:tc>
        <w:tc>
          <w:tcPr/>
          <w:p>
            <w:pPr>
              <w:pStyle w:val="Compact"/>
              <w:jc w:val="right"/>
            </w:pPr>
            <w:r>
              <w:t xml:space="preserve">N</w:t>
            </w:r>
          </w:p>
        </w:tc>
        <w:tc>
          <w:tcPr/>
          <w:p>
            <w:pPr>
              <w:pStyle w:val="Compact"/>
            </w:pPr>
            <w:r>
              <w:t xml:space="preserve">범위 → 통합형</w:t>
            </w:r>
          </w:p>
        </w:tc>
        <w:tc>
          <w:tcPr/>
          <w:p>
            <w:pPr>
              <w:pStyle w:val="Compact"/>
            </w:pPr>
            <w:r>
              <w:t xml:space="preserve">범위 → 공정 단독형</w:t>
            </w:r>
          </w:p>
        </w:tc>
        <w:tc>
          <w:tcPr/>
          <w:p>
            <w:pPr>
              <w:pStyle w:val="Compact"/>
            </w:pPr>
            <w:r>
              <w:t xml:space="preserve">연도 → 통합형</w:t>
            </w:r>
          </w:p>
        </w:tc>
        <w:tc>
          <w:tcPr/>
          <w:p>
            <w:pPr>
              <w:pStyle w:val="Compact"/>
            </w:pPr>
            <w:r>
              <w:t xml:space="preserve">연도 → 공정 단독형</w:t>
            </w:r>
          </w:p>
        </w:tc>
        <w:tc>
          <w:tcPr/>
          <w:p>
            <w:pPr>
              <w:pStyle w:val="Compact"/>
            </w:pPr>
            <w:r>
              <w:t xml:space="preserve">중국 → 공정 단독형</w:t>
            </w:r>
          </w:p>
        </w:tc>
        <w:tc>
          <w:tcPr/>
          <w:p>
            <w:pPr>
              <w:pStyle w:val="Compact"/>
            </w:pPr>
            <w:r>
              <w:t xml:space="preserve">일본 → 공정 단독형</w:t>
            </w:r>
          </w:p>
        </w:tc>
        <w:tc>
          <w:tcPr/>
          <w:p>
            <w:pPr>
              <w:pStyle w:val="Compact"/>
            </w:pPr>
            <w:r>
              <w:t xml:space="preserve">범위 연도 IRR</w:t>
            </w:r>
          </w:p>
        </w:tc>
      </w:tr>
      <w:tr>
        <w:tc>
          <w:tcPr/>
          <w:p>
            <w:pPr>
              <w:pStyle w:val="Compact"/>
            </w:pPr>
            <w:r>
              <w:t xml:space="preserve">기준(표 3·5)</w:t>
            </w:r>
          </w:p>
        </w:tc>
        <w:tc>
          <w:tcPr/>
          <w:p>
            <w:pPr>
              <w:pStyle w:val="Compact"/>
              <w:jc w:val="right"/>
            </w:pPr>
            <w:r>
              <w:t xml:space="preserve">928</w:t>
            </w:r>
          </w:p>
        </w:tc>
        <w:tc>
          <w:tcPr/>
          <w:p>
            <w:pPr>
              <w:pStyle w:val="Compact"/>
            </w:pPr>
            <w:r>
              <w:t xml:space="preserve">1.403***</w:t>
            </w:r>
          </w:p>
        </w:tc>
        <w:tc>
          <w:tcPr/>
          <w:p>
            <w:pPr>
              <w:pStyle w:val="Compact"/>
            </w:pPr>
            <w:r>
              <w:t xml:space="preserve">0.905**</w:t>
            </w:r>
          </w:p>
        </w:tc>
        <w:tc>
          <w:tcPr/>
          <w:p>
            <w:pPr>
              <w:pStyle w:val="Compact"/>
            </w:pPr>
            <w:r>
              <w:t xml:space="preserve">0.993</w:t>
            </w:r>
          </w:p>
        </w:tc>
        <w:tc>
          <w:tcPr/>
          <w:p>
            <w:pPr>
              <w:pStyle w:val="Compact"/>
            </w:pPr>
            <w:r>
              <w:t xml:space="preserve">0.913***</w:t>
            </w:r>
          </w:p>
        </w:tc>
        <w:tc>
          <w:tcPr/>
          <w:p>
            <w:pPr>
              <w:pStyle w:val="Compact"/>
            </w:pPr>
            <w:r>
              <w:t xml:space="preserve">2.687***</w:t>
            </w:r>
          </w:p>
        </w:tc>
        <w:tc>
          <w:tcPr/>
          <w:p>
            <w:pPr>
              <w:pStyle w:val="Compact"/>
            </w:pPr>
            <w:r>
              <w:t xml:space="preserve">0.086***</w:t>
            </w:r>
          </w:p>
        </w:tc>
        <w:tc>
          <w:tcPr/>
          <w:p>
            <w:pPr>
              <w:pStyle w:val="Compact"/>
            </w:pPr>
            <w:r>
              <w:t xml:space="preserve">1.014***</w:t>
            </w:r>
          </w:p>
        </w:tc>
      </w:tr>
      <w:tr>
        <w:tc>
          <w:tcPr/>
          <w:p>
            <w:pPr>
              <w:pStyle w:val="Compact"/>
            </w:pPr>
            <w:r>
              <w:t xml:space="preserve">조정 범위(breadth_adj)</w:t>
            </w:r>
          </w:p>
        </w:tc>
        <w:tc>
          <w:tcPr/>
          <w:p>
            <w:pPr>
              <w:pStyle w:val="Compact"/>
              <w:jc w:val="right"/>
            </w:pPr>
            <w:r>
              <w:t xml:space="preserve">928</w:t>
            </w:r>
          </w:p>
        </w:tc>
        <w:tc>
          <w:tcPr/>
          <w:p>
            <w:pPr>
              <w:pStyle w:val="Compact"/>
            </w:pPr>
            <w:r>
              <w:t xml:space="preserve">1.262***</w:t>
            </w:r>
          </w:p>
        </w:tc>
        <w:tc>
          <w:tcPr/>
          <w:p>
            <w:pPr>
              <w:pStyle w:val="Compact"/>
            </w:pPr>
            <w:r>
              <w:t xml:space="preserve">0.915**</w:t>
            </w:r>
          </w:p>
        </w:tc>
        <w:tc>
          <w:tcPr/>
          <w:p>
            <w:pPr>
              <w:pStyle w:val="Compact"/>
            </w:pPr>
            <w:r>
              <w:t xml:space="preserve">1.002</w:t>
            </w:r>
          </w:p>
        </w:tc>
        <w:tc>
          <w:tcPr/>
          <w:p>
            <w:pPr>
              <w:pStyle w:val="Compact"/>
            </w:pPr>
            <w:r>
              <w:t xml:space="preserve">0.911***</w:t>
            </w:r>
          </w:p>
        </w:tc>
        <w:tc>
          <w:tcPr/>
          <w:p>
            <w:pPr>
              <w:pStyle w:val="Compact"/>
            </w:pPr>
            <w:r>
              <w:t xml:space="preserve">2.720***</w:t>
            </w:r>
          </w:p>
        </w:tc>
        <w:tc>
          <w:tcPr/>
          <w:p>
            <w:pPr>
              <w:pStyle w:val="Compact"/>
            </w:pPr>
            <w:r>
              <w:t xml:space="preserve">0.087***</w:t>
            </w:r>
          </w:p>
        </w:tc>
        <w:tc>
          <w:tcPr/>
          <w:p>
            <w:pPr>
              <w:pStyle w:val="Compact"/>
            </w:pPr>
            <w:r>
              <w:t xml:space="preserve">—</w:t>
            </w:r>
          </w:p>
        </w:tc>
      </w:tr>
      <w:tr>
        <w:tc>
          <w:tcPr/>
          <w:p>
            <w:pPr>
              <w:pStyle w:val="Compact"/>
            </w:pPr>
            <w:r>
              <w:t xml:space="preserve">2010년 이후 표본</w:t>
            </w:r>
          </w:p>
        </w:tc>
        <w:tc>
          <w:tcPr/>
          <w:p>
            <w:pPr>
              <w:pStyle w:val="Compact"/>
              <w:jc w:val="right"/>
            </w:pPr>
            <w:r>
              <w:t xml:space="preserve">830</w:t>
            </w:r>
          </w:p>
        </w:tc>
        <w:tc>
          <w:tcPr/>
          <w:p>
            <w:pPr>
              <w:pStyle w:val="Compact"/>
            </w:pPr>
            <w:r>
              <w:t xml:space="preserve">1.385***</w:t>
            </w:r>
          </w:p>
        </w:tc>
        <w:tc>
          <w:tcPr/>
          <w:p>
            <w:pPr>
              <w:pStyle w:val="Compact"/>
            </w:pPr>
            <w:r>
              <w:t xml:space="preserve">0.910*</w:t>
            </w:r>
          </w:p>
        </w:tc>
        <w:tc>
          <w:tcPr/>
          <w:p>
            <w:pPr>
              <w:pStyle w:val="Compact"/>
            </w:pPr>
            <w:r>
              <w:t xml:space="preserve">0.934**</w:t>
            </w:r>
          </w:p>
        </w:tc>
        <w:tc>
          <w:tcPr/>
          <w:p>
            <w:pPr>
              <w:pStyle w:val="Compact"/>
            </w:pPr>
            <w:r>
              <w:t xml:space="preserve">0.862***</w:t>
            </w:r>
          </w:p>
        </w:tc>
        <w:tc>
          <w:tcPr/>
          <w:p>
            <w:pPr>
              <w:pStyle w:val="Compact"/>
            </w:pPr>
            <w:r>
              <w:t xml:space="preserve">2.701***</w:t>
            </w:r>
          </w:p>
        </w:tc>
        <w:tc>
          <w:tcPr/>
          <w:p>
            <w:pPr>
              <w:pStyle w:val="Compact"/>
            </w:pPr>
            <w:r>
              <w:t xml:space="preserve">3.240</w:t>
            </w:r>
          </w:p>
        </w:tc>
        <w:tc>
          <w:tcPr/>
          <w:p>
            <w:pPr>
              <w:pStyle w:val="Compact"/>
            </w:pPr>
            <w:r>
              <w:t xml:space="preserve">0.970***</w:t>
            </w:r>
          </w:p>
        </w:tc>
      </w:tr>
      <w:tr>
        <w:tc>
          <w:tcPr/>
          <w:p>
            <w:pPr>
              <w:pStyle w:val="Compact"/>
            </w:pPr>
            <w:r>
              <w:t xml:space="preserve">기간 더미(2015–19 / 2020–24)</w:t>
            </w:r>
          </w:p>
        </w:tc>
        <w:tc>
          <w:tcPr/>
          <w:p>
            <w:pPr>
              <w:pStyle w:val="Compact"/>
              <w:jc w:val="right"/>
            </w:pPr>
            <w:r>
              <w:t xml:space="preserve">928</w:t>
            </w:r>
          </w:p>
        </w:tc>
        <w:tc>
          <w:tcPr/>
          <w:p>
            <w:pPr>
              <w:pStyle w:val="Compact"/>
            </w:pPr>
            <w:r>
              <w:t xml:space="preserve">1.397***</w:t>
            </w:r>
          </w:p>
        </w:tc>
        <w:tc>
          <w:tcPr/>
          <w:p>
            <w:pPr>
              <w:pStyle w:val="Compact"/>
            </w:pPr>
            <w:r>
              <w:t xml:space="preserve">0.897**</w:t>
            </w:r>
          </w:p>
        </w:tc>
        <w:tc>
          <w:tcPr/>
          <w:p>
            <w:pPr>
              <w:pStyle w:val="Compact"/>
            </w:pPr>
            <w:r>
              <w:t xml:space="preserve">1.707* / 0.762</w:t>
            </w:r>
          </w:p>
        </w:tc>
        <w:tc>
          <w:tcPr/>
          <w:p>
            <w:pPr>
              <w:pStyle w:val="Compact"/>
            </w:pPr>
            <w:r>
              <w:t xml:space="preserve">0.273*** / 0.101***</w:t>
            </w:r>
          </w:p>
        </w:tc>
        <w:tc>
          <w:tcPr/>
          <w:p>
            <w:pPr>
              <w:pStyle w:val="Compact"/>
            </w:pPr>
            <w:r>
              <w:t xml:space="preserve">2.898***</w:t>
            </w:r>
          </w:p>
        </w:tc>
        <w:tc>
          <w:tcPr/>
          <w:p>
            <w:pPr>
              <w:pStyle w:val="Compact"/>
            </w:pPr>
            <w:r>
              <w:t xml:space="preserve">0.239**</w:t>
            </w:r>
          </w:p>
        </w:tc>
        <w:tc>
          <w:tcPr/>
          <w:p>
            <w:pPr>
              <w:pStyle w:val="Compact"/>
            </w:pPr>
            <w:r>
              <w:t xml:space="preserve">—</w:t>
            </w:r>
          </w:p>
        </w:tc>
      </w:tr>
    </w:tbl>
    <w:p>
      <w:pPr>
        <w:pStyle w:val="BodyText"/>
      </w:pPr>
      <w:r>
        <w:rPr>
          <w:i/>
          <w:iCs/>
        </w:rPr>
        <w:t xml:space="preserve">주:</w:t>
      </w:r>
      <w:r>
        <w:t xml:space="preserve"> </w:t>
      </w:r>
      <w:r>
        <w:t xml:space="preserve">기간 더미 명세의 연도 열은 2014년 이전 대비 각 기간의 RRR이다. 전체 추정 결과는 보충자료 S1에 수록한다.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w:t>
      </w:r>
      <w:r>
        <w:t xml:space="preserve"> </w:t>
      </w:r>
      <w:r>
        <w:rPr>
          <w:i/>
          <w:iCs/>
        </w:rPr>
        <w:t xml:space="preserve">조직적</w:t>
      </w:r>
      <w:r>
        <w:t xml:space="preserve"> </w:t>
      </w:r>
      <w:r>
        <w:t xml:space="preserve">통합이 지속되었다는 사실이고, 본 연구가 보인 것은 그 통합의</w:t>
      </w:r>
      <w:r>
        <w:t xml:space="preserve"> </w:t>
      </w:r>
      <w:r>
        <w:rPr>
          <w:i/>
          <w:iCs/>
        </w:rPr>
        <w:t xml:space="preserve">기술적</w:t>
      </w:r>
      <w:r>
        <w:t xml:space="preserve"> </w:t>
      </w:r>
      <w:r>
        <w:t xml:space="preserve">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된다. 그러나 결과는 그렇지 않았다. 기간별 분포(표 7)는 두 단계의</w:t>
      </w:r>
      <w:r>
        <w:t xml:space="preserve"> </w:t>
      </w:r>
      <w:r>
        <w:rPr>
          <w:i/>
          <w:iCs/>
        </w:rPr>
        <w:t xml:space="preserve">재구성(recomposition)</w:t>
      </w:r>
      <w:r>
        <w:t xml:space="preserve"> </w:t>
      </w:r>
      <w:r>
        <w:t xml:space="preserve">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특허</w:t>
      </w:r>
      <w:r>
        <w:t xml:space="preserve"> </w:t>
      </w:r>
      <w:r>
        <w:rPr>
          <w:i/>
          <w:iCs/>
        </w:rPr>
        <w:t xml:space="preserve">그 자체</w:t>
      </w:r>
      <w:r>
        <w:t xml:space="preserve"> </w:t>
      </w:r>
      <w:r>
        <w:t xml:space="preserve">에서 접합 구조와 함께 청구되는 것, 즉 특허가</w:t>
      </w:r>
      <w:r>
        <w:t xml:space="preserve"> </w:t>
      </w:r>
      <w:r>
        <w:rPr>
          <w:i/>
          <w:iCs/>
        </w:rPr>
        <w:t xml:space="preserve">포함하는 것</w:t>
      </w:r>
      <w:r>
        <w:t xml:space="preserve"> </w:t>
      </w:r>
      <w:r>
        <w:t xml:space="preserve">이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대상에서 접합 구조 발명이 전제하는 기반으로 물러나는 셈이다. 이는 Hacklin et al.(2009)의 공진화 논리를 단일 기술 안에서 관찰한 것으로, 융합은 더 많은 특허가 경계를 넘음으로써가 아니라 경계 넘는 내용이 단계적으로 형태를 바꿈으로써 진행된다. 다만 둘째 단계의 해석은 두 가지 유보를 안는다. 2020년 이후 출원의 일부는 공개 시차로 아직 관측되지 않았고, 접합 코드의 부여 확대라는 분류 관행의 변화가 같은 패턴을 만들 수 있다(제5.4절).</w:t>
      </w:r>
    </w:p>
    <w:p>
      <w:pPr>
        <w:pStyle w:val="BodyText"/>
      </w:pPr>
      <w:r>
        <w:rPr>
          <w:i/>
          <w:iCs/>
        </w:rPr>
        <w:t xml:space="preserve">산업 아키텍처와 추격이 청구에 남기는 흔적.</w:t>
      </w:r>
      <w:r>
        <w:t xml:space="preserve"> </w:t>
      </w:r>
      <w:r>
        <w:t xml:space="preserve">네 번째 함의는 특허 수준 결과를 전략 문헌과 연결하되, 관할권 변수가 출원청이지 출원인 국적이 아니라는 제4.2절의 단서 안에서 읽어야 한다. 관할권 대비는 공정 단독형 방정식에 집중되어 있으며 제2.4절에서 제시한 해석과 부합한다. 중국 출원청 출원은 범위가 좁고 공정 단독형에 편중되어 있다. 이는 통합된 적층 전체를 청구하기 전에 특정 제조 단계를 내재화하는 추격 자세의 프로필과 부합하며(Lee and Lim, 2001), 중국 특허의 양적 팽창이 보조금과 추격 동학에 의해 형성되어 왔다는 증거(Hu and Jefferson, 2009; Dang and Motohashi, 2015)와도 일관된다. 다만 이는 결과와 부합하는 한 가지 해석이다. 중국 출원청에는 외국 기업이 중국 시장 보호를 위해 제출한 2차 출원이 다수 포함되며, 이러한 패밀리 구성원 출원은 통상 원출원보다 범위가 좁게 정리되므로, 좁고 공정 단독형인 프로필의 일부는 외국 출원인의 방어적 출원 관행과 중국 심사 관행에서 비롯되었을 수 있다. 두 해석을 가르려면 출원인 국적 또는 우선권 출원청 기준의 재추정이 필요하다(제6.3절).</w:t>
      </w:r>
    </w:p>
    <w:p>
      <w:pPr>
        <w:pStyle w:val="BodyText"/>
      </w:pPr>
      <w:r>
        <w:t xml:space="preserve">일본 출원청 출원은 전 기간 표본에서 넓고 공정 단독형이 드물며, 이는 단일 단계 주변이 아니라 전체 공정 흐름에 걸쳐 특허를 내는 장비·소재 공급사의 강점(Langlois and Steinmueller, 1999) 및 1988년 개혁 이후의 다항 청구 관행(Sakakibara and Branstetter, 2001)과 부합한다. 그러나 이 결과는 26건의 표본에 의존하고 2010년 이후 표본에서는 사라지므로(제5.4절), 일본에 관한 해석은 잠정적이다. 한국과 대만은 범위와 통합형 방정식에서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전 기간 표본에서 관찰된 일본 출원청의 프로필, 즉 넓고 통합 지향적이며 공정 단독형이 드문 프로필이 전·후공정 인터페이스에서의 차별적이고 방어 가능한 위치를 시사한다. 다만 이 결과는 표본이 작고 기간에 민감하므로 잠정적으로 읽어야 한다.</w:t>
      </w:r>
    </w:p>
    <w:p>
      <w:pPr>
        <w:pStyle w:val="BodyText"/>
      </w:pPr>
      <w:r>
        <w:t xml:space="preserve">정책에 대해서는 관할권 대비가 시사적이다. 중국 출원청 프로필은, 추격 해석을 취할 경우, 단계별로 진행되는 추격 전략과 부합한다. 이러한 전략은 제조 역량의 내재화에는 효과적이지만 통합형 청구를 타국 출원인에게 남겨 둔다. 특허 건수를 보상하는 산업정책(Dang and Motohashi, 2015)은 이 패턴을 강화할 것이다. 한국 출원청 계수는 어느 모형에서도 유의하지 않으므로,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본 연구는 네 가지 한계를 갖는다. 첫째, 관할권 변수는 출원청이지 출원인의 국적이 아니다. 출원청 간 차이는 발명의 기원과 보호 전략을 섞는다. 출원을 출원인 식별자와 본사 위치에 연결하면 둘을 분리하고 기업 고정효과와 출원인 유형 통제를 넣을 수 있으며, 이는 특히 일본 출원청의 취약한 결과와 중국 출원청에 대한 두 해석(추격 대 방어 출원)을 가르는 데 필요하다.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두 단계의 재구성—공정 단독형에서 통합형으로, 다시 통합형에서 접합 구조 청구로—을 통해 진행되었으며, 산업 아키텍처와 추격의 흔적을 지닌다. 중국 출원청 출원이 좁고 공정 지향적이라는 결과는 모든 명세에서 유지되는 반면, 일본 출원청에 관한 결과는 표본 기간에 민감하다.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2026-09-24T00:31:01Z</dcterms:created>
  <dcterms:modified xsi:type="dcterms:W3CDTF">2026-09-24T00:31:01Z</dcterms:modified>
</cp:coreProperties>
</file>

<file path=docProps/custom.xml><?xml version="1.0" encoding="utf-8"?>
<Properties xmlns="http://schemas.openxmlformats.org/officeDocument/2006/custom-properties" xmlns:vt="http://schemas.openxmlformats.org/officeDocument/2006/docPropsVTypes"/>
</file>