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12" w:name="supplementary-material"/>
    <w:p>
      <w:pPr>
        <w:pStyle w:val="Heading2"/>
      </w:pPr>
      <w:r>
        <w:t xml:space="preserve">Supplementary material</w:t>
      </w:r>
    </w:p>
    <w:bookmarkStart w:id="9" w:name="X20d03fd0f3a01c9d347f47e1278e290f7a23dc4"/>
    <w:p>
      <w:pPr>
        <w:pStyle w:val="Heading3"/>
      </w:pPr>
      <w:r>
        <w:t xml:space="preserve">S1. Sample construction: Search strategy and irrelevant uses of the search terms</w:t>
      </w:r>
    </w:p>
    <w:p>
      <w:pPr>
        <w:pStyle w:val="FirstParagraph"/>
      </w:pPr>
      <w:r>
        <w:t xml:space="preserve">Table S1 presents the search strategy for patents related to hybrid bonding.</w:t>
      </w:r>
    </w:p>
    <w:p>
      <w:pPr>
        <w:pStyle w:val="BodyText"/>
        <w:keepNext/>
      </w:pPr>
      <w:r>
        <w:rPr>
          <w:b/>
          <w:bCs/>
          <w:sz w:val="20"/>
          <w:szCs w:val="20"/>
        </w:rPr>
        <w:t xml:space="preserve">Table S1.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The search terms of the keyword filter are also used in senses unrelated to hybrid bonding. Most such cases use</w:t>
      </w:r>
      <w:r>
        <w:t xml:space="preserve"> </w:t>
      </w:r>
      <w:r>
        <w:rPr>
          <w:i/>
          <w:iCs/>
        </w:rPr>
        <w:t xml:space="preserve">direct bonding</w:t>
      </w:r>
      <w:r>
        <w:t xml:space="preserve"> </w:t>
      </w:r>
      <w:r>
        <w:t xml:space="preserve">in a different sense, and a few use</w:t>
      </w:r>
      <w:r>
        <w:t xml:space="preserve"> </w:t>
      </w:r>
      <w:r>
        <w:rPr>
          <w:i/>
          <w:iCs/>
        </w:rPr>
        <w:t xml:space="preserve">hybrid bonding</w:t>
      </w:r>
      <w:r>
        <w:t xml:space="preserve"> </w:t>
      </w:r>
      <w:r>
        <w:t xml:space="preserve">in the sense of chemical bonding or bonding sheets for power modules. Applications whose titles contain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sp3–sp2 hybrid bonds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S2. Many of the applications filed before 2010 that remain after the irrelevant uses are excluded concern direct bonding of silicon wafers (e.g., for manufacturing silicon-on-insulator wafers); they were retained in the sample because they are precursor technologies of the dielectric bonding that forms part of hybrid bonding. The list of the titles of the 68 applications is available from the authors upon request.</w:t>
      </w:r>
    </w:p>
    <w:p>
      <w:pPr>
        <w:pStyle w:val="BodyText"/>
        <w:keepNext/>
      </w:pPr>
      <w:r>
        <w:rPr>
          <w:b/>
          <w:bCs/>
          <w:sz w:val="20"/>
          <w:szCs w:val="20"/>
        </w:rPr>
        <w:t xml:space="preserve">Table S2.</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9"/>
    <w:bookmarkStart w:id="10" w:name="X582eedd949e28edb0727f9e8b9615c474f96315"/>
    <w:p>
      <w:pPr>
        <w:pStyle w:val="Heading3"/>
      </w:pPr>
      <w:r>
        <w:t xml:space="preserve">S2. Strongest links of the technology network</w:t>
      </w:r>
    </w:p>
    <w:p>
      <w:pPr>
        <w:pStyle w:val="FirstParagraph"/>
      </w:pPr>
      <w:r>
        <w:t xml:space="preserve">Table S3 lists the ten symbol pairs most frequently assigned together in the network of all CPC symbols assigned to the 928 applications. The network consists of CPC symbols as nodes and of undirected links between any two different symbols assigned to the same application, and the weight of a link is the number of applications to which both symbols are assigned. The strongest link, between the direct bonding of conductive surfaces and the direct bonding of insulating surfaces, directly reflects the principle of hybrid bonding, which bonds both the metal and the dielectric.</w:t>
      </w:r>
    </w:p>
    <w:p>
      <w:pPr>
        <w:pStyle w:val="BodyText"/>
        <w:keepNext/>
      </w:pPr>
      <w:r>
        <w:rPr>
          <w:b/>
          <w:bCs/>
          <w:sz w:val="20"/>
          <w:szCs w:val="20"/>
        </w:rPr>
        <w:t xml:space="preserve">Table S3.</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bookmarkEnd w:id="10"/>
    <w:bookmarkStart w:id="11" w:name="Xb1ab77ea0cc77fd98cee862f8980426a2aa8105"/>
    <w:p>
      <w:pPr>
        <w:pStyle w:val="Heading3"/>
      </w:pPr>
      <w:r>
        <w:t xml:space="preserve">S3. Full re-estimation results of the multinomial logit and the IIA check</w:t>
      </w:r>
    </w:p>
    <w:p>
      <w:pPr>
        <w:pStyle w:val="FirstParagraph"/>
      </w:pPr>
      <w:r>
        <w:t xml:space="preserve">Tables S4 and S5 present the full coefficients of the multinomial logit re-estimations summarized in Table 6 (except the clustered-standard-error row, whose point estimates equal the baseline), with the adjusted-scope specification and the 2010–2024 sample added. Each column is a multinomial logit in which one sample or variable definition is changed, and the baseline column is identical to the multinomial logit of Table 3. Filing office dummies are included as control variables in all columns, but their coefficients are omitted. Adjusted scope refers to the type-minimum-adjusted CPC scope (breadth_adj), which subtracts one symbol for each class an application carries; same-title deduplication to the sample that keeps only the earliest application among those with the same title; the narrow fabrication-process definition to the variable that excludes the packaging-stage process symbols of H01L21 from fabrication processes; irrelevant uses excluded to the sample without the 68 applications of Section S1; and the</w:t>
      </w:r>
      <w:r>
        <w:t xml:space="preserve"> </w:t>
      </w:r>
      <w:r>
        <w:rPr>
          <w:i/>
          <w:iCs/>
        </w:rPr>
        <w:t xml:space="preserve">hybrid bonding</w:t>
      </w:r>
      <w:r>
        <w:t xml:space="preserve"> </w:t>
      </w:r>
      <w:r>
        <w:t xml:space="preserve">sample to the sample that keeps only applications whose titles contain</w:t>
      </w:r>
      <w:r>
        <w:t xml:space="preserve"> </w:t>
      </w:r>
      <w:r>
        <w:rPr>
          <w:i/>
          <w:iCs/>
        </w:rPr>
        <w:t xml:space="preserve">hybrid bonding</w:t>
      </w:r>
      <w:r>
        <w:t xml:space="preserve">. The 2010–2024 sample is the sample of applications filed in 2010 or later mentioned in Section 5.2.</w:t>
      </w:r>
    </w:p>
    <w:p>
      <w:pPr>
        <w:pStyle w:val="BodyText"/>
        <w:keepNext/>
      </w:pPr>
      <w:r>
        <w:rPr>
          <w:b/>
          <w:bCs/>
          <w:sz w:val="20"/>
          <w:szCs w:val="20"/>
        </w:rPr>
        <w:t xml:space="preserve">Table S4.</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S5.</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to the IIA assumption, a binary logit of integrated versus bonding-only was estimated on the sample excluding the process-only type (N = 763). The odds ratio of technological scope was 1.463 and that of filing year 0.987, similar in direction and relative magnitude to the values in the integrated-type equation of the multinomial logit (1.403 and 0.993). The substantive interpretation of the results for the integrated type can thus be regarded as largely unchanged when the process-only type is excluded, although this analysis does not replace a formal IIA test (Hausman–McFadden or Small–Hsiao). The core technology model in the main text also uses this sample.</w:t>
      </w:r>
    </w:p>
    <w:bookmarkEnd w:id="11"/>
    <w:bookmarkEnd w:id="1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2026-10-15T11:30:19Z</dcterms:created>
  <dcterms:modified xsi:type="dcterms:W3CDTF">2026-10-15T11:30:19Z</dcterms:modified>
  <cp:lastModifiedBy/>
  <dc:description/>
</cp:coreProperties>
</file>

<file path=docProps/custom.xml><?xml version="1.0" encoding="utf-8"?>
<Properties xmlns="http://schemas.openxmlformats.org/officeDocument/2006/custom-properties" xmlns:vt="http://schemas.openxmlformats.org/officeDocument/2006/docPropsVTypes"/>
</file>