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기술융합과 지식 통합: 특허 기반 종단 분석</w:t>
      </w:r>
    </w:p>
    <w:p>
      <w:pPr>
        <w:pStyle w:val="BodyText"/>
      </w:pPr>
      <w:r>
        <w:rPr>
          <w:b/>
          <w:bCs/>
        </w:rPr>
        <w:t xml:space="preserve">Cross-stage technology convergence as knowledge integration in semiconductor hybrid bonding: A patent-based longitudinal analysis</w:t>
      </w:r>
    </w:p>
    <w:p>
      <w:r>
        <w:pict>
          <v:rect style="width:0;height:1.5pt" o:hralign="center" o:hrstd="t" o:hr="t"/>
        </w:pict>
      </w:r>
    </w:p>
    <w:bookmarkStart w:id="12" w:name="보충자료"/>
    <w:p>
      <w:pPr>
        <w:pStyle w:val="Heading2"/>
      </w:pPr>
      <w:r>
        <w:t xml:space="preserve">보충자료</w:t>
      </w:r>
    </w:p>
    <w:bookmarkStart w:id="9" w:name="s1.-표본-구축-검색-전략과-검색어의-무관한-용법"/>
    <w:p>
      <w:pPr>
        <w:pStyle w:val="Heading3"/>
      </w:pPr>
      <w:r>
        <w:t xml:space="preserve">S1. 표본 구축: 검색 전략과 검색어의 무관한 용법</w:t>
      </w:r>
    </w:p>
    <w:p>
      <w:pPr>
        <w:pStyle w:val="FirstParagraph"/>
      </w:pPr>
      <w:r>
        <w:t xml:space="preserve">표 S1은 하이브리드 본딩 관련 특허의 검색 전략이다.</w:t>
      </w:r>
    </w:p>
    <w:p>
      <w:pPr>
        <w:pStyle w:val="BodyText"/>
        <w:keepNext/>
      </w:pPr>
      <w:r>
        <w:rPr>
          <w:b/>
          <w:bCs/>
          <w:sz w:val="20"/>
          <w:szCs w:val="20"/>
        </w:rPr>
        <w:t xml:space="preserve">표 S1.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분리·배선·기판 관통 배선(21/76),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두 조건을 모두 만족하는 출원을 선별하였으며, 1차 조건은 두 클래스 가운데 하나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pPr>
        <w:pStyle w:val="BodyText"/>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S2와 같다. 2010년 이전 출원 가운데 무관 용법을 제외한 후 남는 출원의 상당수는 실리콘 웨이퍼 직접 접합(SOI(silicon-on-insulator)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S2.</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9"/>
    <w:bookmarkStart w:id="10" w:name="s2.-기술-네트워크의-상위-연결"/>
    <w:p>
      <w:pPr>
        <w:pStyle w:val="Heading3"/>
      </w:pPr>
      <w:r>
        <w:t xml:space="preserve">S2. 기술 네트워크의 상위 연결</w:t>
      </w:r>
    </w:p>
    <w:p>
      <w:pPr>
        <w:pStyle w:val="FirstParagraph"/>
      </w:pPr>
      <w:r>
        <w:t xml:space="preserve">표 S3은 928건에 부여된 전체 CPC 기호의 네트워크에서 함께 부여된 출원이 가장 많은 상위 10개 기호 쌍이다. 네트워크의 노드는 CPC 기호이고, 한 출원에 함께 부여된 서로 다른 두 기호 사이에 무방향 연결을 두었으며, 두 기호가 함께 부여된 출원 수를 연결의 가중치로 삼았다. 가장 강한 연결인 도전성 표면의 직접 접합과 절연성 표면의 직접 접합의 쌍에는 금속과 절연막을 함께 접합하는 하이브리드 본딩의 원리가 그대로 반영되어 있다.</w:t>
      </w:r>
    </w:p>
    <w:p>
      <w:pPr>
        <w:pStyle w:val="BodyText"/>
        <w:keepNext/>
      </w:pPr>
      <w:r>
        <w:rPr>
          <w:b/>
          <w:bCs/>
          <w:sz w:val="20"/>
          <w:szCs w:val="20"/>
        </w:rPr>
        <w:t xml:space="preserve">표 S3.</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bookmarkEnd w:id="10"/>
    <w:bookmarkStart w:id="11" w:name="s3.-다항-로짓-재추정-결과-전체와-iia-점검"/>
    <w:p>
      <w:pPr>
        <w:pStyle w:val="Heading3"/>
      </w:pPr>
      <w:r>
        <w:t xml:space="preserve">S3. 다항 로짓 재추정 결과 전체와 IIA 점검</w:t>
      </w:r>
    </w:p>
    <w:p>
      <w:pPr>
        <w:pStyle w:val="FirstParagraph"/>
      </w:pPr>
      <w:r>
        <w:t xml:space="preserve">표 S4와 S5는 본문 표 6에 제시한 다항 로짓 재추정(점추정치가 기준과 같은 군집 표준오차 행 제외)에 조정 범위와 2010년 이후 표본을 추가하여 전체 계수를 제시한 것이다. 각 열은 표본 또는 변수 정의를 하나씩 변경한 다항 로짓이며, 기준 열은 본문 표 3의 다항 로짓과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S1절의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S4.</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S5.</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가정에 대한 민감성을 간접적으로 검토하기 위해 공정 단독형을 제외한 표본(N = 763)으로 통합형 대 접합 단독형의 이항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검정(Hausman–McFadden, Small–Hsiao)을 대체하는 것은 아니다. 본문의 핵심 기술 모형 역시 이 표본을 사용하였다.</w:t>
      </w:r>
    </w:p>
    <w:bookmarkEnd w:id="11"/>
    <w:bookmarkEnd w:id="12"/>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2026-10-15T11:30:18Z</dcterms:created>
  <dcterms:modified xsi:type="dcterms:W3CDTF">2026-10-15T11:30:18Z</dcterms:modified>
  <cp:lastModifiedBy/>
  <dc:description/>
</cp:coreProperties>
</file>

<file path=docProps/custom.xml><?xml version="1.0" encoding="utf-8"?>
<Properties xmlns="http://schemas.openxmlformats.org/officeDocument/2006/custom-properties" xmlns:vt="http://schemas.openxmlformats.org/officeDocument/2006/docPropsVTypes"/>
</file>