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rFonts w:ascii="Times New Roman" w:hAnsi="Times New Roman" w:cs="Times New Roman"/>
          <w:b/>
          <w:bCs/>
          <w:color w:val="000000"/>
          <w:sz w:val="28"/>
        </w:rPr>
        <w:t xml:space="preserve">Cross-stage technology convergence as knowledge integration in semiconductor hybrid bonding: A patent-based longitudinal analysis</w:t>
      </w:r>
    </w:p>
    <w:p>
      <w:r>
        <w:pict>
          <v:rect style="width:0;height:1.5pt" o:hralign="center" o:hrstd="t" o:hr="t"/>
        </w:pict>
      </w:r>
    </w:p>
    <w:bookmarkStart w:id="12" w:name="supplementary-material"/>
    <w:p>
      <w:pPr>
        <w:pStyle w:val="Heading2"/>
      </w:pPr>
      <w:r>
        <w:t xml:space="preserve">Supplementary material</w:t>
      </w:r>
    </w:p>
    <w:bookmarkStart w:id="9" w:name="X20d03fd0f3a01c9d347f47e1278e290f7a23dc4"/>
    <w:p>
      <w:pPr>
        <w:pStyle w:val="Heading3"/>
      </w:pPr>
      <w:r>
        <w:t xml:space="preserve">S1. Sample construction: Search strategy and irrelevant uses of the search terms</w:t>
      </w:r>
    </w:p>
    <w:p>
      <w:pPr>
        <w:pStyle w:val="FirstParagraph"/>
      </w:pPr>
      <w:r>
        <w:t xml:space="preserve">Table S1 presents the search strategy for patents related to hybrid bonding.</w:t>
      </w:r>
    </w:p>
    <w:p>
      <w:pPr>
        <w:pStyle w:val="BodyText"/>
        <w:keepNext/>
      </w:pPr>
      <w:r>
        <w:rPr>
          <w:b/>
          <w:bCs/>
          <w:sz w:val="20"/>
          <w:szCs w:val="20"/>
        </w:rPr>
        <w:t xml:space="preserve">Table S1.</w:t>
      </w:r>
      <w:r>
        <w:rPr>
          <w:sz w:val="20"/>
          <w:szCs w:val="20"/>
        </w:rPr>
        <w:t xml:space="preserve"> </w:t>
      </w:r>
      <w:r>
        <w:rPr>
          <w:sz w:val="20"/>
          <w:szCs w:val="20"/>
        </w:rPr>
        <w:t xml:space="preserve">Search strategy for patents related to hybrid bonding.</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2667"/>
        <w:gridCol w:w="1600"/>
        <w:gridCol w:w="4801"/>
      </w:tblGrid>
      <w:tr>
        <w:trPr>
          <w:tblHeader w:val="on"/>
          <w:cantSplit/>
        </w:trPr>
        <w:tc>
          <w:tcPr>
            <w:tcW w:type="dxa" w:w="2667"/>
            <w:tcBorders>
              <w:bottom w:val="single" w:sz="4" w:space="0" w:color="000000"/>
            </w:tcBorders>
          </w:tcPr>
          <w:p>
            <w:pPr>
              <w:pStyle w:val="Compact"/>
              <w:spacing w:before="20" w:after="20" w:line="240" w:lineRule="auto"/>
              <w:keepNext/>
            </w:pPr>
            <w:r>
              <w:rPr>
                <w:sz w:val="18"/>
                <w:szCs w:val="18"/>
              </w:rPr>
              <w:t xml:space="preserve">Step</w:t>
            </w:r>
          </w:p>
        </w:tc>
        <w:tc>
          <w:tcPr>
            <w:tcW w:type="dxa" w:w="1600"/>
            <w:tcBorders>
              <w:bottom w:val="single" w:sz="4" w:space="0" w:color="000000"/>
            </w:tcBorders>
          </w:tcPr>
          <w:p>
            <w:pPr>
              <w:pStyle w:val="Compact"/>
              <w:spacing w:before="20" w:after="20" w:line="240" w:lineRule="auto"/>
              <w:keepNext/>
            </w:pPr>
            <w:r>
              <w:rPr>
                <w:sz w:val="18"/>
                <w:szCs w:val="18"/>
              </w:rPr>
              <w:t xml:space="preserve">Condition</w:t>
            </w:r>
          </w:p>
        </w:tc>
        <w:tc>
          <w:tcPr>
            <w:tcW w:type="dxa" w:w="4801"/>
            <w:tcBorders>
              <w:bottom w:val="single" w:sz="4" w:space="0" w:color="000000"/>
            </w:tcBorders>
          </w:tcPr>
          <w:p>
            <w:pPr>
              <w:pStyle w:val="Compact"/>
              <w:spacing w:before="20" w:after="20" w:line="240" w:lineRule="auto"/>
              <w:keepNext/>
            </w:pPr>
            <w:r>
              <w:rPr>
                <w:sz w:val="18"/>
                <w:szCs w:val="18"/>
              </w:rPr>
              <w:t xml:space="preserve">Content</w:t>
            </w:r>
          </w:p>
        </w:tc>
      </w:tr>
      <w:tr>
        <w:trPr>
          <w:cantSplit/>
        </w:trPr>
        <w:tc>
          <w:tcPr>
            <w:tcW w:type="dxa" w:w="2667"/>
          </w:tcPr>
          <w:p>
            <w:pPr>
              <w:pStyle w:val="Compact"/>
              <w:spacing w:before="20" w:after="20" w:line="240" w:lineRule="auto"/>
              <w:keepNext/>
            </w:pPr>
            <w:r>
              <w:rPr>
                <w:sz w:val="18"/>
                <w:szCs w:val="18"/>
              </w:rPr>
              <w:t xml:space="preserve">Step 1: CPC</w:t>
            </w:r>
          </w:p>
        </w:tc>
        <w:tc>
          <w:tcPr>
            <w:tcW w:type="dxa" w:w="1600"/>
          </w:tcPr>
          <w:p>
            <w:pPr>
              <w:pStyle w:val="Compact"/>
              <w:spacing w:before="20" w:after="20" w:line="240" w:lineRule="auto"/>
              <w:keepNext/>
            </w:pPr>
            <w:r>
              <w:rPr>
                <w:sz w:val="18"/>
                <w:szCs w:val="18"/>
              </w:rPr>
              <w:t xml:space="preserve">H01L21</w:t>
            </w:r>
          </w:p>
        </w:tc>
        <w:tc>
          <w:tcPr>
            <w:tcW w:type="dxa" w:w="4801"/>
          </w:tcPr>
          <w:p>
            <w:pPr>
              <w:pStyle w:val="Compact"/>
              <w:spacing w:before="20" w:after="20" w:line="240" w:lineRule="auto"/>
              <w:keepNext/>
            </w:pPr>
            <w:r>
              <w:rPr>
                <w:sz w:val="18"/>
                <w:szCs w:val="18"/>
              </w:rPr>
              <w:t xml:space="preserve">Semiconductor fabrication-process technology, including direct wafer bonding (21/18, 21/20), device isolation, interconnects, and through-substrate vias (21/76), substrate and insulating-layer treatment (21/02), and chemical mechanical polishing (21/30–21/32); also includes packaging-stage fabrication processes (21/48, 21/50–21/58, 21/60, 21/78) and processing apparatus (21/67–21/68)</w:t>
            </w:r>
          </w:p>
        </w:tc>
      </w:tr>
      <w:tr>
        <w:trPr>
          <w:cantSplit/>
        </w:trPr>
        <w:tc>
          <w:tcPr>
            <w:tcW w:type="dxa" w:w="2667"/>
          </w:tcPr>
          <w:p>
            <w:pPr>
              <w:pStyle w:val="Compact"/>
              <w:spacing w:before="20" w:after="20" w:line="240" w:lineRule="auto"/>
              <w:keepNext/>
            </w:pPr>
            <w:r>
              <w:rPr>
                <w:sz w:val="18"/>
                <w:szCs w:val="18"/>
              </w:rPr>
              <w:t xml:space="preserve">Step 1: CPC</w:t>
            </w:r>
          </w:p>
        </w:tc>
        <w:tc>
          <w:tcPr>
            <w:tcW w:type="dxa" w:w="1600"/>
          </w:tcPr>
          <w:p>
            <w:pPr>
              <w:pStyle w:val="Compact"/>
              <w:spacing w:before="20" w:after="20" w:line="240" w:lineRule="auto"/>
              <w:keepNext/>
            </w:pPr>
            <w:r>
              <w:rPr>
                <w:sz w:val="18"/>
                <w:szCs w:val="18"/>
              </w:rPr>
              <w:t xml:space="preserve">H01L24</w:t>
            </w:r>
          </w:p>
        </w:tc>
        <w:tc>
          <w:tcPr>
            <w:tcW w:type="dxa" w:w="4801"/>
          </w:tcPr>
          <w:p>
            <w:pPr>
              <w:pStyle w:val="Compact"/>
              <w:spacing w:before="20" w:after="20" w:line="240" w:lineRule="auto"/>
              <w:keepNext/>
            </w:pPr>
            <w:r>
              <w:rPr>
                <w:sz w:val="18"/>
                <w:szCs w:val="18"/>
              </w:rPr>
              <w:t xml:space="preserve">Connector structures for connecting or disconnecting semiconductor or solid-state bodies, bump, layer, and wire connections, and related connecting methods and apparatus</w:t>
            </w:r>
          </w:p>
        </w:tc>
      </w:tr>
      <w:tr>
        <w:trPr>
          <w:cantSplit/>
        </w:trPr>
        <w:tc>
          <w:tcPr>
            <w:tcW w:type="dxa" w:w="2667"/>
          </w:tcPr>
          <w:p>
            <w:pPr>
              <w:pStyle w:val="Compact"/>
              <w:spacing w:before="20" w:after="20" w:line="240" w:lineRule="auto"/>
              <w:keepNext/>
            </w:pPr>
            <w:r>
              <w:rPr>
                <w:sz w:val="18"/>
                <w:szCs w:val="18"/>
              </w:rPr>
              <w:t xml:space="preserve">Step 2: Keyword</w:t>
            </w:r>
          </w:p>
        </w:tc>
        <w:tc>
          <w:tcPr>
            <w:tcW w:type="dxa" w:w="1600"/>
          </w:tcPr>
          <w:p>
            <w:pPr>
              <w:pStyle w:val="Compact"/>
              <w:spacing w:before="20" w:after="20" w:line="240" w:lineRule="auto"/>
              <w:keepNext/>
            </w:pPr>
            <w:r>
              <w:rPr>
                <w:sz w:val="18"/>
                <w:szCs w:val="18"/>
              </w:rPr>
              <w:t xml:space="preserve">Title</w:t>
            </w:r>
          </w:p>
        </w:tc>
        <w:tc>
          <w:tcPr>
            <w:tcW w:type="dxa" w:w="4801"/>
          </w:tcPr>
          <w:p>
            <w:pPr>
              <w:pStyle w:val="Compact"/>
              <w:spacing w:before="20" w:after="20" w:line="240" w:lineRule="auto"/>
              <w:keepNext/>
            </w:pPr>
            <w:r>
              <w:rPr>
                <w:sz w:val="18"/>
                <w:szCs w:val="18"/>
              </w:rPr>
              <w:t xml:space="preserve">At least one of</w:t>
            </w:r>
            <w:r>
              <w:rPr>
                <w:sz w:val="18"/>
                <w:szCs w:val="18"/>
              </w:rPr>
              <w:t xml:space="preserve"> </w:t>
            </w:r>
            <w:r>
              <w:rPr>
                <w:i/>
                <w:iCs/>
                <w:sz w:val="18"/>
                <w:szCs w:val="18"/>
              </w:rPr>
              <w:t xml:space="preserve">hybrid bonding</w:t>
            </w:r>
            <w:r>
              <w:rPr>
                <w:sz w:val="18"/>
                <w:szCs w:val="18"/>
              </w:rPr>
              <w:t xml:space="preserve">,</w:t>
            </w:r>
            <w:r>
              <w:rPr>
                <w:sz w:val="18"/>
                <w:szCs w:val="18"/>
              </w:rPr>
              <w:t xml:space="preserve"> </w:t>
            </w:r>
            <w:r>
              <w:rPr>
                <w:i/>
                <w:iCs/>
                <w:sz w:val="18"/>
                <w:szCs w:val="18"/>
              </w:rPr>
              <w:t xml:space="preserve">direct bonding</w:t>
            </w:r>
            <w:r>
              <w:rPr>
                <w:sz w:val="18"/>
                <w:szCs w:val="18"/>
              </w:rPr>
              <w:t xml:space="preserve">,</w:t>
            </w:r>
            <w:r>
              <w:rPr>
                <w:sz w:val="18"/>
                <w:szCs w:val="18"/>
              </w:rPr>
              <w:t xml:space="preserve"> </w:t>
            </w:r>
            <w:r>
              <w:rPr>
                <w:i/>
                <w:iCs/>
                <w:sz w:val="18"/>
                <w:szCs w:val="18"/>
              </w:rPr>
              <w:t xml:space="preserve">Cu–Cu</w:t>
            </w:r>
            <w:r>
              <w:rPr>
                <w:sz w:val="18"/>
                <w:szCs w:val="18"/>
              </w:rPr>
              <w:t xml:space="preserve">,</w:t>
            </w:r>
            <w:r>
              <w:rPr>
                <w:sz w:val="18"/>
                <w:szCs w:val="18"/>
              </w:rPr>
              <w:t xml:space="preserve"> </w:t>
            </w:r>
            <w:r>
              <w:rPr>
                <w:i/>
                <w:iCs/>
                <w:sz w:val="18"/>
                <w:szCs w:val="18"/>
              </w:rPr>
              <w:t xml:space="preserve">copper to copper</w:t>
            </w:r>
            <w:r>
              <w:rPr>
                <w:sz w:val="18"/>
                <w:szCs w:val="18"/>
              </w:rPr>
              <w:t xml:space="preserve">, and</w:t>
            </w:r>
            <w:r>
              <w:rPr>
                <w:sz w:val="18"/>
                <w:szCs w:val="18"/>
              </w:rPr>
              <w:t xml:space="preserve"> </w:t>
            </w:r>
            <w:r>
              <w:rPr>
                <w:i/>
                <w:iCs/>
                <w:sz w:val="18"/>
                <w:szCs w:val="18"/>
              </w:rPr>
              <w:t xml:space="preserve">metal-oxide bond</w:t>
            </w:r>
          </w:p>
        </w:tc>
      </w:tr>
    </w:tbl>
    <w:p>
      <w:pPr>
        <w:pStyle w:val="BodyText"/>
      </w:pPr>
      <w:r>
        <w:rPr>
          <w:i/>
          <w:iCs/>
          <w:sz w:val="20"/>
          <w:szCs w:val="20"/>
        </w:rPr>
        <w:t xml:space="preserve">Note:</w:t>
      </w:r>
      <w:r>
        <w:rPr>
          <w:sz w:val="20"/>
          <w:szCs w:val="20"/>
        </w:rPr>
        <w:t xml:space="preserve"> </w:t>
      </w:r>
      <w:r>
        <w:rPr>
          <w:sz w:val="20"/>
          <w:szCs w:val="20"/>
        </w:rPr>
        <w:t xml:space="preserve">Step 1 requires at least one of the two classes, and Step 2 at least one of the keywords; both conditions must be met. The indexing codes of the two classes (e.g., H01L2224) were also used in the search, but because only the symbols of the classes proper were retained in the extracted records, indexing codes are not included in the calculation of technological scope.</w:t>
      </w:r>
    </w:p>
    <w:p>
      <w:pPr>
        <w:pStyle w:val="BodyText"/>
      </w:pPr>
      <w:r>
        <w:t xml:space="preserve">The search terms of the keyword filter are also used in senses unrelated to hybrid bonding. Most such cases use</w:t>
      </w:r>
      <w:r>
        <w:t xml:space="preserve"> </w:t>
      </w:r>
      <w:r>
        <w:rPr>
          <w:i/>
          <w:iCs/>
        </w:rPr>
        <w:t xml:space="preserve">direct bonding</w:t>
      </w:r>
      <w:r>
        <w:t xml:space="preserve"> </w:t>
      </w:r>
      <w:r>
        <w:t xml:space="preserve">in a different sense, and a few use</w:t>
      </w:r>
      <w:r>
        <w:t xml:space="preserve"> </w:t>
      </w:r>
      <w:r>
        <w:rPr>
          <w:i/>
          <w:iCs/>
        </w:rPr>
        <w:t xml:space="preserve">hybrid bonding</w:t>
      </w:r>
      <w:r>
        <w:t xml:space="preserve"> </w:t>
      </w:r>
      <w:r>
        <w:t xml:space="preserve">in the sense of chemical bonding or bonding sheets for power modules. Applications whose titles contain the following terms were judged to be irrelevant uses: ceramic, DBC (direct bonded copper), alumina, zirconia, and aluminum nitride substrates; copper alloys; diamond–molybdenum bonding; laser precursors; electrostatic chucks; power module and power device substrates; heat spreaders; direct bonded metal substrates; direct bonded circuit assemblies; and sp3–sp2 hybrid bonds (in the sense of chemical bonding). These applications number 68 (63 for</w:t>
      </w:r>
      <w:r>
        <w:t xml:space="preserve"> </w:t>
      </w:r>
      <w:r>
        <w:rPr>
          <w:i/>
          <w:iCs/>
        </w:rPr>
        <w:t xml:space="preserve">direct bonding</w:t>
      </w:r>
      <w:r>
        <w:t xml:space="preserve"> </w:t>
      </w:r>
      <w:r>
        <w:t xml:space="preserve">and 5 for</w:t>
      </w:r>
      <w:r>
        <w:t xml:space="preserve"> </w:t>
      </w:r>
      <w:r>
        <w:rPr>
          <w:i/>
          <w:iCs/>
        </w:rPr>
        <w:t xml:space="preserve">hybrid bonding</w:t>
      </w:r>
      <w:r>
        <w:t xml:space="preserve">), and their distribution is shown in Table S2. Many of the applications filed before 2010 that remain after the irrelevant uses are excluded concern direct bonding of silicon wafers (e.g., for manufacturing silicon-on-insulator wafers); they were retained in the sample because they are precursor technologies of the dielectric bonding that forms part of hybrid bonding. The list of the titles of the 68 applications is available from the authors upon request.</w:t>
      </w:r>
    </w:p>
    <w:p>
      <w:pPr>
        <w:pStyle w:val="BodyText"/>
        <w:keepNext/>
      </w:pPr>
      <w:r>
        <w:rPr>
          <w:b/>
          <w:bCs/>
          <w:sz w:val="20"/>
          <w:szCs w:val="20"/>
        </w:rPr>
        <w:t xml:space="preserve">Table S2.</w:t>
      </w:r>
      <w:r>
        <w:rPr>
          <w:sz w:val="20"/>
          <w:szCs w:val="20"/>
        </w:rPr>
        <w:t xml:space="preserve"> </w:t>
      </w:r>
      <w:r>
        <w:rPr>
          <w:sz w:val="20"/>
          <w:szCs w:val="20"/>
        </w:rPr>
        <w:t xml:space="preserve">Distribution of the 68 applications judged to be irrelevant uses.</w:t>
      </w:r>
    </w:p>
    <w:tbl>
      <w:tblPr>
        <w:tblStyle w:val="Table"/>
        <w:tblW w:type="dxa" w:w="9069"/>
        <w:tblLook w:firstRow="1" w:lastRow="0" w:firstColumn="0" w:lastColumn="0" w:noHBand="0" w:noVBand="0" w:val="0020"/>
        <w:tblLayout w:type="fixed"/>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6046"/>
        <w:gridCol w:w="3023"/>
      </w:tblGrid>
      <w:tr>
        <w:trPr>
          <w:tblHeader w:val="on"/>
          <w:cantSplit/>
        </w:trPr>
        <w:tc>
          <w:tcPr>
            <w:tcW w:type="dxa" w:w="6046"/>
            <w:tcBorders>
              <w:bottom w:val="single" w:sz="4" w:space="0" w:color="000000"/>
            </w:tcBorders>
          </w:tcPr>
          <w:p>
            <w:pPr>
              <w:pStyle w:val="Compact"/>
              <w:spacing w:before="20" w:after="20" w:line="240" w:lineRule="auto"/>
              <w:keepNext/>
            </w:pPr>
            <w:r>
              <w:rPr>
                <w:sz w:val="18"/>
                <w:szCs w:val="18"/>
              </w:rPr>
              <w:t xml:space="preserve">Category</w:t>
            </w:r>
          </w:p>
        </w:tc>
        <w:tc>
          <w:tcPr>
            <w:tcW w:type="dxa" w:w="3023"/>
            <w:tcBorders>
              <w:bottom w:val="single" w:sz="4" w:space="0" w:color="000000"/>
            </w:tcBorders>
          </w:tcPr>
          <w:p>
            <w:pPr>
              <w:pStyle w:val="Compact"/>
              <w:spacing w:before="20" w:after="20" w:line="240" w:lineRule="auto"/>
              <w:jc w:val="right"/>
              <w:keepNext/>
            </w:pPr>
            <w:r>
              <w:rPr>
                <w:sz w:val="18"/>
                <w:szCs w:val="18"/>
              </w:rPr>
              <w:t xml:space="preserve">Applications</w:t>
            </w:r>
          </w:p>
        </w:tc>
      </w:tr>
      <w:tr>
        <w:trPr>
          <w:cantSplit/>
        </w:trPr>
        <w:tc>
          <w:tcPr>
            <w:tcW w:type="dxa" w:w="6046"/>
          </w:tcPr>
          <w:p>
            <w:pPr>
              <w:pStyle w:val="Compact"/>
              <w:spacing w:before="20" w:after="20" w:line="240" w:lineRule="auto"/>
              <w:keepNext/>
            </w:pPr>
            <w:r>
              <w:rPr>
                <w:sz w:val="18"/>
                <w:szCs w:val="18"/>
              </w:rPr>
              <w:t xml:space="preserve">Type: bonding-only</w:t>
            </w:r>
          </w:p>
        </w:tc>
        <w:tc>
          <w:tcPr>
            <w:tcW w:type="dxa" w:w="3023"/>
          </w:tcPr>
          <w:p>
            <w:pPr>
              <w:pStyle w:val="Compact"/>
              <w:spacing w:before="20" w:after="20" w:line="240" w:lineRule="auto"/>
              <w:jc w:val="right"/>
              <w:keepNext/>
            </w:pPr>
            <w:r>
              <w:rPr>
                <w:sz w:val="18"/>
                <w:szCs w:val="18"/>
              </w:rPr>
              <w:t xml:space="preserve">34</w:t>
            </w:r>
          </w:p>
        </w:tc>
      </w:tr>
      <w:tr>
        <w:trPr>
          <w:cantSplit/>
        </w:trPr>
        <w:tc>
          <w:tcPr>
            <w:tcW w:type="dxa" w:w="6046"/>
          </w:tcPr>
          <w:p>
            <w:pPr>
              <w:pStyle w:val="Compact"/>
              <w:spacing w:before="20" w:after="20" w:line="240" w:lineRule="auto"/>
              <w:keepNext/>
            </w:pPr>
            <w:r>
              <w:rPr>
                <w:sz w:val="18"/>
                <w:szCs w:val="18"/>
              </w:rPr>
              <w:t xml:space="preserve">Type: integrated</w:t>
            </w:r>
          </w:p>
        </w:tc>
        <w:tc>
          <w:tcPr>
            <w:tcW w:type="dxa" w:w="3023"/>
          </w:tcPr>
          <w:p>
            <w:pPr>
              <w:pStyle w:val="Compact"/>
              <w:spacing w:before="20" w:after="20" w:line="240" w:lineRule="auto"/>
              <w:jc w:val="right"/>
              <w:keepNext/>
            </w:pPr>
            <w:r>
              <w:rPr>
                <w:sz w:val="18"/>
                <w:szCs w:val="18"/>
              </w:rPr>
              <w:t xml:space="preserve">17</w:t>
            </w:r>
          </w:p>
        </w:tc>
      </w:tr>
      <w:tr>
        <w:trPr>
          <w:cantSplit/>
        </w:trPr>
        <w:tc>
          <w:tcPr>
            <w:tcW w:type="dxa" w:w="6046"/>
          </w:tcPr>
          <w:p>
            <w:pPr>
              <w:pStyle w:val="Compact"/>
              <w:spacing w:before="20" w:after="20" w:line="240" w:lineRule="auto"/>
              <w:keepNext/>
            </w:pPr>
            <w:r>
              <w:rPr>
                <w:sz w:val="18"/>
                <w:szCs w:val="18"/>
              </w:rPr>
              <w:t xml:space="preserve">Type: process-only</w:t>
            </w:r>
          </w:p>
        </w:tc>
        <w:tc>
          <w:tcPr>
            <w:tcW w:type="dxa" w:w="3023"/>
          </w:tcPr>
          <w:p>
            <w:pPr>
              <w:pStyle w:val="Compact"/>
              <w:spacing w:before="20" w:after="20" w:line="240" w:lineRule="auto"/>
              <w:jc w:val="right"/>
              <w:keepNext/>
            </w:pPr>
            <w:r>
              <w:rPr>
                <w:sz w:val="18"/>
                <w:szCs w:val="18"/>
              </w:rPr>
              <w:t xml:space="preserve">17</w:t>
            </w:r>
          </w:p>
        </w:tc>
      </w:tr>
      <w:tr>
        <w:trPr>
          <w:cantSplit/>
        </w:trPr>
        <w:tc>
          <w:tcPr>
            <w:tcW w:type="dxa" w:w="6046"/>
          </w:tcPr>
          <w:p>
            <w:pPr>
              <w:pStyle w:val="Compact"/>
              <w:spacing w:before="20" w:after="20" w:line="240" w:lineRule="auto"/>
              <w:keepNext/>
            </w:pPr>
            <w:r>
              <w:rPr>
                <w:sz w:val="18"/>
                <w:szCs w:val="18"/>
              </w:rPr>
              <w:t xml:space="preserve">Filing period: 1968–2014</w:t>
            </w:r>
          </w:p>
        </w:tc>
        <w:tc>
          <w:tcPr>
            <w:tcW w:type="dxa" w:w="3023"/>
          </w:tcPr>
          <w:p>
            <w:pPr>
              <w:pStyle w:val="Compact"/>
              <w:spacing w:before="20" w:after="20" w:line="240" w:lineRule="auto"/>
              <w:jc w:val="right"/>
              <w:keepNext/>
            </w:pPr>
            <w:r>
              <w:rPr>
                <w:sz w:val="18"/>
                <w:szCs w:val="18"/>
              </w:rPr>
              <w:t xml:space="preserve">36</w:t>
            </w:r>
          </w:p>
        </w:tc>
      </w:tr>
      <w:tr>
        <w:trPr>
          <w:cantSplit/>
        </w:trPr>
        <w:tc>
          <w:tcPr>
            <w:tcW w:type="dxa" w:w="6046"/>
          </w:tcPr>
          <w:p>
            <w:pPr>
              <w:pStyle w:val="Compact"/>
              <w:spacing w:before="20" w:after="20" w:line="240" w:lineRule="auto"/>
              <w:keepNext/>
            </w:pPr>
            <w:r>
              <w:rPr>
                <w:sz w:val="18"/>
                <w:szCs w:val="18"/>
              </w:rPr>
              <w:t xml:space="preserve">Filing period: 2015–2024</w:t>
            </w:r>
          </w:p>
        </w:tc>
        <w:tc>
          <w:tcPr>
            <w:tcW w:type="dxa" w:w="3023"/>
          </w:tcPr>
          <w:p>
            <w:pPr>
              <w:pStyle w:val="Compact"/>
              <w:spacing w:before="20" w:after="20" w:line="240" w:lineRule="auto"/>
              <w:jc w:val="right"/>
              <w:keepNext/>
            </w:pPr>
            <w:r>
              <w:rPr>
                <w:sz w:val="18"/>
                <w:szCs w:val="18"/>
              </w:rPr>
              <w:t xml:space="preserve">32</w:t>
            </w:r>
          </w:p>
        </w:tc>
      </w:tr>
    </w:tbl>
    <w:bookmarkEnd w:id="9"/>
    <w:bookmarkStart w:id="10" w:name="X582eedd949e28edb0727f9e8b9615c474f96315"/>
    <w:p>
      <w:pPr>
        <w:pStyle w:val="Heading3"/>
      </w:pPr>
      <w:r>
        <w:t xml:space="preserve">S2. Strongest links of the technology network</w:t>
      </w:r>
    </w:p>
    <w:p>
      <w:pPr>
        <w:pStyle w:val="FirstParagraph"/>
      </w:pPr>
      <w:r>
        <w:t xml:space="preserve">Table S3 lists the ten symbol pairs most frequently assigned together in the network of all CPC symbols assigned to the 928 applications. The network consists of CPC symbols as nodes and of undirected links between any two different symbols assigned to the same application, and the weight of a link is the number of applications to which both symbols are assigned. The strongest link, between the direct bonding of conductive surfaces and the direct bonding of insulating surfaces, directly reflects the principle of hybrid bonding, which bonds both the metal and the dielectric.</w:t>
      </w:r>
    </w:p>
    <w:p>
      <w:pPr>
        <w:pStyle w:val="BodyText"/>
        <w:keepNext/>
      </w:pPr>
      <w:r>
        <w:rPr>
          <w:b/>
          <w:bCs/>
          <w:sz w:val="20"/>
          <w:szCs w:val="20"/>
        </w:rPr>
        <w:t xml:space="preserve">Table S3.</w:t>
      </w:r>
      <w:r>
        <w:rPr>
          <w:sz w:val="20"/>
          <w:szCs w:val="20"/>
        </w:rPr>
        <w:t xml:space="preserve"> </w:t>
      </w:r>
      <w:r>
        <w:rPr>
          <w:sz w:val="20"/>
          <w:szCs w:val="20"/>
        </w:rPr>
        <w:t xml:space="preserve">Technology network: Symbol pairs most frequently assigned together (N = 928; top 10 pairs).</w:t>
      </w:r>
    </w:p>
    <w:tbl>
      <w:tblPr>
        <w:tblStyle w:val="Table"/>
        <w:tblW w:type="dxa" w:w="9068"/>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636"/>
        <w:gridCol w:w="3659"/>
        <w:gridCol w:w="2864"/>
        <w:gridCol w:w="1909"/>
      </w:tblGrid>
      <w:tr>
        <w:trPr>
          <w:tblHeader w:val="on"/>
          <w:cantSplit/>
        </w:trPr>
        <w:tc>
          <w:tcPr>
            <w:tcW w:type="dxa" w:w="636"/>
            <w:tcBorders>
              <w:bottom w:val="single" w:sz="4" w:space="0" w:color="000000"/>
            </w:tcBorders>
          </w:tcPr>
          <w:p>
            <w:pPr>
              <w:pStyle w:val="Compact"/>
              <w:spacing w:before="20" w:after="20" w:line="240" w:lineRule="auto"/>
              <w:jc w:val="right"/>
              <w:keepNext/>
            </w:pPr>
            <w:r>
              <w:rPr>
                <w:sz w:val="16"/>
                <w:szCs w:val="16"/>
              </w:rPr>
              <w:t xml:space="preserve">Rank</w:t>
            </w:r>
          </w:p>
        </w:tc>
        <w:tc>
          <w:tcPr>
            <w:tcW w:type="dxa" w:w="3659"/>
            <w:tcBorders>
              <w:bottom w:val="single" w:sz="4" w:space="0" w:color="000000"/>
            </w:tcBorders>
          </w:tcPr>
          <w:p>
            <w:pPr>
              <w:pStyle w:val="Compact"/>
              <w:spacing w:before="20" w:after="20" w:line="240" w:lineRule="auto"/>
              <w:keepNext/>
            </w:pPr>
            <w:r>
              <w:rPr>
                <w:sz w:val="16"/>
                <w:szCs w:val="16"/>
              </w:rPr>
              <w:t xml:space="preserve">Symbol pair</w:t>
            </w:r>
          </w:p>
        </w:tc>
        <w:tc>
          <w:tcPr>
            <w:tcW w:type="dxa" w:w="2864"/>
            <w:tcBorders>
              <w:bottom w:val="single" w:sz="4" w:space="0" w:color="000000"/>
            </w:tcBorders>
          </w:tcPr>
          <w:p>
            <w:pPr>
              <w:pStyle w:val="Compact"/>
              <w:spacing w:before="20" w:after="20" w:line="240" w:lineRule="auto"/>
              <w:keepNext/>
            </w:pPr>
            <w:r>
              <w:rPr>
                <w:sz w:val="16"/>
                <w:szCs w:val="16"/>
              </w:rPr>
              <w:t xml:space="preserve">Content</w:t>
            </w:r>
          </w:p>
        </w:tc>
        <w:tc>
          <w:tcPr>
            <w:tcW w:type="dxa" w:w="1909"/>
            <w:tcBorders>
              <w:bottom w:val="single" w:sz="4" w:space="0" w:color="000000"/>
            </w:tcBorders>
          </w:tcPr>
          <w:p>
            <w:pPr>
              <w:pStyle w:val="Compact"/>
              <w:spacing w:before="20" w:after="20" w:line="240" w:lineRule="auto"/>
              <w:jc w:val="right"/>
              <w:keepNext/>
            </w:pPr>
            <w:r>
              <w:rPr>
                <w:sz w:val="16"/>
                <w:szCs w:val="16"/>
              </w:rPr>
              <w:t xml:space="preserve">Applications</w:t>
            </w:r>
          </w:p>
        </w:tc>
      </w:tr>
      <w:tr>
        <w:trPr>
          <w:cantSplit/>
        </w:trPr>
        <w:tc>
          <w:tcPr>
            <w:tcW w:type="dxa" w:w="636"/>
          </w:tcPr>
          <w:p>
            <w:pPr>
              <w:pStyle w:val="Compact"/>
              <w:spacing w:before="20" w:after="20" w:line="240" w:lineRule="auto"/>
              <w:jc w:val="right"/>
              <w:keepNext/>
            </w:pPr>
            <w:r>
              <w:rPr>
                <w:sz w:val="16"/>
                <w:szCs w:val="16"/>
              </w:rPr>
              <w:t xml:space="preserve">1</w:t>
            </w:r>
          </w:p>
        </w:tc>
        <w:tc>
          <w:tcPr>
            <w:tcW w:type="dxa" w:w="3659"/>
          </w:tcPr>
          <w:p>
            <w:pPr>
              <w:pStyle w:val="Compact"/>
              <w:spacing w:before="20" w:after="20" w:line="240" w:lineRule="auto"/>
              <w:keepNext/>
            </w:pPr>
            <w:r>
              <w:rPr>
                <w:sz w:val="16"/>
                <w:szCs w:val="16"/>
              </w:rPr>
              <w:t xml:space="preserve">2224/80895 – 2224/80896</w:t>
            </w:r>
          </w:p>
        </w:tc>
        <w:tc>
          <w:tcPr>
            <w:tcW w:type="dxa" w:w="2864"/>
          </w:tcPr>
          <w:p>
            <w:pPr>
              <w:pStyle w:val="Compact"/>
              <w:spacing w:before="20" w:after="20" w:line="240" w:lineRule="auto"/>
              <w:keepNext/>
            </w:pPr>
            <w:r>
              <w:rPr>
                <w:sz w:val="16"/>
                <w:szCs w:val="16"/>
              </w:rPr>
              <w:t xml:space="preserve">Direct bonding of conductive surfaces – direct bonding of insulating surfaces</w:t>
            </w:r>
          </w:p>
        </w:tc>
        <w:tc>
          <w:tcPr>
            <w:tcW w:type="dxa" w:w="1909"/>
          </w:tcPr>
          <w:p>
            <w:pPr>
              <w:pStyle w:val="Compact"/>
              <w:spacing w:before="20" w:after="20" w:line="240" w:lineRule="auto"/>
              <w:jc w:val="right"/>
              <w:keepNext/>
            </w:pPr>
            <w:r>
              <w:rPr>
                <w:sz w:val="16"/>
                <w:szCs w:val="16"/>
              </w:rPr>
              <w:t xml:space="preserve">460</w:t>
            </w:r>
          </w:p>
        </w:tc>
      </w:tr>
      <w:tr>
        <w:trPr>
          <w:cantSplit/>
        </w:trPr>
        <w:tc>
          <w:tcPr>
            <w:tcW w:type="dxa" w:w="636"/>
          </w:tcPr>
          <w:p>
            <w:pPr>
              <w:pStyle w:val="Compact"/>
              <w:spacing w:before="20" w:after="20" w:line="240" w:lineRule="auto"/>
              <w:jc w:val="right"/>
              <w:keepNext/>
            </w:pPr>
            <w:r>
              <w:rPr>
                <w:sz w:val="16"/>
                <w:szCs w:val="16"/>
              </w:rPr>
              <w:t xml:space="preserve">2</w:t>
            </w:r>
          </w:p>
        </w:tc>
        <w:tc>
          <w:tcPr>
            <w:tcW w:type="dxa" w:w="3659"/>
          </w:tcPr>
          <w:p>
            <w:pPr>
              <w:pStyle w:val="Compact"/>
              <w:spacing w:before="20" w:after="20" w:line="240" w:lineRule="auto"/>
              <w:keepNext/>
            </w:pPr>
            <w:r>
              <w:rPr>
                <w:sz w:val="16"/>
                <w:szCs w:val="16"/>
              </w:rPr>
              <w:t xml:space="preserve">24/08 – 24/80</w:t>
            </w:r>
          </w:p>
        </w:tc>
        <w:tc>
          <w:tcPr>
            <w:tcW w:type="dxa" w:w="2864"/>
          </w:tcPr>
          <w:p>
            <w:pPr>
              <w:pStyle w:val="Compact"/>
              <w:spacing w:before="20" w:after="20" w:line="240" w:lineRule="auto"/>
              <w:keepNext/>
            </w:pPr>
            <w:r>
              <w:rPr>
                <w:sz w:val="16"/>
                <w:szCs w:val="16"/>
              </w:rPr>
              <w:t xml:space="preserve">Bonding pad after connection – connection methods using bonding pads</w:t>
            </w:r>
          </w:p>
        </w:tc>
        <w:tc>
          <w:tcPr>
            <w:tcW w:type="dxa" w:w="1909"/>
          </w:tcPr>
          <w:p>
            <w:pPr>
              <w:pStyle w:val="Compact"/>
              <w:spacing w:before="20" w:after="20" w:line="240" w:lineRule="auto"/>
              <w:jc w:val="right"/>
              <w:keepNext/>
            </w:pPr>
            <w:r>
              <w:rPr>
                <w:sz w:val="16"/>
                <w:szCs w:val="16"/>
              </w:rPr>
              <w:t xml:space="preserve">439</w:t>
            </w:r>
          </w:p>
        </w:tc>
      </w:tr>
      <w:tr>
        <w:trPr>
          <w:cantSplit/>
        </w:trPr>
        <w:tc>
          <w:tcPr>
            <w:tcW w:type="dxa" w:w="636"/>
          </w:tcPr>
          <w:p>
            <w:pPr>
              <w:pStyle w:val="Compact"/>
              <w:spacing w:before="20" w:after="20" w:line="240" w:lineRule="auto"/>
              <w:jc w:val="right"/>
              <w:keepNext/>
            </w:pPr>
            <w:r>
              <w:rPr>
                <w:sz w:val="16"/>
                <w:szCs w:val="16"/>
              </w:rPr>
              <w:t xml:space="preserve">3</w:t>
            </w:r>
          </w:p>
        </w:tc>
        <w:tc>
          <w:tcPr>
            <w:tcW w:type="dxa" w:w="3659"/>
          </w:tcPr>
          <w:p>
            <w:pPr>
              <w:pStyle w:val="Compact"/>
              <w:spacing w:before="20" w:after="20" w:line="240" w:lineRule="auto"/>
              <w:keepNext/>
            </w:pPr>
            <w:r>
              <w:rPr>
                <w:sz w:val="16"/>
                <w:szCs w:val="16"/>
              </w:rPr>
              <w:t xml:space="preserve">24/80 – 2224/80895</w:t>
            </w:r>
          </w:p>
        </w:tc>
        <w:tc>
          <w:tcPr>
            <w:tcW w:type="dxa" w:w="2864"/>
          </w:tcPr>
          <w:p>
            <w:pPr>
              <w:pStyle w:val="Compact"/>
              <w:spacing w:before="20" w:after="20" w:line="240" w:lineRule="auto"/>
              <w:keepNext/>
            </w:pPr>
            <w:r>
              <w:rPr>
                <w:sz w:val="16"/>
                <w:szCs w:val="16"/>
              </w:rPr>
              <w:t xml:space="preserve">Connection methods using bonding pads – direct bonding of conductive surfaces</w:t>
            </w:r>
          </w:p>
        </w:tc>
        <w:tc>
          <w:tcPr>
            <w:tcW w:type="dxa" w:w="1909"/>
          </w:tcPr>
          <w:p>
            <w:pPr>
              <w:pStyle w:val="Compact"/>
              <w:spacing w:before="20" w:after="20" w:line="240" w:lineRule="auto"/>
              <w:jc w:val="right"/>
              <w:keepNext/>
            </w:pPr>
            <w:r>
              <w:rPr>
                <w:sz w:val="16"/>
                <w:szCs w:val="16"/>
              </w:rPr>
              <w:t xml:space="preserve">434</w:t>
            </w:r>
          </w:p>
        </w:tc>
      </w:tr>
      <w:tr>
        <w:trPr>
          <w:cantSplit/>
        </w:trPr>
        <w:tc>
          <w:tcPr>
            <w:tcW w:type="dxa" w:w="636"/>
          </w:tcPr>
          <w:p>
            <w:pPr>
              <w:pStyle w:val="Compact"/>
              <w:spacing w:before="20" w:after="20" w:line="240" w:lineRule="auto"/>
              <w:jc w:val="right"/>
              <w:keepNext/>
            </w:pPr>
            <w:r>
              <w:rPr>
                <w:sz w:val="16"/>
                <w:szCs w:val="16"/>
              </w:rPr>
              <w:t xml:space="preserve">4</w:t>
            </w:r>
          </w:p>
        </w:tc>
        <w:tc>
          <w:tcPr>
            <w:tcW w:type="dxa" w:w="3659"/>
          </w:tcPr>
          <w:p>
            <w:pPr>
              <w:pStyle w:val="Compact"/>
              <w:spacing w:before="20" w:after="20" w:line="240" w:lineRule="auto"/>
              <w:keepNext/>
            </w:pPr>
            <w:r>
              <w:rPr>
                <w:sz w:val="16"/>
                <w:szCs w:val="16"/>
              </w:rPr>
              <w:t xml:space="preserve">24/08 – 2224/80895</w:t>
            </w:r>
          </w:p>
        </w:tc>
        <w:tc>
          <w:tcPr>
            <w:tcW w:type="dxa" w:w="2864"/>
          </w:tcPr>
          <w:p>
            <w:pPr>
              <w:pStyle w:val="Compact"/>
              <w:spacing w:before="20" w:after="20" w:line="240" w:lineRule="auto"/>
              <w:keepNext/>
            </w:pPr>
            <w:r>
              <w:rPr>
                <w:sz w:val="16"/>
                <w:szCs w:val="16"/>
              </w:rPr>
              <w:t xml:space="preserve">Bonding pad after connection – direct bonding of conductive surfaces</w:t>
            </w:r>
          </w:p>
        </w:tc>
        <w:tc>
          <w:tcPr>
            <w:tcW w:type="dxa" w:w="1909"/>
          </w:tcPr>
          <w:p>
            <w:pPr>
              <w:pStyle w:val="Compact"/>
              <w:spacing w:before="20" w:after="20" w:line="240" w:lineRule="auto"/>
              <w:jc w:val="right"/>
              <w:keepNext/>
            </w:pPr>
            <w:r>
              <w:rPr>
                <w:sz w:val="16"/>
                <w:szCs w:val="16"/>
              </w:rPr>
              <w:t xml:space="preserve">420</w:t>
            </w:r>
          </w:p>
        </w:tc>
      </w:tr>
      <w:tr>
        <w:trPr>
          <w:cantSplit/>
        </w:trPr>
        <w:tc>
          <w:tcPr>
            <w:tcW w:type="dxa" w:w="636"/>
          </w:tcPr>
          <w:p>
            <w:pPr>
              <w:pStyle w:val="Compact"/>
              <w:spacing w:before="20" w:after="20" w:line="240" w:lineRule="auto"/>
              <w:jc w:val="right"/>
              <w:keepNext/>
            </w:pPr>
            <w:r>
              <w:rPr>
                <w:sz w:val="16"/>
                <w:szCs w:val="16"/>
              </w:rPr>
              <w:t xml:space="preserve">5</w:t>
            </w:r>
          </w:p>
        </w:tc>
        <w:tc>
          <w:tcPr>
            <w:tcW w:type="dxa" w:w="3659"/>
          </w:tcPr>
          <w:p>
            <w:pPr>
              <w:pStyle w:val="Compact"/>
              <w:spacing w:before="20" w:after="20" w:line="240" w:lineRule="auto"/>
              <w:keepNext/>
            </w:pPr>
            <w:r>
              <w:rPr>
                <w:sz w:val="16"/>
                <w:szCs w:val="16"/>
              </w:rPr>
              <w:t xml:space="preserve">24/80 – 2224/80896</w:t>
            </w:r>
          </w:p>
        </w:tc>
        <w:tc>
          <w:tcPr>
            <w:tcW w:type="dxa" w:w="2864"/>
          </w:tcPr>
          <w:p>
            <w:pPr>
              <w:pStyle w:val="Compact"/>
              <w:spacing w:before="20" w:after="20" w:line="240" w:lineRule="auto"/>
              <w:keepNext/>
            </w:pPr>
            <w:r>
              <w:rPr>
                <w:sz w:val="16"/>
                <w:szCs w:val="16"/>
              </w:rPr>
              <w:t xml:space="preserve">Connection methods using bonding pads – direct bonding of insulating surfaces</w:t>
            </w:r>
          </w:p>
        </w:tc>
        <w:tc>
          <w:tcPr>
            <w:tcW w:type="dxa" w:w="1909"/>
          </w:tcPr>
          <w:p>
            <w:pPr>
              <w:pStyle w:val="Compact"/>
              <w:spacing w:before="20" w:after="20" w:line="240" w:lineRule="auto"/>
              <w:jc w:val="right"/>
              <w:keepNext/>
            </w:pPr>
            <w:r>
              <w:rPr>
                <w:sz w:val="16"/>
                <w:szCs w:val="16"/>
              </w:rPr>
              <w:t xml:space="preserve">418</w:t>
            </w:r>
          </w:p>
        </w:tc>
      </w:tr>
      <w:tr>
        <w:trPr>
          <w:cantSplit/>
        </w:trPr>
        <w:tc>
          <w:tcPr>
            <w:tcW w:type="dxa" w:w="636"/>
          </w:tcPr>
          <w:p>
            <w:pPr>
              <w:pStyle w:val="Compact"/>
              <w:spacing w:before="20" w:after="20" w:line="240" w:lineRule="auto"/>
              <w:jc w:val="right"/>
              <w:keepNext/>
            </w:pPr>
            <w:r>
              <w:rPr>
                <w:sz w:val="16"/>
                <w:szCs w:val="16"/>
              </w:rPr>
              <w:t xml:space="preserve">6</w:t>
            </w:r>
          </w:p>
        </w:tc>
        <w:tc>
          <w:tcPr>
            <w:tcW w:type="dxa" w:w="3659"/>
          </w:tcPr>
          <w:p>
            <w:pPr>
              <w:pStyle w:val="Compact"/>
              <w:spacing w:before="20" w:after="20" w:line="240" w:lineRule="auto"/>
              <w:keepNext/>
            </w:pPr>
            <w:r>
              <w:rPr>
                <w:sz w:val="16"/>
                <w:szCs w:val="16"/>
              </w:rPr>
              <w:t xml:space="preserve">24/08 – 2224/80896</w:t>
            </w:r>
          </w:p>
        </w:tc>
        <w:tc>
          <w:tcPr>
            <w:tcW w:type="dxa" w:w="2864"/>
          </w:tcPr>
          <w:p>
            <w:pPr>
              <w:pStyle w:val="Compact"/>
              <w:spacing w:before="20" w:after="20" w:line="240" w:lineRule="auto"/>
              <w:keepNext/>
            </w:pPr>
            <w:r>
              <w:rPr>
                <w:sz w:val="16"/>
                <w:szCs w:val="16"/>
              </w:rPr>
              <w:t xml:space="preserve">Bonding pad after connection – direct bonding of insulating surfaces</w:t>
            </w:r>
          </w:p>
        </w:tc>
        <w:tc>
          <w:tcPr>
            <w:tcW w:type="dxa" w:w="1909"/>
          </w:tcPr>
          <w:p>
            <w:pPr>
              <w:pStyle w:val="Compact"/>
              <w:spacing w:before="20" w:after="20" w:line="240" w:lineRule="auto"/>
              <w:jc w:val="right"/>
              <w:keepNext/>
            </w:pPr>
            <w:r>
              <w:rPr>
                <w:sz w:val="16"/>
                <w:szCs w:val="16"/>
              </w:rPr>
              <w:t xml:space="preserve">395</w:t>
            </w:r>
          </w:p>
        </w:tc>
      </w:tr>
      <w:tr>
        <w:trPr>
          <w:cantSplit/>
        </w:trPr>
        <w:tc>
          <w:tcPr>
            <w:tcW w:type="dxa" w:w="636"/>
          </w:tcPr>
          <w:p>
            <w:pPr>
              <w:pStyle w:val="Compact"/>
              <w:spacing w:before="20" w:after="20" w:line="240" w:lineRule="auto"/>
              <w:jc w:val="right"/>
              <w:keepNext/>
            </w:pPr>
            <w:r>
              <w:rPr>
                <w:sz w:val="16"/>
                <w:szCs w:val="16"/>
              </w:rPr>
              <w:t xml:space="preserve">7</w:t>
            </w:r>
          </w:p>
        </w:tc>
        <w:tc>
          <w:tcPr>
            <w:tcW w:type="dxa" w:w="3659"/>
          </w:tcPr>
          <w:p>
            <w:pPr>
              <w:pStyle w:val="Compact"/>
              <w:spacing w:before="20" w:after="20" w:line="240" w:lineRule="auto"/>
              <w:keepNext/>
            </w:pPr>
            <w:r>
              <w:rPr>
                <w:sz w:val="16"/>
                <w:szCs w:val="16"/>
              </w:rPr>
              <w:t xml:space="preserve">24/08 – 2224/08145</w:t>
            </w:r>
          </w:p>
        </w:tc>
        <w:tc>
          <w:tcPr>
            <w:tcW w:type="dxa" w:w="2864"/>
          </w:tcPr>
          <w:p>
            <w:pPr>
              <w:pStyle w:val="Compact"/>
              <w:spacing w:before="20" w:after="20" w:line="240" w:lineRule="auto"/>
              <w:keepNext/>
            </w:pPr>
            <w:r>
              <w:rPr>
                <w:sz w:val="16"/>
                <w:szCs w:val="16"/>
              </w:rPr>
              <w:t xml:space="preserve">Bonding pad after connection – bumpless bonding of stacked chips</w:t>
            </w:r>
          </w:p>
        </w:tc>
        <w:tc>
          <w:tcPr>
            <w:tcW w:type="dxa" w:w="1909"/>
          </w:tcPr>
          <w:p>
            <w:pPr>
              <w:pStyle w:val="Compact"/>
              <w:spacing w:before="20" w:after="20" w:line="240" w:lineRule="auto"/>
              <w:jc w:val="right"/>
              <w:keepNext/>
            </w:pPr>
            <w:r>
              <w:rPr>
                <w:sz w:val="16"/>
                <w:szCs w:val="16"/>
              </w:rPr>
              <w:t xml:space="preserve">392</w:t>
            </w:r>
          </w:p>
        </w:tc>
      </w:tr>
      <w:tr>
        <w:trPr>
          <w:cantSplit/>
        </w:trPr>
        <w:tc>
          <w:tcPr>
            <w:tcW w:type="dxa" w:w="636"/>
          </w:tcPr>
          <w:p>
            <w:pPr>
              <w:pStyle w:val="Compact"/>
              <w:spacing w:before="20" w:after="20" w:line="240" w:lineRule="auto"/>
              <w:jc w:val="right"/>
              <w:keepNext/>
            </w:pPr>
            <w:r>
              <w:rPr>
                <w:sz w:val="16"/>
                <w:szCs w:val="16"/>
              </w:rPr>
              <w:t xml:space="preserve">8</w:t>
            </w:r>
          </w:p>
        </w:tc>
        <w:tc>
          <w:tcPr>
            <w:tcW w:type="dxa" w:w="3659"/>
          </w:tcPr>
          <w:p>
            <w:pPr>
              <w:pStyle w:val="Compact"/>
              <w:spacing w:before="20" w:after="20" w:line="240" w:lineRule="auto"/>
              <w:keepNext/>
            </w:pPr>
            <w:r>
              <w:rPr>
                <w:sz w:val="16"/>
                <w:szCs w:val="16"/>
              </w:rPr>
              <w:t xml:space="preserve">24/80 – 2224/08145</w:t>
            </w:r>
          </w:p>
        </w:tc>
        <w:tc>
          <w:tcPr>
            <w:tcW w:type="dxa" w:w="2864"/>
          </w:tcPr>
          <w:p>
            <w:pPr>
              <w:pStyle w:val="Compact"/>
              <w:spacing w:before="20" w:after="20" w:line="240" w:lineRule="auto"/>
              <w:keepNext/>
            </w:pPr>
            <w:r>
              <w:rPr>
                <w:sz w:val="16"/>
                <w:szCs w:val="16"/>
              </w:rPr>
              <w:t xml:space="preserve">Connection methods using bonding pads – bumpless bonding of stacked chips</w:t>
            </w:r>
          </w:p>
        </w:tc>
        <w:tc>
          <w:tcPr>
            <w:tcW w:type="dxa" w:w="1909"/>
          </w:tcPr>
          <w:p>
            <w:pPr>
              <w:pStyle w:val="Compact"/>
              <w:spacing w:before="20" w:after="20" w:line="240" w:lineRule="auto"/>
              <w:jc w:val="right"/>
              <w:keepNext/>
            </w:pPr>
            <w:r>
              <w:rPr>
                <w:sz w:val="16"/>
                <w:szCs w:val="16"/>
              </w:rPr>
              <w:t xml:space="preserve">392</w:t>
            </w:r>
          </w:p>
        </w:tc>
      </w:tr>
      <w:tr>
        <w:trPr>
          <w:cantSplit/>
        </w:trPr>
        <w:tc>
          <w:tcPr>
            <w:tcW w:type="dxa" w:w="636"/>
          </w:tcPr>
          <w:p>
            <w:pPr>
              <w:pStyle w:val="Compact"/>
              <w:spacing w:before="20" w:after="20" w:line="240" w:lineRule="auto"/>
              <w:jc w:val="right"/>
              <w:keepNext/>
            </w:pPr>
            <w:r>
              <w:rPr>
                <w:sz w:val="16"/>
                <w:szCs w:val="16"/>
              </w:rPr>
              <w:t xml:space="preserve">9</w:t>
            </w:r>
          </w:p>
        </w:tc>
        <w:tc>
          <w:tcPr>
            <w:tcW w:type="dxa" w:w="3659"/>
          </w:tcPr>
          <w:p>
            <w:pPr>
              <w:pStyle w:val="Compact"/>
              <w:spacing w:before="20" w:after="20" w:line="240" w:lineRule="auto"/>
              <w:keepNext/>
            </w:pPr>
            <w:r>
              <w:rPr>
                <w:sz w:val="16"/>
                <w:szCs w:val="16"/>
              </w:rPr>
              <w:t xml:space="preserve">2224/08145 – 2224/80895</w:t>
            </w:r>
          </w:p>
        </w:tc>
        <w:tc>
          <w:tcPr>
            <w:tcW w:type="dxa" w:w="2864"/>
          </w:tcPr>
          <w:p>
            <w:pPr>
              <w:pStyle w:val="Compact"/>
              <w:spacing w:before="20" w:after="20" w:line="240" w:lineRule="auto"/>
              <w:keepNext/>
            </w:pPr>
            <w:r>
              <w:rPr>
                <w:sz w:val="16"/>
                <w:szCs w:val="16"/>
              </w:rPr>
              <w:t xml:space="preserve">Bumpless bonding of stacked chips – direct bonding of conductive surfaces</w:t>
            </w:r>
          </w:p>
        </w:tc>
        <w:tc>
          <w:tcPr>
            <w:tcW w:type="dxa" w:w="1909"/>
          </w:tcPr>
          <w:p>
            <w:pPr>
              <w:pStyle w:val="Compact"/>
              <w:spacing w:before="20" w:after="20" w:line="240" w:lineRule="auto"/>
              <w:jc w:val="right"/>
              <w:keepNext/>
            </w:pPr>
            <w:r>
              <w:rPr>
                <w:sz w:val="16"/>
                <w:szCs w:val="16"/>
              </w:rPr>
              <w:t xml:space="preserve">379</w:t>
            </w:r>
          </w:p>
        </w:tc>
      </w:tr>
      <w:tr>
        <w:trPr>
          <w:cantSplit/>
        </w:trPr>
        <w:tc>
          <w:tcPr>
            <w:tcW w:type="dxa" w:w="636"/>
          </w:tcPr>
          <w:p>
            <w:pPr>
              <w:pStyle w:val="Compact"/>
              <w:spacing w:before="20" w:after="20" w:line="240" w:lineRule="auto"/>
              <w:jc w:val="right"/>
              <w:keepNext/>
            </w:pPr>
            <w:r>
              <w:rPr>
                <w:sz w:val="16"/>
                <w:szCs w:val="16"/>
              </w:rPr>
              <w:t xml:space="preserve">10</w:t>
            </w:r>
          </w:p>
        </w:tc>
        <w:tc>
          <w:tcPr>
            <w:tcW w:type="dxa" w:w="3659"/>
          </w:tcPr>
          <w:p>
            <w:pPr>
              <w:pStyle w:val="Compact"/>
              <w:spacing w:before="20" w:after="20" w:line="240" w:lineRule="auto"/>
              <w:keepNext/>
            </w:pPr>
            <w:r>
              <w:rPr>
                <w:sz w:val="16"/>
                <w:szCs w:val="16"/>
              </w:rPr>
              <w:t xml:space="preserve">2224/08145 – 2224/80896</w:t>
            </w:r>
          </w:p>
        </w:tc>
        <w:tc>
          <w:tcPr>
            <w:tcW w:type="dxa" w:w="2864"/>
          </w:tcPr>
          <w:p>
            <w:pPr>
              <w:pStyle w:val="Compact"/>
              <w:spacing w:before="20" w:after="20" w:line="240" w:lineRule="auto"/>
              <w:keepNext/>
            </w:pPr>
            <w:r>
              <w:rPr>
                <w:sz w:val="16"/>
                <w:szCs w:val="16"/>
              </w:rPr>
              <w:t xml:space="preserve">Bumpless bonding of stacked chips – direct bonding of insulating surfaces</w:t>
            </w:r>
          </w:p>
        </w:tc>
        <w:tc>
          <w:tcPr>
            <w:tcW w:type="dxa" w:w="1909"/>
          </w:tcPr>
          <w:p>
            <w:pPr>
              <w:pStyle w:val="Compact"/>
              <w:spacing w:before="20" w:after="20" w:line="240" w:lineRule="auto"/>
              <w:jc w:val="right"/>
              <w:keepNext/>
            </w:pPr>
            <w:r>
              <w:rPr>
                <w:sz w:val="16"/>
                <w:szCs w:val="16"/>
              </w:rPr>
              <w:t xml:space="preserve">368</w:t>
            </w:r>
          </w:p>
        </w:tc>
      </w:tr>
    </w:tbl>
    <w:p>
      <w:pPr>
        <w:pStyle w:val="BodyText"/>
      </w:pPr>
      <w:r>
        <w:rPr>
          <w:i/>
          <w:iCs/>
          <w:sz w:val="20"/>
          <w:szCs w:val="20"/>
        </w:rPr>
        <w:t xml:space="preserve">Note:</w:t>
      </w:r>
      <w:r>
        <w:rPr>
          <w:sz w:val="20"/>
          <w:szCs w:val="20"/>
        </w:rPr>
        <w:t xml:space="preserve"> </w:t>
      </w:r>
      <w:r>
        <w:rPr>
          <w:sz w:val="20"/>
          <w:szCs w:val="20"/>
        </w:rPr>
        <w:t xml:space="preserve">The prefix H01L is omitted from the symbols. The application count for the second-ranked pair (24/08 – 24/80) is identical when recounted from the regression data.</w:t>
      </w:r>
    </w:p>
    <w:bookmarkEnd w:id="10"/>
    <w:bookmarkStart w:id="11" w:name="Xb1ab77ea0cc77fd98cee862f8980426a2aa8105"/>
    <w:p>
      <w:pPr>
        <w:pStyle w:val="Heading3"/>
      </w:pPr>
      <w:r>
        <w:t xml:space="preserve">S3. Full re-estimation results of the multinomial logit and the IIA check</w:t>
      </w:r>
    </w:p>
    <w:p>
      <w:pPr>
        <w:pStyle w:val="FirstParagraph"/>
      </w:pPr>
      <w:r>
        <w:t xml:space="preserve">Tables S4 and S5 present the full coefficients of the multinomial logit re-estimations summarized in Table 6 (except the clustered-standard-error row, whose point estimates equal the baseline), with the adjusted-scope specification and the 2010–2024 sample added. Each column is a multinomial logit in which one sample or variable definition is changed, and the baseline column is identical to the multinomial logit of Table 3. Filing office dummies are included as control variables in all columns, but their coefficients are omitted. Adjusted scope refers to the type-minimum-adjusted CPC scope (breadth_adj), which subtracts one symbol for each class an application carries; same-title deduplication to the sample that keeps only the earliest application among those with the same title; the narrow fabrication-process definition to the variable that excludes the packaging-stage process symbols of H01L21 from fabrication processes; irrelevant uses excluded to the sample without the 68 applications of Section S1; and the</w:t>
      </w:r>
      <w:r>
        <w:t xml:space="preserve"> </w:t>
      </w:r>
      <w:r>
        <w:rPr>
          <w:i/>
          <w:iCs/>
        </w:rPr>
        <w:t xml:space="preserve">hybrid bonding</w:t>
      </w:r>
      <w:r>
        <w:t xml:space="preserve"> </w:t>
      </w:r>
      <w:r>
        <w:t xml:space="preserve">sample to the sample that keeps only applications whose titles contain</w:t>
      </w:r>
      <w:r>
        <w:t xml:space="preserve"> </w:t>
      </w:r>
      <w:r>
        <w:rPr>
          <w:i/>
          <w:iCs/>
        </w:rPr>
        <w:t xml:space="preserve">hybrid bonding</w:t>
      </w:r>
      <w:r>
        <w:t xml:space="preserve">. The 2010–2024 sample is the sample of applications filed in 2010 or later mentioned in Section 5.2.</w:t>
      </w:r>
    </w:p>
    <w:p>
      <w:pPr>
        <w:pStyle w:val="BodyText"/>
        <w:keepNext/>
      </w:pPr>
      <w:r>
        <w:rPr>
          <w:b/>
          <w:bCs/>
          <w:sz w:val="20"/>
          <w:szCs w:val="20"/>
        </w:rPr>
        <w:t xml:space="preserve">Table S4.</w:t>
      </w:r>
      <w:r>
        <w:rPr>
          <w:sz w:val="20"/>
          <w:szCs w:val="20"/>
        </w:rPr>
        <w:t xml:space="preserve"> </w:t>
      </w:r>
      <w:r>
        <w:rPr>
          <w:sz w:val="20"/>
          <w:szCs w:val="20"/>
        </w:rPr>
        <w:t xml:space="preserve">Integrated-type equation of the multinomial logit: Relative risk ratios by sample and variable (base category = bonding-only; filing office dummies included; standard errors of the logit coefficients in parentheses; * p &lt; 0.10, ** p &lt; 0.05, *** p &lt; 0.01).</w:t>
      </w:r>
    </w:p>
    <w:tbl>
      <w:tblPr>
        <w:tblStyle w:val="Table"/>
        <w:tblW w:type="dxa" w:w="9074"/>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400"/>
        <w:gridCol w:w="980"/>
        <w:gridCol w:w="980"/>
        <w:gridCol w:w="1267"/>
        <w:gridCol w:w="1460"/>
        <w:gridCol w:w="1026"/>
        <w:gridCol w:w="962"/>
        <w:gridCol w:w="999"/>
      </w:tblGrid>
      <w:tr>
        <w:trPr>
          <w:tblHeader w:val="on"/>
          <w:cantSplit/>
        </w:trPr>
        <w:tc>
          <w:tcPr>
            <w:tcW w:type="dxa" w:w="1400"/>
            <w:tcBorders>
              <w:bottom w:val="single" w:sz="4" w:space="0" w:color="000000"/>
            </w:tcBorders>
          </w:tcPr>
          <w:p>
            <w:pPr>
              <w:pStyle w:val="Compact"/>
              <w:spacing w:before="20" w:after="20" w:line="240" w:lineRule="auto"/>
              <w:keepNext/>
            </w:pPr>
          </w:p>
        </w:tc>
        <w:tc>
          <w:tcPr>
            <w:tcW w:type="dxa" w:w="980"/>
            <w:tcBorders>
              <w:bottom w:val="single" w:sz="4" w:space="0" w:color="000000"/>
            </w:tcBorders>
          </w:tcPr>
          <w:p>
            <w:pPr>
              <w:pStyle w:val="Compact"/>
              <w:spacing w:before="20" w:after="20" w:line="240" w:lineRule="auto"/>
              <w:jc w:val="center"/>
              <w:keepNext/>
            </w:pPr>
            <w:r>
              <w:rPr>
                <w:sz w:val="13"/>
                <w:szCs w:val="13"/>
              </w:rPr>
              <w:t xml:space="preserve">Baseline</w:t>
            </w:r>
          </w:p>
        </w:tc>
        <w:tc>
          <w:tcPr>
            <w:tcW w:type="dxa" w:w="980"/>
            <w:tcBorders>
              <w:bottom w:val="single" w:sz="4" w:space="0" w:color="000000"/>
            </w:tcBorders>
          </w:tcPr>
          <w:p>
            <w:pPr>
              <w:pStyle w:val="Compact"/>
              <w:spacing w:before="20" w:after="20" w:line="240" w:lineRule="auto"/>
              <w:jc w:val="center"/>
              <w:keepNext/>
            </w:pPr>
            <w:r>
              <w:rPr>
                <w:sz w:val="13"/>
                <w:szCs w:val="13"/>
              </w:rPr>
              <w:t xml:space="preserve">Adjusted scope</w:t>
            </w:r>
          </w:p>
        </w:tc>
        <w:tc>
          <w:tcPr>
            <w:tcW w:type="dxa" w:w="1267"/>
            <w:tcBorders>
              <w:bottom w:val="single" w:sz="4" w:space="0" w:color="000000"/>
            </w:tcBorders>
          </w:tcPr>
          <w:p>
            <w:pPr>
              <w:pStyle w:val="Compact"/>
              <w:spacing w:before="20" w:after="20" w:line="240" w:lineRule="auto"/>
              <w:jc w:val="center"/>
              <w:keepNext/>
            </w:pPr>
            <w:r>
              <w:rPr>
                <w:sz w:val="13"/>
                <w:szCs w:val="13"/>
              </w:rPr>
              <w:t xml:space="preserve">Same-title deduplication</w:t>
            </w:r>
          </w:p>
        </w:tc>
        <w:tc>
          <w:tcPr>
            <w:tcW w:type="dxa" w:w="1460"/>
            <w:tcBorders>
              <w:bottom w:val="single" w:sz="4" w:space="0" w:color="000000"/>
            </w:tcBorders>
          </w:tcPr>
          <w:p>
            <w:pPr>
              <w:pStyle w:val="Compact"/>
              <w:spacing w:before="20" w:after="20" w:line="240" w:lineRule="auto"/>
              <w:jc w:val="center"/>
              <w:keepNext/>
            </w:pPr>
            <w:r>
              <w:rPr>
                <w:sz w:val="13"/>
                <w:szCs w:val="13"/>
              </w:rPr>
              <w:t xml:space="preserve">Narrow fabrication-process definition</w:t>
            </w:r>
          </w:p>
        </w:tc>
        <w:tc>
          <w:tcPr>
            <w:tcW w:type="dxa" w:w="1026"/>
            <w:tcBorders>
              <w:bottom w:val="single" w:sz="4" w:space="0" w:color="000000"/>
            </w:tcBorders>
          </w:tcPr>
          <w:p>
            <w:pPr>
              <w:pStyle w:val="Compact"/>
              <w:spacing w:before="20" w:after="20" w:line="240" w:lineRule="auto"/>
              <w:jc w:val="center"/>
              <w:keepNext/>
            </w:pPr>
            <w:r>
              <w:rPr>
                <w:sz w:val="13"/>
                <w:szCs w:val="13"/>
              </w:rPr>
              <w:t xml:space="preserve">Irrelevant uses excluded</w:t>
            </w:r>
          </w:p>
        </w:tc>
        <w:tc>
          <w:tcPr>
            <w:tcW w:type="dxa" w:w="962"/>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sample</w:t>
            </w:r>
          </w:p>
        </w:tc>
        <w:tc>
          <w:tcPr>
            <w:tcW w:type="dxa" w:w="999"/>
            <w:tcBorders>
              <w:bottom w:val="single" w:sz="4" w:space="0" w:color="000000"/>
            </w:tcBorders>
          </w:tcPr>
          <w:p>
            <w:pPr>
              <w:pStyle w:val="Compact"/>
              <w:spacing w:before="20" w:after="20" w:line="240" w:lineRule="auto"/>
              <w:jc w:val="center"/>
              <w:keepNext/>
            </w:pPr>
            <w:r>
              <w:rPr>
                <w:sz w:val="13"/>
                <w:szCs w:val="13"/>
              </w:rPr>
              <w:t xml:space="preserve">2010–2024</w:t>
            </w:r>
          </w:p>
        </w:tc>
      </w:tr>
      <w:tr>
        <w:trPr>
          <w:cantSplit/>
        </w:trPr>
        <w:tc>
          <w:tcPr>
            <w:tcW w:type="dxa" w:w="1400"/>
          </w:tcPr>
          <w:p>
            <w:pPr>
              <w:pStyle w:val="Compact"/>
              <w:spacing w:before="20" w:after="20" w:line="240" w:lineRule="auto"/>
              <w:keepNext/>
            </w:pPr>
            <w:r>
              <w:rPr>
                <w:sz w:val="13"/>
                <w:szCs w:val="13"/>
              </w:rPr>
              <w:t xml:space="preserve">Technological scope</w:t>
            </w:r>
          </w:p>
        </w:tc>
        <w:tc>
          <w:tcPr>
            <w:tcW w:type="dxa" w:w="980"/>
          </w:tcPr>
          <w:p>
            <w:pPr>
              <w:pStyle w:val="Compact"/>
              <w:spacing w:before="20" w:after="20" w:line="240" w:lineRule="auto"/>
              <w:jc w:val="center"/>
              <w:keepNext/>
            </w:pPr>
            <w:r>
              <w:rPr>
                <w:sz w:val="13"/>
                <w:szCs w:val="13"/>
              </w:rPr>
              <w:t xml:space="preserve">1.403*** (0.031)</w:t>
            </w:r>
          </w:p>
        </w:tc>
        <w:tc>
          <w:tcPr>
            <w:tcW w:type="dxa" w:w="980"/>
          </w:tcPr>
          <w:p>
            <w:pPr>
              <w:pStyle w:val="Compact"/>
              <w:spacing w:before="20" w:after="20" w:line="240" w:lineRule="auto"/>
              <w:jc w:val="center"/>
              <w:keepNext/>
            </w:pPr>
            <w:r>
              <w:rPr>
                <w:sz w:val="13"/>
                <w:szCs w:val="13"/>
              </w:rPr>
              <w:t xml:space="preserve">1.262*** (0.027)</w:t>
            </w:r>
          </w:p>
        </w:tc>
        <w:tc>
          <w:tcPr>
            <w:tcW w:type="dxa" w:w="1267"/>
          </w:tcPr>
          <w:p>
            <w:pPr>
              <w:pStyle w:val="Compact"/>
              <w:spacing w:before="20" w:after="20" w:line="240" w:lineRule="auto"/>
              <w:jc w:val="center"/>
              <w:keepNext/>
            </w:pPr>
            <w:r>
              <w:rPr>
                <w:sz w:val="13"/>
                <w:szCs w:val="13"/>
              </w:rPr>
              <w:t xml:space="preserve">1.295*** (0.039)</w:t>
            </w:r>
          </w:p>
        </w:tc>
        <w:tc>
          <w:tcPr>
            <w:tcW w:type="dxa" w:w="1460"/>
          </w:tcPr>
          <w:p>
            <w:pPr>
              <w:pStyle w:val="Compact"/>
              <w:spacing w:before="20" w:after="20" w:line="240" w:lineRule="auto"/>
              <w:jc w:val="center"/>
              <w:keepNext/>
            </w:pPr>
            <w:r>
              <w:rPr>
                <w:sz w:val="13"/>
                <w:szCs w:val="13"/>
              </w:rPr>
              <w:t xml:space="preserve">1.352*** (0.028)</w:t>
            </w:r>
          </w:p>
        </w:tc>
        <w:tc>
          <w:tcPr>
            <w:tcW w:type="dxa" w:w="1026"/>
          </w:tcPr>
          <w:p>
            <w:pPr>
              <w:pStyle w:val="Compact"/>
              <w:spacing w:before="20" w:after="20" w:line="240" w:lineRule="auto"/>
              <w:jc w:val="center"/>
              <w:keepNext/>
            </w:pPr>
            <w:r>
              <w:rPr>
                <w:sz w:val="13"/>
                <w:szCs w:val="13"/>
              </w:rPr>
              <w:t xml:space="preserve">1.384*** (0.031)</w:t>
            </w:r>
          </w:p>
        </w:tc>
        <w:tc>
          <w:tcPr>
            <w:tcW w:type="dxa" w:w="962"/>
          </w:tcPr>
          <w:p>
            <w:pPr>
              <w:pStyle w:val="Compact"/>
              <w:spacing w:before="20" w:after="20" w:line="240" w:lineRule="auto"/>
              <w:jc w:val="center"/>
              <w:keepNext/>
            </w:pPr>
            <w:r>
              <w:rPr>
                <w:sz w:val="13"/>
                <w:szCs w:val="13"/>
              </w:rPr>
              <w:t xml:space="preserve">1.485*** (0.044)</w:t>
            </w:r>
          </w:p>
        </w:tc>
        <w:tc>
          <w:tcPr>
            <w:tcW w:type="dxa" w:w="999"/>
          </w:tcPr>
          <w:p>
            <w:pPr>
              <w:pStyle w:val="Compact"/>
              <w:spacing w:before="20" w:after="20" w:line="240" w:lineRule="auto"/>
              <w:jc w:val="center"/>
              <w:keepNext/>
            </w:pPr>
            <w:r>
              <w:rPr>
                <w:sz w:val="13"/>
                <w:szCs w:val="13"/>
              </w:rPr>
              <w:t xml:space="preserve">1.385*** (0.032)</w:t>
            </w:r>
          </w:p>
        </w:tc>
      </w:tr>
      <w:tr>
        <w:trPr>
          <w:cantSplit/>
        </w:trPr>
        <w:tc>
          <w:tcPr>
            <w:tcW w:type="dxa" w:w="1400"/>
          </w:tcPr>
          <w:p>
            <w:pPr>
              <w:pStyle w:val="Compact"/>
              <w:spacing w:before="20" w:after="20" w:line="240" w:lineRule="auto"/>
              <w:keepNext/>
            </w:pPr>
            <w:r>
              <w:rPr>
                <w:sz w:val="13"/>
                <w:szCs w:val="13"/>
              </w:rPr>
              <w:t xml:space="preserve">Filing year (yc)</w:t>
            </w:r>
          </w:p>
        </w:tc>
        <w:tc>
          <w:tcPr>
            <w:tcW w:type="dxa" w:w="980"/>
          </w:tcPr>
          <w:p>
            <w:pPr>
              <w:pStyle w:val="Compact"/>
              <w:spacing w:before="20" w:after="20" w:line="240" w:lineRule="auto"/>
              <w:jc w:val="center"/>
              <w:keepNext/>
            </w:pPr>
            <w:r>
              <w:rPr>
                <w:sz w:val="13"/>
                <w:szCs w:val="13"/>
              </w:rPr>
              <w:t xml:space="preserve">0.993 (0.015)</w:t>
            </w:r>
          </w:p>
        </w:tc>
        <w:tc>
          <w:tcPr>
            <w:tcW w:type="dxa" w:w="980"/>
          </w:tcPr>
          <w:p>
            <w:pPr>
              <w:pStyle w:val="Compact"/>
              <w:spacing w:before="20" w:after="20" w:line="240" w:lineRule="auto"/>
              <w:jc w:val="center"/>
              <w:keepNext/>
            </w:pPr>
            <w:r>
              <w:rPr>
                <w:sz w:val="13"/>
                <w:szCs w:val="13"/>
              </w:rPr>
              <w:t xml:space="preserve">1.002 (0.014)</w:t>
            </w:r>
          </w:p>
        </w:tc>
        <w:tc>
          <w:tcPr>
            <w:tcW w:type="dxa" w:w="1267"/>
          </w:tcPr>
          <w:p>
            <w:pPr>
              <w:pStyle w:val="Compact"/>
              <w:spacing w:before="20" w:after="20" w:line="240" w:lineRule="auto"/>
              <w:jc w:val="center"/>
              <w:keepNext/>
            </w:pPr>
            <w:r>
              <w:rPr>
                <w:sz w:val="13"/>
                <w:szCs w:val="13"/>
              </w:rPr>
              <w:t xml:space="preserve">0.997 (0.018)</w:t>
            </w:r>
          </w:p>
        </w:tc>
        <w:tc>
          <w:tcPr>
            <w:tcW w:type="dxa" w:w="1460"/>
          </w:tcPr>
          <w:p>
            <w:pPr>
              <w:pStyle w:val="Compact"/>
              <w:spacing w:before="20" w:after="20" w:line="240" w:lineRule="auto"/>
              <w:jc w:val="center"/>
              <w:keepNext/>
            </w:pPr>
            <w:r>
              <w:rPr>
                <w:sz w:val="13"/>
                <w:szCs w:val="13"/>
              </w:rPr>
              <w:t xml:space="preserve">0.967** (0.015)</w:t>
            </w:r>
          </w:p>
        </w:tc>
        <w:tc>
          <w:tcPr>
            <w:tcW w:type="dxa" w:w="1026"/>
          </w:tcPr>
          <w:p>
            <w:pPr>
              <w:pStyle w:val="Compact"/>
              <w:spacing w:before="20" w:after="20" w:line="240" w:lineRule="auto"/>
              <w:jc w:val="center"/>
              <w:keepNext/>
            </w:pPr>
            <w:r>
              <w:rPr>
                <w:sz w:val="13"/>
                <w:szCs w:val="13"/>
              </w:rPr>
              <w:t xml:space="preserve">0.949** (0.022)</w:t>
            </w:r>
          </w:p>
        </w:tc>
        <w:tc>
          <w:tcPr>
            <w:tcW w:type="dxa" w:w="962"/>
          </w:tcPr>
          <w:p>
            <w:pPr>
              <w:pStyle w:val="Compact"/>
              <w:spacing w:before="20" w:after="20" w:line="240" w:lineRule="auto"/>
              <w:jc w:val="center"/>
              <w:keepNext/>
            </w:pPr>
            <w:r>
              <w:rPr>
                <w:sz w:val="13"/>
                <w:szCs w:val="13"/>
              </w:rPr>
              <w:t xml:space="preserve">0.965 (0.033)</w:t>
            </w:r>
          </w:p>
        </w:tc>
        <w:tc>
          <w:tcPr>
            <w:tcW w:type="dxa" w:w="999"/>
          </w:tcPr>
          <w:p>
            <w:pPr>
              <w:pStyle w:val="Compact"/>
              <w:spacing w:before="20" w:after="20" w:line="240" w:lineRule="auto"/>
              <w:jc w:val="center"/>
              <w:keepNext/>
            </w:pPr>
            <w:r>
              <w:rPr>
                <w:sz w:val="13"/>
                <w:szCs w:val="13"/>
              </w:rPr>
              <w:t xml:space="preserve">0.934** (0.027)</w:t>
            </w:r>
          </w:p>
        </w:tc>
      </w:tr>
      <w:tr>
        <w:trPr>
          <w:cantSplit/>
        </w:trPr>
        <w:tc>
          <w:tcPr>
            <w:tcW w:type="dxa" w:w="1400"/>
          </w:tcPr>
          <w:p>
            <w:pPr>
              <w:pStyle w:val="Compact"/>
              <w:spacing w:before="20" w:after="20" w:line="240" w:lineRule="auto"/>
              <w:keepNext/>
            </w:pPr>
            <w:r>
              <w:rPr>
                <w:sz w:val="13"/>
                <w:szCs w:val="13"/>
              </w:rPr>
              <w:t xml:space="preserve">N</w:t>
            </w:r>
          </w:p>
        </w:tc>
        <w:tc>
          <w:tcPr>
            <w:tcW w:type="dxa" w:w="980"/>
          </w:tcPr>
          <w:p>
            <w:pPr>
              <w:pStyle w:val="Compact"/>
              <w:spacing w:before="20" w:after="20" w:line="240" w:lineRule="auto"/>
              <w:jc w:val="center"/>
              <w:keepNext/>
            </w:pPr>
            <w:r>
              <w:rPr>
                <w:sz w:val="13"/>
                <w:szCs w:val="13"/>
              </w:rPr>
              <w:t xml:space="preserve">928</w:t>
            </w:r>
          </w:p>
        </w:tc>
        <w:tc>
          <w:tcPr>
            <w:tcW w:type="dxa" w:w="980"/>
          </w:tcPr>
          <w:p>
            <w:pPr>
              <w:pStyle w:val="Compact"/>
              <w:spacing w:before="20" w:after="20" w:line="240" w:lineRule="auto"/>
              <w:jc w:val="center"/>
              <w:keepNext/>
            </w:pPr>
            <w:r>
              <w:rPr>
                <w:sz w:val="13"/>
                <w:szCs w:val="13"/>
              </w:rPr>
              <w:t xml:space="preserve">928</w:t>
            </w:r>
          </w:p>
        </w:tc>
        <w:tc>
          <w:tcPr>
            <w:tcW w:type="dxa" w:w="1267"/>
          </w:tcPr>
          <w:p>
            <w:pPr>
              <w:pStyle w:val="Compact"/>
              <w:spacing w:before="20" w:after="20" w:line="240" w:lineRule="auto"/>
              <w:jc w:val="center"/>
              <w:keepNext/>
            </w:pPr>
            <w:r>
              <w:rPr>
                <w:sz w:val="13"/>
                <w:szCs w:val="13"/>
              </w:rPr>
              <w:t xml:space="preserve">473</w:t>
            </w:r>
          </w:p>
        </w:tc>
        <w:tc>
          <w:tcPr>
            <w:tcW w:type="dxa" w:w="1460"/>
          </w:tcPr>
          <w:p>
            <w:pPr>
              <w:pStyle w:val="Compact"/>
              <w:spacing w:before="20" w:after="20" w:line="240" w:lineRule="auto"/>
              <w:jc w:val="center"/>
              <w:keepNext/>
            </w:pPr>
            <w:r>
              <w:rPr>
                <w:sz w:val="13"/>
                <w:szCs w:val="13"/>
              </w:rPr>
              <w:t xml:space="preserve">908</w:t>
            </w:r>
          </w:p>
        </w:tc>
        <w:tc>
          <w:tcPr>
            <w:tcW w:type="dxa" w:w="1026"/>
          </w:tcPr>
          <w:p>
            <w:pPr>
              <w:pStyle w:val="Compact"/>
              <w:spacing w:before="20" w:after="20" w:line="240" w:lineRule="auto"/>
              <w:jc w:val="center"/>
              <w:keepNext/>
            </w:pPr>
            <w:r>
              <w:rPr>
                <w:sz w:val="13"/>
                <w:szCs w:val="13"/>
              </w:rPr>
              <w:t xml:space="preserve">860</w:t>
            </w:r>
          </w:p>
        </w:tc>
        <w:tc>
          <w:tcPr>
            <w:tcW w:type="dxa" w:w="962"/>
          </w:tcPr>
          <w:p>
            <w:pPr>
              <w:pStyle w:val="Compact"/>
              <w:spacing w:before="20" w:after="20" w:line="240" w:lineRule="auto"/>
              <w:jc w:val="center"/>
              <w:keepNext/>
            </w:pPr>
            <w:r>
              <w:rPr>
                <w:sz w:val="13"/>
                <w:szCs w:val="13"/>
              </w:rPr>
              <w:t xml:space="preserve">467</w:t>
            </w:r>
          </w:p>
        </w:tc>
        <w:tc>
          <w:tcPr>
            <w:tcW w:type="dxa" w:w="999"/>
          </w:tcPr>
          <w:p>
            <w:pPr>
              <w:pStyle w:val="Compact"/>
              <w:spacing w:before="20" w:after="20" w:line="240" w:lineRule="auto"/>
              <w:jc w:val="center"/>
              <w:keepNext/>
            </w:pPr>
            <w:r>
              <w:rPr>
                <w:sz w:val="13"/>
                <w:szCs w:val="13"/>
              </w:rPr>
              <w:t xml:space="preserve">830</w:t>
            </w:r>
          </w:p>
        </w:tc>
      </w:tr>
      <w:tr>
        <w:trPr>
          <w:cantSplit/>
        </w:trPr>
        <w:tc>
          <w:tcPr>
            <w:tcW w:type="dxa" w:w="1400"/>
          </w:tcPr>
          <w:p>
            <w:pPr>
              <w:pStyle w:val="Compact"/>
              <w:spacing w:before="20" w:after="20" w:line="240" w:lineRule="auto"/>
              <w:keepNext/>
            </w:pPr>
            <w:r>
              <w:rPr>
                <w:sz w:val="13"/>
                <w:szCs w:val="13"/>
              </w:rPr>
              <w:t xml:space="preserve">Log-likelihood</w:t>
            </w:r>
          </w:p>
        </w:tc>
        <w:tc>
          <w:tcPr>
            <w:tcW w:type="dxa" w:w="980"/>
          </w:tcPr>
          <w:p>
            <w:pPr>
              <w:pStyle w:val="Compact"/>
              <w:spacing w:before="20" w:after="20" w:line="240" w:lineRule="auto"/>
              <w:jc w:val="center"/>
              <w:keepNext/>
            </w:pPr>
            <w:r>
              <w:rPr>
                <w:sz w:val="13"/>
                <w:szCs w:val="13"/>
              </w:rPr>
              <w:t xml:space="preserve">−774.5</w:t>
            </w:r>
          </w:p>
        </w:tc>
        <w:tc>
          <w:tcPr>
            <w:tcW w:type="dxa" w:w="980"/>
          </w:tcPr>
          <w:p>
            <w:pPr>
              <w:pStyle w:val="Compact"/>
              <w:spacing w:before="20" w:after="20" w:line="240" w:lineRule="auto"/>
              <w:jc w:val="center"/>
              <w:keepNext/>
            </w:pPr>
            <w:r>
              <w:rPr>
                <w:sz w:val="13"/>
                <w:szCs w:val="13"/>
              </w:rPr>
              <w:t xml:space="preserve">−829.4</w:t>
            </w:r>
          </w:p>
        </w:tc>
        <w:tc>
          <w:tcPr>
            <w:tcW w:type="dxa" w:w="1267"/>
          </w:tcPr>
          <w:p>
            <w:pPr>
              <w:pStyle w:val="Compact"/>
              <w:spacing w:before="20" w:after="20" w:line="240" w:lineRule="auto"/>
              <w:jc w:val="center"/>
              <w:keepNext/>
            </w:pPr>
            <w:r>
              <w:rPr>
                <w:sz w:val="13"/>
                <w:szCs w:val="13"/>
              </w:rPr>
              <w:t xml:space="preserve">−425.3</w:t>
            </w:r>
          </w:p>
        </w:tc>
        <w:tc>
          <w:tcPr>
            <w:tcW w:type="dxa" w:w="1460"/>
          </w:tcPr>
          <w:p>
            <w:pPr>
              <w:pStyle w:val="Compact"/>
              <w:spacing w:before="20" w:after="20" w:line="240" w:lineRule="auto"/>
              <w:jc w:val="center"/>
              <w:keepNext/>
            </w:pPr>
            <w:r>
              <w:rPr>
                <w:sz w:val="13"/>
                <w:szCs w:val="13"/>
              </w:rPr>
              <w:t xml:space="preserve">−755.9</w:t>
            </w:r>
          </w:p>
        </w:tc>
        <w:tc>
          <w:tcPr>
            <w:tcW w:type="dxa" w:w="1026"/>
          </w:tcPr>
          <w:p>
            <w:pPr>
              <w:pStyle w:val="Compact"/>
              <w:spacing w:before="20" w:after="20" w:line="240" w:lineRule="auto"/>
              <w:jc w:val="center"/>
              <w:keepNext/>
            </w:pPr>
            <w:r>
              <w:rPr>
                <w:sz w:val="13"/>
                <w:szCs w:val="13"/>
              </w:rPr>
              <w:t xml:space="preserve">−682.7</w:t>
            </w:r>
          </w:p>
        </w:tc>
        <w:tc>
          <w:tcPr>
            <w:tcW w:type="dxa" w:w="962"/>
          </w:tcPr>
          <w:p>
            <w:pPr>
              <w:pStyle w:val="Compact"/>
              <w:spacing w:before="20" w:after="20" w:line="240" w:lineRule="auto"/>
              <w:jc w:val="center"/>
              <w:keepNext/>
            </w:pPr>
            <w:r>
              <w:rPr>
                <w:sz w:val="13"/>
                <w:szCs w:val="13"/>
              </w:rPr>
              <w:t xml:space="preserve">−364.0</w:t>
            </w:r>
          </w:p>
        </w:tc>
        <w:tc>
          <w:tcPr>
            <w:tcW w:type="dxa" w:w="999"/>
          </w:tcPr>
          <w:p>
            <w:pPr>
              <w:pStyle w:val="Compact"/>
              <w:spacing w:before="20" w:after="20" w:line="240" w:lineRule="auto"/>
              <w:jc w:val="center"/>
              <w:keepNext/>
            </w:pPr>
            <w:r>
              <w:rPr>
                <w:sz w:val="13"/>
                <w:szCs w:val="13"/>
              </w:rPr>
              <w:t xml:space="preserve">−683.0</w:t>
            </w:r>
          </w:p>
        </w:tc>
      </w:tr>
    </w:tbl>
    <w:p>
      <w:pPr>
        <w:pStyle w:val="BodyText"/>
        <w:keepNext/>
      </w:pPr>
      <w:r>
        <w:rPr>
          <w:b/>
          <w:bCs/>
          <w:sz w:val="20"/>
          <w:szCs w:val="20"/>
        </w:rPr>
        <w:t xml:space="preserve">Table S5.</w:t>
      </w:r>
      <w:r>
        <w:rPr>
          <w:sz w:val="20"/>
          <w:szCs w:val="20"/>
        </w:rPr>
        <w:t xml:space="preserve"> </w:t>
      </w:r>
      <w:r>
        <w:rPr>
          <w:sz w:val="20"/>
          <w:szCs w:val="20"/>
        </w:rPr>
        <w:t xml:space="preserve">Process-only-type equation of the multinomial logit: Relative risk ratios by sample and variable (base category = bonding-only; filing office dummies included; standard errors of the logit coefficients in parentheses; * p &lt; 0.10, ** p &lt; 0.05, *** p &lt; 0.01).</w:t>
      </w:r>
    </w:p>
    <w:tbl>
      <w:tblPr>
        <w:tblStyle w:val="Table"/>
        <w:tblW w:type="dxa" w:w="9075"/>
        <w:tblLayout w:type="fixed"/>
        <w:tblLook w:firstRow="1" w:lastRow="0" w:firstColumn="0" w:lastColumn="0" w:noHBand="0" w:noVBand="0" w:val="0020"/>
        <w:tblCellMar>
          <w:top w:w="20" w:type="dxa"/>
          <w:bottom w:w="20" w:type="dxa"/>
          <w:left w:w="60" w:type="dxa"/>
          <w:right w:w="60" w:type="dxa"/>
        </w:tblCellMar>
        <w:tblBorders>
          <w:top w:val="single" w:sz="8" w:space="0" w:color="000000"/>
          <w:bottom w:val="single" w:sz="8" w:space="0" w:color="000000"/>
          <w:left w:val="nil"/>
          <w:right w:val="nil"/>
          <w:insideH w:val="nil"/>
          <w:insideV w:val="nil"/>
        </w:tblBorders>
      </w:tblPr>
      <w:tblGrid>
        <w:gridCol w:w="1418"/>
        <w:gridCol w:w="994"/>
        <w:gridCol w:w="994"/>
        <w:gridCol w:w="1267"/>
        <w:gridCol w:w="1483"/>
        <w:gridCol w:w="1028"/>
        <w:gridCol w:w="880"/>
        <w:gridCol w:w="1011"/>
      </w:tblGrid>
      <w:tr>
        <w:trPr>
          <w:tblHeader w:val="on"/>
          <w:cantSplit/>
        </w:trPr>
        <w:tc>
          <w:tcPr>
            <w:tcW w:type="dxa" w:w="1418"/>
            <w:tcBorders>
              <w:bottom w:val="single" w:sz="4" w:space="0" w:color="000000"/>
            </w:tcBorders>
          </w:tcPr>
          <w:p>
            <w:pPr>
              <w:pStyle w:val="Compact"/>
              <w:spacing w:before="20" w:after="20" w:line="240" w:lineRule="auto"/>
              <w:keepNext/>
            </w:pPr>
          </w:p>
        </w:tc>
        <w:tc>
          <w:tcPr>
            <w:tcW w:type="dxa" w:w="994"/>
            <w:tcBorders>
              <w:bottom w:val="single" w:sz="4" w:space="0" w:color="000000"/>
            </w:tcBorders>
          </w:tcPr>
          <w:p>
            <w:pPr>
              <w:pStyle w:val="Compact"/>
              <w:spacing w:before="20" w:after="20" w:line="240" w:lineRule="auto"/>
              <w:jc w:val="center"/>
              <w:keepNext/>
            </w:pPr>
            <w:r>
              <w:rPr>
                <w:sz w:val="13"/>
                <w:szCs w:val="13"/>
              </w:rPr>
              <w:t xml:space="preserve">Baseline</w:t>
            </w:r>
          </w:p>
        </w:tc>
        <w:tc>
          <w:tcPr>
            <w:tcW w:type="dxa" w:w="994"/>
            <w:tcBorders>
              <w:bottom w:val="single" w:sz="4" w:space="0" w:color="000000"/>
            </w:tcBorders>
          </w:tcPr>
          <w:p>
            <w:pPr>
              <w:pStyle w:val="Compact"/>
              <w:spacing w:before="20" w:after="20" w:line="240" w:lineRule="auto"/>
              <w:jc w:val="center"/>
              <w:keepNext/>
            </w:pPr>
            <w:r>
              <w:rPr>
                <w:sz w:val="13"/>
                <w:szCs w:val="13"/>
              </w:rPr>
              <w:t xml:space="preserve">Adjusted scope</w:t>
            </w:r>
          </w:p>
        </w:tc>
        <w:tc>
          <w:tcPr>
            <w:tcW w:type="dxa" w:w="1267"/>
            <w:tcBorders>
              <w:bottom w:val="single" w:sz="4" w:space="0" w:color="000000"/>
            </w:tcBorders>
          </w:tcPr>
          <w:p>
            <w:pPr>
              <w:pStyle w:val="Compact"/>
              <w:spacing w:before="20" w:after="20" w:line="240" w:lineRule="auto"/>
              <w:jc w:val="center"/>
              <w:keepNext/>
            </w:pPr>
            <w:r>
              <w:rPr>
                <w:sz w:val="13"/>
                <w:szCs w:val="13"/>
              </w:rPr>
              <w:t xml:space="preserve">Same-title deduplication</w:t>
            </w:r>
          </w:p>
        </w:tc>
        <w:tc>
          <w:tcPr>
            <w:tcW w:type="dxa" w:w="1483"/>
            <w:tcBorders>
              <w:bottom w:val="single" w:sz="4" w:space="0" w:color="000000"/>
            </w:tcBorders>
          </w:tcPr>
          <w:p>
            <w:pPr>
              <w:pStyle w:val="Compact"/>
              <w:spacing w:before="20" w:after="20" w:line="240" w:lineRule="auto"/>
              <w:jc w:val="center"/>
              <w:keepNext/>
            </w:pPr>
            <w:r>
              <w:rPr>
                <w:sz w:val="13"/>
                <w:szCs w:val="13"/>
              </w:rPr>
              <w:t xml:space="preserve">Narrow fabrication-process definition</w:t>
            </w:r>
          </w:p>
        </w:tc>
        <w:tc>
          <w:tcPr>
            <w:tcW w:type="dxa" w:w="1028"/>
            <w:tcBorders>
              <w:bottom w:val="single" w:sz="4" w:space="0" w:color="000000"/>
            </w:tcBorders>
          </w:tcPr>
          <w:p>
            <w:pPr>
              <w:pStyle w:val="Compact"/>
              <w:spacing w:before="20" w:after="20" w:line="240" w:lineRule="auto"/>
              <w:jc w:val="center"/>
              <w:keepNext/>
            </w:pPr>
            <w:r>
              <w:rPr>
                <w:sz w:val="13"/>
                <w:szCs w:val="13"/>
              </w:rPr>
              <w:t xml:space="preserve">Irrelevant uses excluded</w:t>
            </w:r>
          </w:p>
        </w:tc>
        <w:tc>
          <w:tcPr>
            <w:tcW w:type="dxa" w:w="880"/>
            <w:tcBorders>
              <w:bottom w:val="single" w:sz="4" w:space="0" w:color="000000"/>
            </w:tcBorders>
          </w:tcPr>
          <w:p>
            <w:pPr>
              <w:pStyle w:val="Compact"/>
              <w:spacing w:before="20" w:after="20" w:line="240" w:lineRule="auto"/>
              <w:jc w:val="center"/>
              <w:keepNext/>
            </w:pPr>
            <w:r>
              <w:rPr>
                <w:i/>
                <w:iCs/>
                <w:sz w:val="13"/>
                <w:szCs w:val="13"/>
              </w:rPr>
              <w:t xml:space="preserve">hybrid bonding</w:t>
            </w:r>
            <w:r>
              <w:rPr>
                <w:sz w:val="13"/>
                <w:szCs w:val="13"/>
              </w:rPr>
              <w:t xml:space="preserve"> </w:t>
            </w:r>
            <w:r>
              <w:rPr>
                <w:sz w:val="13"/>
                <w:szCs w:val="13"/>
              </w:rPr>
              <w:t xml:space="preserve">sample</w:t>
            </w:r>
          </w:p>
        </w:tc>
        <w:tc>
          <w:tcPr>
            <w:tcW w:type="dxa" w:w="1011"/>
            <w:tcBorders>
              <w:bottom w:val="single" w:sz="4" w:space="0" w:color="000000"/>
            </w:tcBorders>
          </w:tcPr>
          <w:p>
            <w:pPr>
              <w:pStyle w:val="Compact"/>
              <w:spacing w:before="20" w:after="20" w:line="240" w:lineRule="auto"/>
              <w:jc w:val="center"/>
              <w:keepNext/>
            </w:pPr>
            <w:r>
              <w:rPr>
                <w:sz w:val="13"/>
                <w:szCs w:val="13"/>
              </w:rPr>
              <w:t xml:space="preserve">2010–2024</w:t>
            </w:r>
          </w:p>
        </w:tc>
      </w:tr>
      <w:tr>
        <w:trPr>
          <w:cantSplit/>
        </w:trPr>
        <w:tc>
          <w:tcPr>
            <w:tcW w:type="dxa" w:w="1418"/>
          </w:tcPr>
          <w:p>
            <w:pPr>
              <w:pStyle w:val="Compact"/>
              <w:spacing w:before="20" w:after="20" w:line="240" w:lineRule="auto"/>
              <w:keepNext/>
            </w:pPr>
            <w:r>
              <w:rPr>
                <w:sz w:val="13"/>
                <w:szCs w:val="13"/>
              </w:rPr>
              <w:t xml:space="preserve">Technological scope</w:t>
            </w:r>
          </w:p>
        </w:tc>
        <w:tc>
          <w:tcPr>
            <w:tcW w:type="dxa" w:w="994"/>
          </w:tcPr>
          <w:p>
            <w:pPr>
              <w:pStyle w:val="Compact"/>
              <w:spacing w:before="20" w:after="20" w:line="240" w:lineRule="auto"/>
              <w:jc w:val="center"/>
              <w:keepNext/>
            </w:pPr>
            <w:r>
              <w:rPr>
                <w:sz w:val="13"/>
                <w:szCs w:val="13"/>
              </w:rPr>
              <w:t xml:space="preserve">0.905** (0.048)</w:t>
            </w:r>
          </w:p>
        </w:tc>
        <w:tc>
          <w:tcPr>
            <w:tcW w:type="dxa" w:w="994"/>
          </w:tcPr>
          <w:p>
            <w:pPr>
              <w:pStyle w:val="Compact"/>
              <w:spacing w:before="20" w:after="20" w:line="240" w:lineRule="auto"/>
              <w:jc w:val="center"/>
              <w:keepNext/>
            </w:pPr>
            <w:r>
              <w:rPr>
                <w:sz w:val="13"/>
                <w:szCs w:val="13"/>
              </w:rPr>
              <w:t xml:space="preserve">0.915** (0.044)</w:t>
            </w:r>
          </w:p>
        </w:tc>
        <w:tc>
          <w:tcPr>
            <w:tcW w:type="dxa" w:w="1267"/>
          </w:tcPr>
          <w:p>
            <w:pPr>
              <w:pStyle w:val="Compact"/>
              <w:spacing w:before="20" w:after="20" w:line="240" w:lineRule="auto"/>
              <w:jc w:val="center"/>
              <w:keepNext/>
            </w:pPr>
            <w:r>
              <w:rPr>
                <w:sz w:val="13"/>
                <w:szCs w:val="13"/>
              </w:rPr>
              <w:t xml:space="preserve">0.826*** (0.061)</w:t>
            </w:r>
          </w:p>
        </w:tc>
        <w:tc>
          <w:tcPr>
            <w:tcW w:type="dxa" w:w="1483"/>
          </w:tcPr>
          <w:p>
            <w:pPr>
              <w:pStyle w:val="Compact"/>
              <w:spacing w:before="20" w:after="20" w:line="240" w:lineRule="auto"/>
              <w:jc w:val="center"/>
              <w:keepNext/>
            </w:pPr>
            <w:r>
              <w:rPr>
                <w:sz w:val="13"/>
                <w:szCs w:val="13"/>
              </w:rPr>
              <w:t xml:space="preserve">0.923* (0.045)</w:t>
            </w:r>
          </w:p>
        </w:tc>
        <w:tc>
          <w:tcPr>
            <w:tcW w:type="dxa" w:w="1028"/>
          </w:tcPr>
          <w:p>
            <w:pPr>
              <w:pStyle w:val="Compact"/>
              <w:spacing w:before="20" w:after="20" w:line="240" w:lineRule="auto"/>
              <w:jc w:val="center"/>
              <w:keepNext/>
            </w:pPr>
            <w:r>
              <w:rPr>
                <w:sz w:val="13"/>
                <w:szCs w:val="13"/>
              </w:rPr>
              <w:t xml:space="preserve">0.916* (0.050)</w:t>
            </w:r>
          </w:p>
        </w:tc>
        <w:tc>
          <w:tcPr>
            <w:tcW w:type="dxa" w:w="880"/>
          </w:tcPr>
          <w:p>
            <w:pPr>
              <w:pStyle w:val="Compact"/>
              <w:spacing w:before="20" w:after="20" w:line="240" w:lineRule="auto"/>
              <w:jc w:val="center"/>
              <w:keepNext/>
            </w:pPr>
            <w:r>
              <w:rPr>
                <w:sz w:val="13"/>
                <w:szCs w:val="13"/>
              </w:rPr>
              <w:t xml:space="preserve">1.129* (0.062)</w:t>
            </w:r>
          </w:p>
        </w:tc>
        <w:tc>
          <w:tcPr>
            <w:tcW w:type="dxa" w:w="1011"/>
          </w:tcPr>
          <w:p>
            <w:pPr>
              <w:pStyle w:val="Compact"/>
              <w:spacing w:before="20" w:after="20" w:line="240" w:lineRule="auto"/>
              <w:jc w:val="center"/>
              <w:keepNext/>
            </w:pPr>
            <w:r>
              <w:rPr>
                <w:sz w:val="13"/>
                <w:szCs w:val="13"/>
              </w:rPr>
              <w:t xml:space="preserve">0.910* (0.051)</w:t>
            </w:r>
          </w:p>
        </w:tc>
      </w:tr>
      <w:tr>
        <w:trPr>
          <w:cantSplit/>
        </w:trPr>
        <w:tc>
          <w:tcPr>
            <w:tcW w:type="dxa" w:w="1418"/>
          </w:tcPr>
          <w:p>
            <w:pPr>
              <w:pStyle w:val="Compact"/>
              <w:spacing w:before="20" w:after="20" w:line="240" w:lineRule="auto"/>
              <w:keepNext/>
            </w:pPr>
            <w:r>
              <w:rPr>
                <w:sz w:val="13"/>
                <w:szCs w:val="13"/>
              </w:rPr>
              <w:t xml:space="preserve">Filing year (yc)</w:t>
            </w:r>
          </w:p>
        </w:tc>
        <w:tc>
          <w:tcPr>
            <w:tcW w:type="dxa" w:w="994"/>
          </w:tcPr>
          <w:p>
            <w:pPr>
              <w:pStyle w:val="Compact"/>
              <w:spacing w:before="20" w:after="20" w:line="240" w:lineRule="auto"/>
              <w:jc w:val="center"/>
              <w:keepNext/>
            </w:pPr>
            <w:r>
              <w:rPr>
                <w:sz w:val="13"/>
                <w:szCs w:val="13"/>
              </w:rPr>
              <w:t xml:space="preserve">0.913*** (0.015)</w:t>
            </w:r>
          </w:p>
        </w:tc>
        <w:tc>
          <w:tcPr>
            <w:tcW w:type="dxa" w:w="994"/>
          </w:tcPr>
          <w:p>
            <w:pPr>
              <w:pStyle w:val="Compact"/>
              <w:spacing w:before="20" w:after="20" w:line="240" w:lineRule="auto"/>
              <w:jc w:val="center"/>
              <w:keepNext/>
            </w:pPr>
            <w:r>
              <w:rPr>
                <w:sz w:val="13"/>
                <w:szCs w:val="13"/>
              </w:rPr>
              <w:t xml:space="preserve">0.911*** (0.015)</w:t>
            </w:r>
          </w:p>
        </w:tc>
        <w:tc>
          <w:tcPr>
            <w:tcW w:type="dxa" w:w="1267"/>
          </w:tcPr>
          <w:p>
            <w:pPr>
              <w:pStyle w:val="Compact"/>
              <w:spacing w:before="20" w:after="20" w:line="240" w:lineRule="auto"/>
              <w:jc w:val="center"/>
              <w:keepNext/>
            </w:pPr>
            <w:r>
              <w:rPr>
                <w:sz w:val="13"/>
                <w:szCs w:val="13"/>
              </w:rPr>
              <w:t xml:space="preserve">0.935*** (0.016)</w:t>
            </w:r>
          </w:p>
        </w:tc>
        <w:tc>
          <w:tcPr>
            <w:tcW w:type="dxa" w:w="1483"/>
          </w:tcPr>
          <w:p>
            <w:pPr>
              <w:pStyle w:val="Compact"/>
              <w:spacing w:before="20" w:after="20" w:line="240" w:lineRule="auto"/>
              <w:jc w:val="center"/>
              <w:keepNext/>
            </w:pPr>
            <w:r>
              <w:rPr>
                <w:sz w:val="13"/>
                <w:szCs w:val="13"/>
              </w:rPr>
              <w:t xml:space="preserve">0.898*** (0.015)</w:t>
            </w:r>
          </w:p>
        </w:tc>
        <w:tc>
          <w:tcPr>
            <w:tcW w:type="dxa" w:w="1028"/>
          </w:tcPr>
          <w:p>
            <w:pPr>
              <w:pStyle w:val="Compact"/>
              <w:spacing w:before="20" w:after="20" w:line="240" w:lineRule="auto"/>
              <w:jc w:val="center"/>
              <w:keepNext/>
            </w:pPr>
            <w:r>
              <w:rPr>
                <w:sz w:val="13"/>
                <w:szCs w:val="13"/>
              </w:rPr>
              <w:t xml:space="preserve">0.820*** (0.023)</w:t>
            </w:r>
          </w:p>
        </w:tc>
        <w:tc>
          <w:tcPr>
            <w:tcW w:type="dxa" w:w="880"/>
          </w:tcPr>
          <w:p>
            <w:pPr>
              <w:pStyle w:val="Compact"/>
              <w:spacing w:before="20" w:after="20" w:line="240" w:lineRule="auto"/>
              <w:jc w:val="center"/>
              <w:keepNext/>
            </w:pPr>
            <w:r>
              <w:rPr>
                <w:sz w:val="13"/>
                <w:szCs w:val="13"/>
              </w:rPr>
              <w:t xml:space="preserve">1.029 (0.057)</w:t>
            </w:r>
          </w:p>
        </w:tc>
        <w:tc>
          <w:tcPr>
            <w:tcW w:type="dxa" w:w="1011"/>
          </w:tcPr>
          <w:p>
            <w:pPr>
              <w:pStyle w:val="Compact"/>
              <w:spacing w:before="20" w:after="20" w:line="240" w:lineRule="auto"/>
              <w:jc w:val="center"/>
              <w:keepNext/>
            </w:pPr>
            <w:r>
              <w:rPr>
                <w:sz w:val="13"/>
                <w:szCs w:val="13"/>
              </w:rPr>
              <w:t xml:space="preserve">0.862*** (0.033)</w:t>
            </w:r>
          </w:p>
        </w:tc>
      </w:tr>
      <w:tr>
        <w:trPr>
          <w:cantSplit/>
        </w:trPr>
        <w:tc>
          <w:tcPr>
            <w:tcW w:type="dxa" w:w="1418"/>
          </w:tcPr>
          <w:p>
            <w:pPr>
              <w:pStyle w:val="Compact"/>
              <w:spacing w:before="20" w:after="20" w:line="240" w:lineRule="auto"/>
              <w:keepNext/>
            </w:pPr>
            <w:r>
              <w:rPr>
                <w:sz w:val="13"/>
                <w:szCs w:val="13"/>
              </w:rPr>
              <w:t xml:space="preserve">N</w:t>
            </w:r>
          </w:p>
        </w:tc>
        <w:tc>
          <w:tcPr>
            <w:tcW w:type="dxa" w:w="994"/>
          </w:tcPr>
          <w:p>
            <w:pPr>
              <w:pStyle w:val="Compact"/>
              <w:spacing w:before="20" w:after="20" w:line="240" w:lineRule="auto"/>
              <w:jc w:val="center"/>
              <w:keepNext/>
            </w:pPr>
            <w:r>
              <w:rPr>
                <w:sz w:val="13"/>
                <w:szCs w:val="13"/>
              </w:rPr>
              <w:t xml:space="preserve">928</w:t>
            </w:r>
          </w:p>
        </w:tc>
        <w:tc>
          <w:tcPr>
            <w:tcW w:type="dxa" w:w="994"/>
          </w:tcPr>
          <w:p>
            <w:pPr>
              <w:pStyle w:val="Compact"/>
              <w:spacing w:before="20" w:after="20" w:line="240" w:lineRule="auto"/>
              <w:jc w:val="center"/>
              <w:keepNext/>
            </w:pPr>
            <w:r>
              <w:rPr>
                <w:sz w:val="13"/>
                <w:szCs w:val="13"/>
              </w:rPr>
              <w:t xml:space="preserve">928</w:t>
            </w:r>
          </w:p>
        </w:tc>
        <w:tc>
          <w:tcPr>
            <w:tcW w:type="dxa" w:w="1267"/>
          </w:tcPr>
          <w:p>
            <w:pPr>
              <w:pStyle w:val="Compact"/>
              <w:spacing w:before="20" w:after="20" w:line="240" w:lineRule="auto"/>
              <w:jc w:val="center"/>
              <w:keepNext/>
            </w:pPr>
            <w:r>
              <w:rPr>
                <w:sz w:val="13"/>
                <w:szCs w:val="13"/>
              </w:rPr>
              <w:t xml:space="preserve">473</w:t>
            </w:r>
          </w:p>
        </w:tc>
        <w:tc>
          <w:tcPr>
            <w:tcW w:type="dxa" w:w="1483"/>
          </w:tcPr>
          <w:p>
            <w:pPr>
              <w:pStyle w:val="Compact"/>
              <w:spacing w:before="20" w:after="20" w:line="240" w:lineRule="auto"/>
              <w:jc w:val="center"/>
              <w:keepNext/>
            </w:pPr>
            <w:r>
              <w:rPr>
                <w:sz w:val="13"/>
                <w:szCs w:val="13"/>
              </w:rPr>
              <w:t xml:space="preserve">908</w:t>
            </w:r>
          </w:p>
        </w:tc>
        <w:tc>
          <w:tcPr>
            <w:tcW w:type="dxa" w:w="1028"/>
          </w:tcPr>
          <w:p>
            <w:pPr>
              <w:pStyle w:val="Compact"/>
              <w:spacing w:before="20" w:after="20" w:line="240" w:lineRule="auto"/>
              <w:jc w:val="center"/>
              <w:keepNext/>
            </w:pPr>
            <w:r>
              <w:rPr>
                <w:sz w:val="13"/>
                <w:szCs w:val="13"/>
              </w:rPr>
              <w:t xml:space="preserve">860</w:t>
            </w:r>
          </w:p>
        </w:tc>
        <w:tc>
          <w:tcPr>
            <w:tcW w:type="dxa" w:w="880"/>
          </w:tcPr>
          <w:p>
            <w:pPr>
              <w:pStyle w:val="Compact"/>
              <w:spacing w:before="20" w:after="20" w:line="240" w:lineRule="auto"/>
              <w:jc w:val="center"/>
              <w:keepNext/>
            </w:pPr>
            <w:r>
              <w:rPr>
                <w:sz w:val="13"/>
                <w:szCs w:val="13"/>
              </w:rPr>
              <w:t xml:space="preserve">467</w:t>
            </w:r>
          </w:p>
        </w:tc>
        <w:tc>
          <w:tcPr>
            <w:tcW w:type="dxa" w:w="1011"/>
          </w:tcPr>
          <w:p>
            <w:pPr>
              <w:pStyle w:val="Compact"/>
              <w:spacing w:before="20" w:after="20" w:line="240" w:lineRule="auto"/>
              <w:jc w:val="center"/>
              <w:keepNext/>
            </w:pPr>
            <w:r>
              <w:rPr>
                <w:sz w:val="13"/>
                <w:szCs w:val="13"/>
              </w:rPr>
              <w:t xml:space="preserve">830</w:t>
            </w:r>
          </w:p>
        </w:tc>
      </w:tr>
      <w:tr>
        <w:trPr>
          <w:cantSplit/>
        </w:trPr>
        <w:tc>
          <w:tcPr>
            <w:tcW w:type="dxa" w:w="1418"/>
          </w:tcPr>
          <w:p>
            <w:pPr>
              <w:pStyle w:val="Compact"/>
              <w:spacing w:before="20" w:after="20" w:line="240" w:lineRule="auto"/>
              <w:keepNext/>
            </w:pPr>
            <w:r>
              <w:rPr>
                <w:sz w:val="13"/>
                <w:szCs w:val="13"/>
              </w:rPr>
              <w:t xml:space="preserve">Log-likelihood</w:t>
            </w:r>
          </w:p>
        </w:tc>
        <w:tc>
          <w:tcPr>
            <w:tcW w:type="dxa" w:w="994"/>
          </w:tcPr>
          <w:p>
            <w:pPr>
              <w:pStyle w:val="Compact"/>
              <w:spacing w:before="20" w:after="20" w:line="240" w:lineRule="auto"/>
              <w:jc w:val="center"/>
              <w:keepNext/>
            </w:pPr>
            <w:r>
              <w:rPr>
                <w:sz w:val="13"/>
                <w:szCs w:val="13"/>
              </w:rPr>
              <w:t xml:space="preserve">−774.5</w:t>
            </w:r>
          </w:p>
        </w:tc>
        <w:tc>
          <w:tcPr>
            <w:tcW w:type="dxa" w:w="994"/>
          </w:tcPr>
          <w:p>
            <w:pPr>
              <w:pStyle w:val="Compact"/>
              <w:spacing w:before="20" w:after="20" w:line="240" w:lineRule="auto"/>
              <w:jc w:val="center"/>
              <w:keepNext/>
            </w:pPr>
            <w:r>
              <w:rPr>
                <w:sz w:val="13"/>
                <w:szCs w:val="13"/>
              </w:rPr>
              <w:t xml:space="preserve">−829.4</w:t>
            </w:r>
          </w:p>
        </w:tc>
        <w:tc>
          <w:tcPr>
            <w:tcW w:type="dxa" w:w="1267"/>
          </w:tcPr>
          <w:p>
            <w:pPr>
              <w:pStyle w:val="Compact"/>
              <w:spacing w:before="20" w:after="20" w:line="240" w:lineRule="auto"/>
              <w:jc w:val="center"/>
              <w:keepNext/>
            </w:pPr>
            <w:r>
              <w:rPr>
                <w:sz w:val="13"/>
                <w:szCs w:val="13"/>
              </w:rPr>
              <w:t xml:space="preserve">−425.3</w:t>
            </w:r>
          </w:p>
        </w:tc>
        <w:tc>
          <w:tcPr>
            <w:tcW w:type="dxa" w:w="1483"/>
          </w:tcPr>
          <w:p>
            <w:pPr>
              <w:pStyle w:val="Compact"/>
              <w:spacing w:before="20" w:after="20" w:line="240" w:lineRule="auto"/>
              <w:jc w:val="center"/>
              <w:keepNext/>
            </w:pPr>
            <w:r>
              <w:rPr>
                <w:sz w:val="13"/>
                <w:szCs w:val="13"/>
              </w:rPr>
              <w:t xml:space="preserve">−755.9</w:t>
            </w:r>
          </w:p>
        </w:tc>
        <w:tc>
          <w:tcPr>
            <w:tcW w:type="dxa" w:w="1028"/>
          </w:tcPr>
          <w:p>
            <w:pPr>
              <w:pStyle w:val="Compact"/>
              <w:spacing w:before="20" w:after="20" w:line="240" w:lineRule="auto"/>
              <w:jc w:val="center"/>
              <w:keepNext/>
            </w:pPr>
            <w:r>
              <w:rPr>
                <w:sz w:val="13"/>
                <w:szCs w:val="13"/>
              </w:rPr>
              <w:t xml:space="preserve">−682.7</w:t>
            </w:r>
          </w:p>
        </w:tc>
        <w:tc>
          <w:tcPr>
            <w:tcW w:type="dxa" w:w="880"/>
          </w:tcPr>
          <w:p>
            <w:pPr>
              <w:pStyle w:val="Compact"/>
              <w:spacing w:before="20" w:after="20" w:line="240" w:lineRule="auto"/>
              <w:jc w:val="center"/>
              <w:keepNext/>
            </w:pPr>
            <w:r>
              <w:rPr>
                <w:sz w:val="13"/>
                <w:szCs w:val="13"/>
              </w:rPr>
              <w:t xml:space="preserve">−364.0</w:t>
            </w:r>
          </w:p>
        </w:tc>
        <w:tc>
          <w:tcPr>
            <w:tcW w:type="dxa" w:w="1011"/>
          </w:tcPr>
          <w:p>
            <w:pPr>
              <w:pStyle w:val="Compact"/>
              <w:spacing w:before="20" w:after="20" w:line="240" w:lineRule="auto"/>
              <w:jc w:val="center"/>
              <w:keepNext/>
            </w:pPr>
            <w:r>
              <w:rPr>
                <w:sz w:val="13"/>
                <w:szCs w:val="13"/>
              </w:rPr>
              <w:t xml:space="preserve">−683.0</w:t>
            </w:r>
          </w:p>
        </w:tc>
      </w:tr>
    </w:tbl>
    <w:p>
      <w:pPr>
        <w:pStyle w:val="BodyText"/>
      </w:pPr>
      <w:r>
        <w:rPr>
          <w:b/>
          <w:bCs/>
        </w:rPr>
        <w:t xml:space="preserve">Alternative-exclusion sensitivity analysis.</w:t>
      </w:r>
      <w:r>
        <w:t xml:space="preserve"> </w:t>
      </w:r>
      <w:r>
        <w:t xml:space="preserve">To examine indirectly the sensitivity to the IIA assumption, a binary logit of integrated versus bonding-only was estimated on the sample excluding the process-only type (N = 763). The odds ratio of technological scope was 1.463 and that of filing year 0.987, similar in direction and relative magnitude to the values in the integrated-type equation of the multinomial logit (1.403 and 0.993). The substantive interpretation of the results for the integrated type can thus be regarded as largely unchanged when the process-only type is excluded, although this analysis does not replace a formal IIA test (Hausman–McFadden or Small–Hsiao). The core technology model in the main text also uses this sample.</w:t>
      </w:r>
    </w:p>
    <w:bookmarkEnd w:id="11"/>
    <w:bookmarkEnd w:id="12"/>
    <w:sectPr>
      <w:footnotePr>
        <w:numRestart w:val="eachSect"/>
      </w:footnotePr>
      <w:pgSz w:w="11906" w:h="16838"/>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2026-10-15T11:19:03Z</dcterms:created>
  <dcterms:modified xsi:type="dcterms:W3CDTF">2026-10-15T11:19:03Z</dcterms:modified>
  <cp:lastModifiedBy/>
  <dc:description/>
</cp:coreProperties>
</file>

<file path=docProps/custom.xml><?xml version="1.0" encoding="utf-8"?>
<Properties xmlns="http://schemas.openxmlformats.org/officeDocument/2006/custom-properties" xmlns:vt="http://schemas.openxmlformats.org/officeDocument/2006/docPropsVTypes"/>
</file>