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rFonts w:ascii="Times New Roman" w:hAnsi="Times New Roman" w:cs="Times New Roman"/>
          <w:b/>
          <w:bCs/>
          <w:color w:val="000000"/>
          <w:sz w:val="28"/>
        </w:rPr>
        <w:t xml:space="preserve">반도체 하이브리드 본딩의 공정 단계 간 기술융합과 지식 통합: 특허 기반 종단 분석</w:t>
      </w:r>
    </w:p>
    <w:p>
      <w:pPr>
        <w:pStyle w:val="BodyText"/>
      </w:pPr>
      <w:r>
        <w:rPr>
          <w:b/>
          <w:bCs/>
        </w:rPr>
        <w:t xml:space="preserve">Cross-stage technology convergence as knowledge integration in semiconductor hybrid bonding: A patent-based longitudinal analysis</w:t>
      </w:r>
    </w:p>
    <w:p>
      <w:r>
        <w:pict>
          <v:rect style="width:0;height:1.5pt" o:hralign="center" o:hrstd="t" o:hr="t"/>
        </w:pict>
      </w:r>
    </w:p>
    <w:bookmarkStart w:id="12" w:name="보충자료"/>
    <w:p>
      <w:pPr>
        <w:pStyle w:val="Heading2"/>
      </w:pPr>
      <w:r>
        <w:t xml:space="preserve">보충자료</w:t>
      </w:r>
    </w:p>
    <w:bookmarkStart w:id="9" w:name="s1.-표본-구축-검색-전략과-검색어의-무관한-용법"/>
    <w:p>
      <w:pPr>
        <w:pStyle w:val="Heading3"/>
      </w:pPr>
      <w:r>
        <w:t xml:space="preserve">S1. 표본 구축: 검색 전략과 검색어의 무관한 용법</w:t>
      </w:r>
    </w:p>
    <w:p>
      <w:pPr>
        <w:pStyle w:val="FirstParagraph"/>
      </w:pPr>
      <w:r>
        <w:t xml:space="preserve">표 S1은 하이브리드 본딩 관련 특허의 검색 전략이다.</w:t>
      </w:r>
    </w:p>
    <w:p>
      <w:pPr>
        <w:pStyle w:val="BodyText"/>
        <w:keepNext/>
      </w:pPr>
      <w:r>
        <w:rPr>
          <w:b/>
          <w:bCs/>
          <w:sz w:val="20"/>
          <w:szCs w:val="20"/>
        </w:rPr>
        <w:t xml:space="preserve">표 S1.</w:t>
      </w:r>
      <w:r>
        <w:rPr>
          <w:sz w:val="20"/>
          <w:szCs w:val="20"/>
        </w:rPr>
        <w:t xml:space="preserve"> </w:t>
      </w:r>
      <w:r>
        <w:rPr>
          <w:sz w:val="20"/>
          <w:szCs w:val="20"/>
        </w:rPr>
        <w:t xml:space="preserve">하이브리드 본딩 관련 특허의 검색 전략.</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217"/>
        <w:gridCol w:w="1209"/>
        <w:gridCol w:w="5643"/>
      </w:tblGrid>
      <w:tr>
        <w:trPr>
          <w:tblHeader w:val="on"/>
          <w:cantSplit/>
        </w:trPr>
        <w:tc>
          <w:tcPr>
            <w:tcW w:type="dxa" w:w="2217"/>
            <w:tcBorders>
              <w:bottom w:val="single" w:sz="4" w:space="0" w:color="000000"/>
            </w:tcBorders>
          </w:tcPr>
          <w:p>
            <w:pPr>
              <w:pStyle w:val="Compact"/>
              <w:spacing w:before="20" w:after="20" w:line="240" w:lineRule="auto"/>
              <w:keepNext/>
            </w:pPr>
            <w:r>
              <w:rPr>
                <w:sz w:val="18"/>
                <w:szCs w:val="18"/>
              </w:rPr>
              <w:t xml:space="preserve">단계</w:t>
            </w:r>
          </w:p>
        </w:tc>
        <w:tc>
          <w:tcPr>
            <w:tcW w:type="dxa" w:w="1209"/>
            <w:tcBorders>
              <w:bottom w:val="single" w:sz="4" w:space="0" w:color="000000"/>
            </w:tcBorders>
          </w:tcPr>
          <w:p>
            <w:pPr>
              <w:pStyle w:val="Compact"/>
              <w:spacing w:before="20" w:after="20" w:line="240" w:lineRule="auto"/>
              <w:keepNext/>
            </w:pPr>
            <w:r>
              <w:rPr>
                <w:sz w:val="18"/>
                <w:szCs w:val="18"/>
              </w:rPr>
              <w:t xml:space="preserve">조건</w:t>
            </w:r>
          </w:p>
        </w:tc>
        <w:tc>
          <w:tcPr>
            <w:tcW w:type="dxa" w:w="5643"/>
            <w:tcBorders>
              <w:bottom w:val="single" w:sz="4" w:space="0" w:color="000000"/>
            </w:tcBorders>
          </w:tcPr>
          <w:p>
            <w:pPr>
              <w:pStyle w:val="Compact"/>
              <w:spacing w:before="20" w:after="20" w:line="240" w:lineRule="auto"/>
              <w:keepNext/>
            </w:pPr>
            <w:r>
              <w:rPr>
                <w:sz w:val="18"/>
                <w:szCs w:val="18"/>
              </w:rPr>
              <w:t xml:space="preserve">내용</w:t>
            </w:r>
          </w:p>
        </w:tc>
      </w:tr>
      <w:tr>
        <w:trPr>
          <w:cantSplit/>
        </w:trPr>
        <w:tc>
          <w:tcPr>
            <w:tcW w:type="dxa" w:w="2217"/>
          </w:tcPr>
          <w:p>
            <w:pPr>
              <w:pStyle w:val="Compact"/>
              <w:spacing w:before="20" w:after="20" w:line="240" w:lineRule="auto"/>
              <w:keepNext/>
            </w:pPr>
            <w:r>
              <w:rPr>
                <w:sz w:val="18"/>
                <w:szCs w:val="18"/>
              </w:rPr>
              <w:t xml:space="preserve">1차: CPC</w:t>
            </w:r>
          </w:p>
        </w:tc>
        <w:tc>
          <w:tcPr>
            <w:tcW w:type="dxa" w:w="1209"/>
          </w:tcPr>
          <w:p>
            <w:pPr>
              <w:pStyle w:val="Compact"/>
              <w:spacing w:before="20" w:after="20" w:line="240" w:lineRule="auto"/>
              <w:keepNext/>
            </w:pPr>
            <w:r>
              <w:rPr>
                <w:sz w:val="18"/>
                <w:szCs w:val="18"/>
              </w:rPr>
              <w:t xml:space="preserve">H01L21</w:t>
            </w:r>
          </w:p>
        </w:tc>
        <w:tc>
          <w:tcPr>
            <w:tcW w:type="dxa" w:w="5643"/>
          </w:tcPr>
          <w:p>
            <w:pPr>
              <w:pStyle w:val="Compact"/>
              <w:spacing w:before="20" w:after="20" w:line="240" w:lineRule="auto"/>
              <w:keepNext/>
            </w:pPr>
            <w:r>
              <w:rPr>
                <w:sz w:val="18"/>
                <w:szCs w:val="18"/>
              </w:rPr>
              <w:t xml:space="preserve">반도체 제조공정 기술. 웨이퍼 직접 접합(21/18, 21/20), 소자 분리·배선·TSV(21/76), 기판·절연층 처리(21/02), 화학적 기계연마(21/30–21/32) 등. 패키징 단계의 제조공정(21/48, 21/50–21/58, 21/60, 21/78)과 공정 장치(21/67–21/68)도 포함</w:t>
            </w:r>
          </w:p>
        </w:tc>
      </w:tr>
      <w:tr>
        <w:trPr>
          <w:cantSplit/>
        </w:trPr>
        <w:tc>
          <w:tcPr>
            <w:tcW w:type="dxa" w:w="2217"/>
          </w:tcPr>
          <w:p>
            <w:pPr>
              <w:pStyle w:val="Compact"/>
              <w:spacing w:before="20" w:after="20" w:line="240" w:lineRule="auto"/>
              <w:keepNext/>
            </w:pPr>
            <w:r>
              <w:rPr>
                <w:sz w:val="18"/>
                <w:szCs w:val="18"/>
              </w:rPr>
              <w:t xml:space="preserve">1차: CPC</w:t>
            </w:r>
          </w:p>
        </w:tc>
        <w:tc>
          <w:tcPr>
            <w:tcW w:type="dxa" w:w="1209"/>
          </w:tcPr>
          <w:p>
            <w:pPr>
              <w:pStyle w:val="Compact"/>
              <w:spacing w:before="20" w:after="20" w:line="240" w:lineRule="auto"/>
              <w:keepNext/>
            </w:pPr>
            <w:r>
              <w:rPr>
                <w:sz w:val="18"/>
                <w:szCs w:val="18"/>
              </w:rPr>
              <w:t xml:space="preserve">H01L24</w:t>
            </w:r>
          </w:p>
        </w:tc>
        <w:tc>
          <w:tcPr>
            <w:tcW w:type="dxa" w:w="5643"/>
          </w:tcPr>
          <w:p>
            <w:pPr>
              <w:pStyle w:val="Compact"/>
              <w:spacing w:before="20" w:after="20" w:line="240" w:lineRule="auto"/>
              <w:keepNext/>
            </w:pPr>
            <w:r>
              <w:rPr>
                <w:sz w:val="18"/>
                <w:szCs w:val="18"/>
              </w:rPr>
              <w:t xml:space="preserve">반도체 또는 고체소자의 연결·분리를 위한 커넥터 구조, 범프·층·와이어 연결, 관련 연결 방법 및 장치 등</w:t>
            </w:r>
          </w:p>
        </w:tc>
      </w:tr>
      <w:tr>
        <w:trPr>
          <w:cantSplit/>
        </w:trPr>
        <w:tc>
          <w:tcPr>
            <w:tcW w:type="dxa" w:w="2217"/>
          </w:tcPr>
          <w:p>
            <w:pPr>
              <w:pStyle w:val="Compact"/>
              <w:spacing w:before="20" w:after="20" w:line="240" w:lineRule="auto"/>
              <w:keepNext/>
            </w:pPr>
            <w:r>
              <w:rPr>
                <w:sz w:val="18"/>
                <w:szCs w:val="18"/>
              </w:rPr>
              <w:t xml:space="preserve">2차: 키워드</w:t>
            </w:r>
          </w:p>
        </w:tc>
        <w:tc>
          <w:tcPr>
            <w:tcW w:type="dxa" w:w="1209"/>
          </w:tcPr>
          <w:p>
            <w:pPr>
              <w:pStyle w:val="Compact"/>
              <w:spacing w:before="20" w:after="20" w:line="240" w:lineRule="auto"/>
              <w:keepNext/>
            </w:pPr>
            <w:r>
              <w:rPr>
                <w:sz w:val="18"/>
                <w:szCs w:val="18"/>
              </w:rPr>
              <w:t xml:space="preserve">제목</w:t>
            </w:r>
          </w:p>
        </w:tc>
        <w:tc>
          <w:tcPr>
            <w:tcW w:type="dxa" w:w="5643"/>
          </w:tcPr>
          <w:p>
            <w:pPr>
              <w:pStyle w:val="Compact"/>
              <w:spacing w:before="20" w:after="20" w:line="240" w:lineRule="auto"/>
              <w:keepNext/>
            </w:pPr>
            <w:r>
              <w:rPr>
                <w:i/>
                <w:iCs/>
                <w:sz w:val="18"/>
                <w:szCs w:val="18"/>
              </w:rPr>
              <w:t xml:space="preserve">hybrid bonding</w:t>
            </w:r>
            <w:r>
              <w:rPr>
                <w:sz w:val="18"/>
                <w:szCs w:val="18"/>
              </w:rPr>
              <w:t xml:space="preserve">,</w:t>
            </w:r>
            <w:r>
              <w:rPr>
                <w:sz w:val="18"/>
                <w:szCs w:val="18"/>
              </w:rPr>
              <w:t xml:space="preserve"> </w:t>
            </w:r>
            <w:r>
              <w:rPr>
                <w:i/>
                <w:iCs/>
                <w:sz w:val="18"/>
                <w:szCs w:val="18"/>
              </w:rPr>
              <w:t xml:space="preserve">direct bonding</w:t>
            </w:r>
            <w:r>
              <w:rPr>
                <w:sz w:val="18"/>
                <w:szCs w:val="18"/>
              </w:rPr>
              <w:t xml:space="preserve">,</w:t>
            </w:r>
            <w:r>
              <w:rPr>
                <w:sz w:val="18"/>
                <w:szCs w:val="18"/>
              </w:rPr>
              <w:t xml:space="preserve"> </w:t>
            </w:r>
            <w:r>
              <w:rPr>
                <w:i/>
                <w:iCs/>
                <w:sz w:val="18"/>
                <w:szCs w:val="18"/>
              </w:rPr>
              <w:t xml:space="preserve">Cu–Cu</w:t>
            </w:r>
            <w:r>
              <w:rPr>
                <w:sz w:val="18"/>
                <w:szCs w:val="18"/>
              </w:rPr>
              <w:t xml:space="preserve">,</w:t>
            </w:r>
            <w:r>
              <w:rPr>
                <w:sz w:val="18"/>
                <w:szCs w:val="18"/>
              </w:rPr>
              <w:t xml:space="preserve"> </w:t>
            </w:r>
            <w:r>
              <w:rPr>
                <w:i/>
                <w:iCs/>
                <w:sz w:val="18"/>
                <w:szCs w:val="18"/>
              </w:rPr>
              <w:t xml:space="preserve">copper to copper</w:t>
            </w:r>
            <w:r>
              <w:rPr>
                <w:sz w:val="18"/>
                <w:szCs w:val="18"/>
              </w:rPr>
              <w:t xml:space="preserve">,</w:t>
            </w:r>
            <w:r>
              <w:rPr>
                <w:sz w:val="18"/>
                <w:szCs w:val="18"/>
              </w:rPr>
              <w:t xml:space="preserve"> </w:t>
            </w:r>
            <w:r>
              <w:rPr>
                <w:i/>
                <w:iCs/>
                <w:sz w:val="18"/>
                <w:szCs w:val="18"/>
              </w:rPr>
              <w:t xml:space="preserve">metal-oxide bond</w:t>
            </w:r>
            <w:r>
              <w:rPr>
                <w:sz w:val="18"/>
                <w:szCs w:val="18"/>
              </w:rPr>
              <w:t xml:space="preserve"> </w:t>
            </w:r>
            <w:r>
              <w:rPr>
                <w:sz w:val="18"/>
                <w:szCs w:val="18"/>
              </w:rPr>
              <w:t xml:space="preserve">가운데 하나 이상</w:t>
            </w:r>
          </w:p>
        </w:tc>
      </w:tr>
    </w:tbl>
    <w:p>
      <w:pPr>
        <w:pStyle w:val="BodyText"/>
      </w:pPr>
      <w:r>
        <w:rPr>
          <w:i/>
          <w:iCs/>
          <w:sz w:val="20"/>
          <w:szCs w:val="20"/>
        </w:rPr>
        <w:t xml:space="preserve">주:</w:t>
      </w:r>
      <w:r>
        <w:rPr>
          <w:sz w:val="20"/>
          <w:szCs w:val="20"/>
        </w:rPr>
        <w:t xml:space="preserve"> </w:t>
      </w:r>
      <w:r>
        <w:rPr>
          <w:sz w:val="20"/>
          <w:szCs w:val="20"/>
        </w:rPr>
        <w:t xml:space="preserve">두 조건을 모두 만족하는 출원을 선별하였으며, 1차 조건은 두 클래스 가운데 하나 이상, 2차 조건은 키워드 가운데 하나 이상이다. 두 클래스의 인덱싱 코드(예: H01L2224)도 검색에 사용하였지만, 추출된 레코드에는 본 클래스의 기호만 남아 있었기 때문에 기술범위를 계산할 때 인덱싱 코드는 포함되지 않는다.</w:t>
      </w:r>
    </w:p>
    <w:p>
      <w:pPr>
        <w:pStyle w:val="BodyText"/>
      </w:pPr>
      <w:r>
        <w:t xml:space="preserve">키워드 필터의 검색어는 하이브리드 본딩과 무관한 의미로도 사용된다. 대부분은</w:t>
      </w:r>
      <w:r>
        <w:t xml:space="preserve"> </w:t>
      </w:r>
      <w:r>
        <w:rPr>
          <w:i/>
          <w:iCs/>
        </w:rPr>
        <w:t xml:space="preserve">direct bonding</w:t>
      </w:r>
      <w:r>
        <w:t xml:space="preserve">이 다른 의미로 사용된 경우이며, 일부는 화학 결합이나 전력 모듈용 접합 시트를 의미하는</w:t>
      </w:r>
      <w:r>
        <w:t xml:space="preserve"> </w:t>
      </w:r>
      <w:r>
        <w:rPr>
          <w:i/>
          <w:iCs/>
        </w:rPr>
        <w:t xml:space="preserve">hybrid bonding</w:t>
      </w:r>
      <w:r>
        <w:t xml:space="preserve">이다. 제목에 다음 용어가 포함된 출원을 무관한 용법으로 판정하였다: 세라믹·DBC(direct bonded copper)·알루미나·지르코니아·질화알루미늄 기판, 구리 합금, 다이아몬드–몰리브덴 접합, 레이저 전구체, 정전 척, 전력 모듈·전력소자 기판, 히트 스프레더, 직접 접합 금속 기판, 직접 접합 회로 조립체, sp3–sp2 하이브리드 결합(화학 결합의 의미). 해당 출원은 68건(</w:t>
      </w:r>
      <w:r>
        <w:rPr>
          <w:i/>
          <w:iCs/>
        </w:rPr>
        <w:t xml:space="preserve">direct bonding</w:t>
      </w:r>
      <w:r>
        <w:t xml:space="preserve"> </w:t>
      </w:r>
      <w:r>
        <w:t xml:space="preserve">63건,</w:t>
      </w:r>
      <w:r>
        <w:t xml:space="preserve"> </w:t>
      </w:r>
      <w:r>
        <w:rPr>
          <w:i/>
          <w:iCs/>
        </w:rPr>
        <w:t xml:space="preserve">hybrid bonding</w:t>
      </w:r>
      <w:r>
        <w:t xml:space="preserve"> </w:t>
      </w:r>
      <w:r>
        <w:t xml:space="preserve">5건)이며, 그 분포는 표 S2와 같다. 2010년 이전 출원 가운데 무관 용법을 제외한 후 남는 출원의 상당수는 실리콘 웨이퍼 직접 접합(SOI 웨이퍼 제조 등) 출원으로, 하이브리드 본딩의 유전체 접합을 이루는 전구 기술이므로 표본에 포함하였다. 68건의 제목 목록은 요청 시 저자가 제공한다.</w:t>
      </w:r>
    </w:p>
    <w:p>
      <w:pPr>
        <w:pStyle w:val="BodyText"/>
        <w:keepNext/>
      </w:pPr>
      <w:r>
        <w:rPr>
          <w:b/>
          <w:bCs/>
          <w:sz w:val="20"/>
          <w:szCs w:val="20"/>
        </w:rPr>
        <w:t xml:space="preserve">표 S2.</w:t>
      </w:r>
      <w:r>
        <w:rPr>
          <w:sz w:val="20"/>
          <w:szCs w:val="20"/>
        </w:rPr>
        <w:t xml:space="preserve"> </w:t>
      </w:r>
      <w:r>
        <w:rPr>
          <w:sz w:val="20"/>
          <w:szCs w:val="20"/>
        </w:rPr>
        <w:t xml:space="preserve">무관 용법으로 판정한 출원 68건의 분포.</w:t>
      </w:r>
    </w:p>
    <w:tbl>
      <w:tblPr>
        <w:tblStyle w:val="Table"/>
        <w:tblW w:type="dxa" w:w="9069"/>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7342"/>
        <w:gridCol w:w="1727"/>
      </w:tblGrid>
      <w:tr>
        <w:trPr>
          <w:tblHeader w:val="on"/>
          <w:cantSplit/>
        </w:trPr>
        <w:tc>
          <w:tcPr>
            <w:tcW w:type="dxa" w:w="7342"/>
            <w:tcBorders>
              <w:bottom w:val="single" w:sz="4" w:space="0" w:color="000000"/>
            </w:tcBorders>
          </w:tcPr>
          <w:p>
            <w:pPr>
              <w:pStyle w:val="Compact"/>
              <w:spacing w:before="20" w:after="20" w:line="240" w:lineRule="auto"/>
              <w:keepNext/>
            </w:pPr>
            <w:r>
              <w:rPr>
                <w:sz w:val="18"/>
                <w:szCs w:val="18"/>
              </w:rPr>
              <w:t xml:space="preserve">구분</w:t>
            </w:r>
          </w:p>
        </w:tc>
        <w:tc>
          <w:tcPr>
            <w:tcW w:type="dxa" w:w="1727"/>
            <w:tcBorders>
              <w:bottom w:val="single" w:sz="4" w:space="0" w:color="000000"/>
            </w:tcBorders>
          </w:tcPr>
          <w:p>
            <w:pPr>
              <w:pStyle w:val="Compact"/>
              <w:spacing w:before="20" w:after="20" w:line="240" w:lineRule="auto"/>
              <w:jc w:val="right"/>
              <w:keepNext/>
            </w:pPr>
            <w:r>
              <w:rPr>
                <w:sz w:val="18"/>
                <w:szCs w:val="18"/>
              </w:rPr>
              <w:t xml:space="preserve">건수</w:t>
            </w:r>
          </w:p>
        </w:tc>
      </w:tr>
      <w:tr>
        <w:trPr>
          <w:cantSplit/>
        </w:trPr>
        <w:tc>
          <w:tcPr>
            <w:tcW w:type="dxa" w:w="7342"/>
          </w:tcPr>
          <w:p>
            <w:pPr>
              <w:pStyle w:val="Compact"/>
              <w:spacing w:before="20" w:after="20" w:line="240" w:lineRule="auto"/>
              <w:keepNext/>
            </w:pPr>
            <w:r>
              <w:rPr>
                <w:sz w:val="18"/>
                <w:szCs w:val="18"/>
              </w:rPr>
              <w:t xml:space="preserve">유형: 접합 단독형</w:t>
            </w:r>
          </w:p>
        </w:tc>
        <w:tc>
          <w:tcPr>
            <w:tcW w:type="dxa" w:w="1727"/>
          </w:tcPr>
          <w:p>
            <w:pPr>
              <w:pStyle w:val="Compact"/>
              <w:spacing w:before="20" w:after="20" w:line="240" w:lineRule="auto"/>
              <w:jc w:val="right"/>
              <w:keepNext/>
            </w:pPr>
            <w:r>
              <w:rPr>
                <w:sz w:val="18"/>
                <w:szCs w:val="18"/>
              </w:rPr>
              <w:t xml:space="preserve">34</w:t>
            </w:r>
          </w:p>
        </w:tc>
      </w:tr>
      <w:tr>
        <w:trPr>
          <w:cantSplit/>
        </w:trPr>
        <w:tc>
          <w:tcPr>
            <w:tcW w:type="dxa" w:w="7342"/>
          </w:tcPr>
          <w:p>
            <w:pPr>
              <w:pStyle w:val="Compact"/>
              <w:spacing w:before="20" w:after="20" w:line="240" w:lineRule="auto"/>
              <w:keepNext/>
            </w:pPr>
            <w:r>
              <w:rPr>
                <w:sz w:val="18"/>
                <w:szCs w:val="18"/>
              </w:rPr>
              <w:t xml:space="preserve">유형: 통합형</w:t>
            </w:r>
          </w:p>
        </w:tc>
        <w:tc>
          <w:tcPr>
            <w:tcW w:type="dxa" w:w="1727"/>
          </w:tcPr>
          <w:p>
            <w:pPr>
              <w:pStyle w:val="Compact"/>
              <w:spacing w:before="20" w:after="20" w:line="240" w:lineRule="auto"/>
              <w:jc w:val="right"/>
              <w:keepNext/>
            </w:pPr>
            <w:r>
              <w:rPr>
                <w:sz w:val="18"/>
                <w:szCs w:val="18"/>
              </w:rPr>
              <w:t xml:space="preserve">17</w:t>
            </w:r>
          </w:p>
        </w:tc>
      </w:tr>
      <w:tr>
        <w:trPr>
          <w:cantSplit/>
        </w:trPr>
        <w:tc>
          <w:tcPr>
            <w:tcW w:type="dxa" w:w="7342"/>
          </w:tcPr>
          <w:p>
            <w:pPr>
              <w:pStyle w:val="Compact"/>
              <w:spacing w:before="20" w:after="20" w:line="240" w:lineRule="auto"/>
              <w:keepNext/>
            </w:pPr>
            <w:r>
              <w:rPr>
                <w:sz w:val="18"/>
                <w:szCs w:val="18"/>
              </w:rPr>
              <w:t xml:space="preserve">유형: 공정 단독형</w:t>
            </w:r>
          </w:p>
        </w:tc>
        <w:tc>
          <w:tcPr>
            <w:tcW w:type="dxa" w:w="1727"/>
          </w:tcPr>
          <w:p>
            <w:pPr>
              <w:pStyle w:val="Compact"/>
              <w:spacing w:before="20" w:after="20" w:line="240" w:lineRule="auto"/>
              <w:jc w:val="right"/>
              <w:keepNext/>
            </w:pPr>
            <w:r>
              <w:rPr>
                <w:sz w:val="18"/>
                <w:szCs w:val="18"/>
              </w:rPr>
              <w:t xml:space="preserve">17</w:t>
            </w:r>
          </w:p>
        </w:tc>
      </w:tr>
      <w:tr>
        <w:trPr>
          <w:cantSplit/>
        </w:trPr>
        <w:tc>
          <w:tcPr>
            <w:tcW w:type="dxa" w:w="7342"/>
          </w:tcPr>
          <w:p>
            <w:pPr>
              <w:pStyle w:val="Compact"/>
              <w:spacing w:before="20" w:after="20" w:line="240" w:lineRule="auto"/>
              <w:keepNext/>
            </w:pPr>
            <w:r>
              <w:rPr>
                <w:sz w:val="18"/>
                <w:szCs w:val="18"/>
              </w:rPr>
              <w:t xml:space="preserve">출원 시기: 2014년 이전</w:t>
            </w:r>
          </w:p>
        </w:tc>
        <w:tc>
          <w:tcPr>
            <w:tcW w:type="dxa" w:w="1727"/>
          </w:tcPr>
          <w:p>
            <w:pPr>
              <w:pStyle w:val="Compact"/>
              <w:spacing w:before="20" w:after="20" w:line="240" w:lineRule="auto"/>
              <w:jc w:val="right"/>
              <w:keepNext/>
            </w:pPr>
            <w:r>
              <w:rPr>
                <w:sz w:val="18"/>
                <w:szCs w:val="18"/>
              </w:rPr>
              <w:t xml:space="preserve">36</w:t>
            </w:r>
          </w:p>
        </w:tc>
      </w:tr>
      <w:tr>
        <w:trPr>
          <w:cantSplit/>
        </w:trPr>
        <w:tc>
          <w:tcPr>
            <w:tcW w:type="dxa" w:w="7342"/>
          </w:tcPr>
          <w:p>
            <w:pPr>
              <w:pStyle w:val="Compact"/>
              <w:spacing w:before="20" w:after="20" w:line="240" w:lineRule="auto"/>
              <w:keepNext/>
            </w:pPr>
            <w:r>
              <w:rPr>
                <w:sz w:val="18"/>
                <w:szCs w:val="18"/>
              </w:rPr>
              <w:t xml:space="preserve">출원 시기: 2015년 이후</w:t>
            </w:r>
          </w:p>
        </w:tc>
        <w:tc>
          <w:tcPr>
            <w:tcW w:type="dxa" w:w="1727"/>
          </w:tcPr>
          <w:p>
            <w:pPr>
              <w:pStyle w:val="Compact"/>
              <w:spacing w:before="20" w:after="20" w:line="240" w:lineRule="auto"/>
              <w:jc w:val="right"/>
              <w:keepNext/>
            </w:pPr>
            <w:r>
              <w:rPr>
                <w:sz w:val="18"/>
                <w:szCs w:val="18"/>
              </w:rPr>
              <w:t xml:space="preserve">32</w:t>
            </w:r>
          </w:p>
        </w:tc>
      </w:tr>
    </w:tbl>
    <w:bookmarkEnd w:id="9"/>
    <w:bookmarkStart w:id="10" w:name="s2.-기술-네트워크의-상위-연결"/>
    <w:p>
      <w:pPr>
        <w:pStyle w:val="Heading3"/>
      </w:pPr>
      <w:r>
        <w:t xml:space="preserve">S2. 기술 네트워크의 상위 연결</w:t>
      </w:r>
    </w:p>
    <w:p>
      <w:pPr>
        <w:pStyle w:val="FirstParagraph"/>
      </w:pPr>
      <w:r>
        <w:t xml:space="preserve">표 S3은 928건에 부여된 전체 CPC 기호의 네트워크에서 함께 부여된 출원이 가장 많은 상위 10개 기호 쌍이다. 네트워크의 노드는 CPC 기호이고, 한 출원에 함께 부여된 서로 다른 두 기호 사이에 무방향 연결을 두었으며, 두 기호가 함께 부여된 출원 수를 연결의 가중치로 삼았다. 가장 강한 연결인 도전성 표면의 직접 접합과 절연성 표면의 직접 접합의 쌍에는 금속과 절연막을 함께 접합하는 하이브리드 본딩의 원리가 그대로 반영되어 있다.</w:t>
      </w:r>
    </w:p>
    <w:p>
      <w:pPr>
        <w:pStyle w:val="BodyText"/>
        <w:keepNext/>
      </w:pPr>
      <w:r>
        <w:rPr>
          <w:b/>
          <w:bCs/>
          <w:sz w:val="20"/>
          <w:szCs w:val="20"/>
        </w:rPr>
        <w:t xml:space="preserve">표 S3.</w:t>
      </w:r>
      <w:r>
        <w:rPr>
          <w:sz w:val="20"/>
          <w:szCs w:val="20"/>
        </w:rPr>
        <w:t xml:space="preserve"> </w:t>
      </w:r>
      <w:r>
        <w:rPr>
          <w:sz w:val="20"/>
          <w:szCs w:val="20"/>
        </w:rPr>
        <w:t xml:space="preserve">기술 네트워크: 함께 부여된 출원이 가장 많은 기호 쌍(N = 928; 상위 10쌍).</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806"/>
        <w:gridCol w:w="4635"/>
        <w:gridCol w:w="2821"/>
        <w:gridCol w:w="806"/>
      </w:tblGrid>
      <w:tr>
        <w:trPr>
          <w:tblHeader w:val="on"/>
          <w:cantSplit/>
        </w:trPr>
        <w:tc>
          <w:tcPr>
            <w:tcW w:type="dxa" w:w="806"/>
            <w:tcBorders>
              <w:bottom w:val="single" w:sz="4" w:space="0" w:color="000000"/>
            </w:tcBorders>
          </w:tcPr>
          <w:p>
            <w:pPr>
              <w:pStyle w:val="Compact"/>
              <w:spacing w:before="20" w:after="20" w:line="240" w:lineRule="auto"/>
              <w:jc w:val="right"/>
              <w:keepNext/>
            </w:pPr>
            <w:r>
              <w:rPr>
                <w:sz w:val="18"/>
                <w:szCs w:val="18"/>
              </w:rPr>
              <w:t xml:space="preserve">순위</w:t>
            </w:r>
          </w:p>
        </w:tc>
        <w:tc>
          <w:tcPr>
            <w:tcW w:type="dxa" w:w="4635"/>
            <w:tcBorders>
              <w:bottom w:val="single" w:sz="4" w:space="0" w:color="000000"/>
            </w:tcBorders>
          </w:tcPr>
          <w:p>
            <w:pPr>
              <w:pStyle w:val="Compact"/>
              <w:spacing w:before="20" w:after="20" w:line="240" w:lineRule="auto"/>
              <w:keepNext/>
            </w:pPr>
            <w:r>
              <w:rPr>
                <w:sz w:val="18"/>
                <w:szCs w:val="18"/>
              </w:rPr>
              <w:t xml:space="preserve">기호 쌍</w:t>
            </w:r>
          </w:p>
        </w:tc>
        <w:tc>
          <w:tcPr>
            <w:tcW w:type="dxa" w:w="2821"/>
            <w:tcBorders>
              <w:bottom w:val="single" w:sz="4" w:space="0" w:color="000000"/>
            </w:tcBorders>
          </w:tcPr>
          <w:p>
            <w:pPr>
              <w:pStyle w:val="Compact"/>
              <w:spacing w:before="20" w:after="20" w:line="240" w:lineRule="auto"/>
              <w:keepNext/>
            </w:pPr>
            <w:r>
              <w:rPr>
                <w:sz w:val="18"/>
                <w:szCs w:val="18"/>
              </w:rPr>
              <w:t xml:space="preserve">내용</w:t>
            </w:r>
          </w:p>
        </w:tc>
        <w:tc>
          <w:tcPr>
            <w:tcW w:type="dxa" w:w="806"/>
            <w:tcBorders>
              <w:bottom w:val="single" w:sz="4" w:space="0" w:color="000000"/>
            </w:tcBorders>
          </w:tcPr>
          <w:p>
            <w:pPr>
              <w:pStyle w:val="Compact"/>
              <w:spacing w:before="20" w:after="20" w:line="240" w:lineRule="auto"/>
              <w:jc w:val="right"/>
              <w:keepNext/>
            </w:pPr>
            <w:r>
              <w:rPr>
                <w:sz w:val="18"/>
                <w:szCs w:val="18"/>
              </w:rPr>
              <w:t xml:space="preserve">출원 수</w:t>
            </w:r>
          </w:p>
        </w:tc>
      </w:tr>
      <w:tr>
        <w:trPr>
          <w:cantSplit/>
        </w:trPr>
        <w:tc>
          <w:tcPr>
            <w:tcW w:type="dxa" w:w="806"/>
          </w:tcPr>
          <w:p>
            <w:pPr>
              <w:pStyle w:val="Compact"/>
              <w:spacing w:before="20" w:after="20" w:line="240" w:lineRule="auto"/>
              <w:jc w:val="right"/>
              <w:keepNext/>
            </w:pPr>
            <w:r>
              <w:rPr>
                <w:sz w:val="18"/>
                <w:szCs w:val="18"/>
              </w:rPr>
              <w:t xml:space="preserve">1</w:t>
            </w:r>
          </w:p>
        </w:tc>
        <w:tc>
          <w:tcPr>
            <w:tcW w:type="dxa" w:w="4635"/>
          </w:tcPr>
          <w:p>
            <w:pPr>
              <w:pStyle w:val="Compact"/>
              <w:spacing w:before="20" w:after="20" w:line="240" w:lineRule="auto"/>
              <w:keepNext/>
            </w:pPr>
            <w:r>
              <w:rPr>
                <w:sz w:val="18"/>
                <w:szCs w:val="18"/>
              </w:rPr>
              <w:t xml:space="preserve">2224/80895 – 2224/80896</w:t>
            </w:r>
          </w:p>
        </w:tc>
        <w:tc>
          <w:tcPr>
            <w:tcW w:type="dxa" w:w="2821"/>
          </w:tcPr>
          <w:p>
            <w:pPr>
              <w:pStyle w:val="Compact"/>
              <w:spacing w:before="20" w:after="20" w:line="240" w:lineRule="auto"/>
              <w:keepNext/>
            </w:pPr>
            <w:r>
              <w:rPr>
                <w:sz w:val="18"/>
                <w:szCs w:val="18"/>
              </w:rPr>
              <w:t xml:space="preserve">도전성 표면 직접 접합 – 절연성 표면 직접 접합</w:t>
            </w:r>
          </w:p>
        </w:tc>
        <w:tc>
          <w:tcPr>
            <w:tcW w:type="dxa" w:w="806"/>
          </w:tcPr>
          <w:p>
            <w:pPr>
              <w:pStyle w:val="Compact"/>
              <w:spacing w:before="20" w:after="20" w:line="240" w:lineRule="auto"/>
              <w:jc w:val="right"/>
              <w:keepNext/>
            </w:pPr>
            <w:r>
              <w:rPr>
                <w:sz w:val="18"/>
                <w:szCs w:val="18"/>
              </w:rPr>
              <w:t xml:space="preserve">460</w:t>
            </w:r>
          </w:p>
        </w:tc>
      </w:tr>
      <w:tr>
        <w:trPr>
          <w:cantSplit/>
        </w:trPr>
        <w:tc>
          <w:tcPr>
            <w:tcW w:type="dxa" w:w="806"/>
          </w:tcPr>
          <w:p>
            <w:pPr>
              <w:pStyle w:val="Compact"/>
              <w:spacing w:before="20" w:after="20" w:line="240" w:lineRule="auto"/>
              <w:jc w:val="right"/>
              <w:keepNext/>
            </w:pPr>
            <w:r>
              <w:rPr>
                <w:sz w:val="18"/>
                <w:szCs w:val="18"/>
              </w:rPr>
              <w:t xml:space="preserve">2</w:t>
            </w:r>
          </w:p>
        </w:tc>
        <w:tc>
          <w:tcPr>
            <w:tcW w:type="dxa" w:w="4635"/>
          </w:tcPr>
          <w:p>
            <w:pPr>
              <w:pStyle w:val="Compact"/>
              <w:spacing w:before="20" w:after="20" w:line="240" w:lineRule="auto"/>
              <w:keepNext/>
            </w:pPr>
            <w:r>
              <w:rPr>
                <w:sz w:val="18"/>
                <w:szCs w:val="18"/>
              </w:rPr>
              <w:t xml:space="preserve">24/08 – 24/80</w:t>
            </w:r>
          </w:p>
        </w:tc>
        <w:tc>
          <w:tcPr>
            <w:tcW w:type="dxa" w:w="2821"/>
          </w:tcPr>
          <w:p>
            <w:pPr>
              <w:pStyle w:val="Compact"/>
              <w:spacing w:before="20" w:after="20" w:line="240" w:lineRule="auto"/>
              <w:keepNext/>
            </w:pPr>
            <w:r>
              <w:rPr>
                <w:sz w:val="18"/>
                <w:szCs w:val="18"/>
              </w:rPr>
              <w:t xml:space="preserve">연결 후 접합 패드 – 접합 패드를 이용한 연결 방법</w:t>
            </w:r>
          </w:p>
        </w:tc>
        <w:tc>
          <w:tcPr>
            <w:tcW w:type="dxa" w:w="806"/>
          </w:tcPr>
          <w:p>
            <w:pPr>
              <w:pStyle w:val="Compact"/>
              <w:spacing w:before="20" w:after="20" w:line="240" w:lineRule="auto"/>
              <w:jc w:val="right"/>
              <w:keepNext/>
            </w:pPr>
            <w:r>
              <w:rPr>
                <w:sz w:val="18"/>
                <w:szCs w:val="18"/>
              </w:rPr>
              <w:t xml:space="preserve">439</w:t>
            </w:r>
          </w:p>
        </w:tc>
      </w:tr>
      <w:tr>
        <w:trPr>
          <w:cantSplit/>
        </w:trPr>
        <w:tc>
          <w:tcPr>
            <w:tcW w:type="dxa" w:w="806"/>
          </w:tcPr>
          <w:p>
            <w:pPr>
              <w:pStyle w:val="Compact"/>
              <w:spacing w:before="20" w:after="20" w:line="240" w:lineRule="auto"/>
              <w:jc w:val="right"/>
              <w:keepNext/>
            </w:pPr>
            <w:r>
              <w:rPr>
                <w:sz w:val="18"/>
                <w:szCs w:val="18"/>
              </w:rPr>
              <w:t xml:space="preserve">3</w:t>
            </w:r>
          </w:p>
        </w:tc>
        <w:tc>
          <w:tcPr>
            <w:tcW w:type="dxa" w:w="4635"/>
          </w:tcPr>
          <w:p>
            <w:pPr>
              <w:pStyle w:val="Compact"/>
              <w:spacing w:before="20" w:after="20" w:line="240" w:lineRule="auto"/>
              <w:keepNext/>
            </w:pPr>
            <w:r>
              <w:rPr>
                <w:sz w:val="18"/>
                <w:szCs w:val="18"/>
              </w:rPr>
              <w:t xml:space="preserve">24/80 – 2224/80895</w:t>
            </w:r>
          </w:p>
        </w:tc>
        <w:tc>
          <w:tcPr>
            <w:tcW w:type="dxa" w:w="2821"/>
          </w:tcPr>
          <w:p>
            <w:pPr>
              <w:pStyle w:val="Compact"/>
              <w:spacing w:before="20" w:after="20" w:line="240" w:lineRule="auto"/>
              <w:keepNext/>
            </w:pPr>
            <w:r>
              <w:rPr>
                <w:sz w:val="18"/>
                <w:szCs w:val="18"/>
              </w:rPr>
              <w:t xml:space="preserve">접합 패드를 이용한 연결 방법 – 도전성 표면 직접 접합</w:t>
            </w:r>
          </w:p>
        </w:tc>
        <w:tc>
          <w:tcPr>
            <w:tcW w:type="dxa" w:w="806"/>
          </w:tcPr>
          <w:p>
            <w:pPr>
              <w:pStyle w:val="Compact"/>
              <w:spacing w:before="20" w:after="20" w:line="240" w:lineRule="auto"/>
              <w:jc w:val="right"/>
              <w:keepNext/>
            </w:pPr>
            <w:r>
              <w:rPr>
                <w:sz w:val="18"/>
                <w:szCs w:val="18"/>
              </w:rPr>
              <w:t xml:space="preserve">434</w:t>
            </w:r>
          </w:p>
        </w:tc>
      </w:tr>
      <w:tr>
        <w:trPr>
          <w:cantSplit/>
        </w:trPr>
        <w:tc>
          <w:tcPr>
            <w:tcW w:type="dxa" w:w="806"/>
          </w:tcPr>
          <w:p>
            <w:pPr>
              <w:pStyle w:val="Compact"/>
              <w:spacing w:before="20" w:after="20" w:line="240" w:lineRule="auto"/>
              <w:jc w:val="right"/>
              <w:keepNext/>
            </w:pPr>
            <w:r>
              <w:rPr>
                <w:sz w:val="18"/>
                <w:szCs w:val="18"/>
              </w:rPr>
              <w:t xml:space="preserve">4</w:t>
            </w:r>
          </w:p>
        </w:tc>
        <w:tc>
          <w:tcPr>
            <w:tcW w:type="dxa" w:w="4635"/>
          </w:tcPr>
          <w:p>
            <w:pPr>
              <w:pStyle w:val="Compact"/>
              <w:spacing w:before="20" w:after="20" w:line="240" w:lineRule="auto"/>
              <w:keepNext/>
            </w:pPr>
            <w:r>
              <w:rPr>
                <w:sz w:val="18"/>
                <w:szCs w:val="18"/>
              </w:rPr>
              <w:t xml:space="preserve">24/08 – 2224/80895</w:t>
            </w:r>
          </w:p>
        </w:tc>
        <w:tc>
          <w:tcPr>
            <w:tcW w:type="dxa" w:w="2821"/>
          </w:tcPr>
          <w:p>
            <w:pPr>
              <w:pStyle w:val="Compact"/>
              <w:spacing w:before="20" w:after="20" w:line="240" w:lineRule="auto"/>
              <w:keepNext/>
            </w:pPr>
            <w:r>
              <w:rPr>
                <w:sz w:val="18"/>
                <w:szCs w:val="18"/>
              </w:rPr>
              <w:t xml:space="preserve">연결 후 접합 패드 – 도전성 표면 직접 접합</w:t>
            </w:r>
          </w:p>
        </w:tc>
        <w:tc>
          <w:tcPr>
            <w:tcW w:type="dxa" w:w="806"/>
          </w:tcPr>
          <w:p>
            <w:pPr>
              <w:pStyle w:val="Compact"/>
              <w:spacing w:before="20" w:after="20" w:line="240" w:lineRule="auto"/>
              <w:jc w:val="right"/>
              <w:keepNext/>
            </w:pPr>
            <w:r>
              <w:rPr>
                <w:sz w:val="18"/>
                <w:szCs w:val="18"/>
              </w:rPr>
              <w:t xml:space="preserve">420</w:t>
            </w:r>
          </w:p>
        </w:tc>
      </w:tr>
      <w:tr>
        <w:trPr>
          <w:cantSplit/>
        </w:trPr>
        <w:tc>
          <w:tcPr>
            <w:tcW w:type="dxa" w:w="806"/>
          </w:tcPr>
          <w:p>
            <w:pPr>
              <w:pStyle w:val="Compact"/>
              <w:spacing w:before="20" w:after="20" w:line="240" w:lineRule="auto"/>
              <w:jc w:val="right"/>
              <w:keepNext/>
            </w:pPr>
            <w:r>
              <w:rPr>
                <w:sz w:val="18"/>
                <w:szCs w:val="18"/>
              </w:rPr>
              <w:t xml:space="preserve">5</w:t>
            </w:r>
          </w:p>
        </w:tc>
        <w:tc>
          <w:tcPr>
            <w:tcW w:type="dxa" w:w="4635"/>
          </w:tcPr>
          <w:p>
            <w:pPr>
              <w:pStyle w:val="Compact"/>
              <w:spacing w:before="20" w:after="20" w:line="240" w:lineRule="auto"/>
              <w:keepNext/>
            </w:pPr>
            <w:r>
              <w:rPr>
                <w:sz w:val="18"/>
                <w:szCs w:val="18"/>
              </w:rPr>
              <w:t xml:space="preserve">24/80 – 2224/80896</w:t>
            </w:r>
          </w:p>
        </w:tc>
        <w:tc>
          <w:tcPr>
            <w:tcW w:type="dxa" w:w="2821"/>
          </w:tcPr>
          <w:p>
            <w:pPr>
              <w:pStyle w:val="Compact"/>
              <w:spacing w:before="20" w:after="20" w:line="240" w:lineRule="auto"/>
              <w:keepNext/>
            </w:pPr>
            <w:r>
              <w:rPr>
                <w:sz w:val="18"/>
                <w:szCs w:val="18"/>
              </w:rPr>
              <w:t xml:space="preserve">접합 패드를 이용한 연결 방법 – 절연성 표면 직접 접합</w:t>
            </w:r>
          </w:p>
        </w:tc>
        <w:tc>
          <w:tcPr>
            <w:tcW w:type="dxa" w:w="806"/>
          </w:tcPr>
          <w:p>
            <w:pPr>
              <w:pStyle w:val="Compact"/>
              <w:spacing w:before="20" w:after="20" w:line="240" w:lineRule="auto"/>
              <w:jc w:val="right"/>
              <w:keepNext/>
            </w:pPr>
            <w:r>
              <w:rPr>
                <w:sz w:val="18"/>
                <w:szCs w:val="18"/>
              </w:rPr>
              <w:t xml:space="preserve">418</w:t>
            </w:r>
          </w:p>
        </w:tc>
      </w:tr>
      <w:tr>
        <w:trPr>
          <w:cantSplit/>
        </w:trPr>
        <w:tc>
          <w:tcPr>
            <w:tcW w:type="dxa" w:w="806"/>
          </w:tcPr>
          <w:p>
            <w:pPr>
              <w:pStyle w:val="Compact"/>
              <w:spacing w:before="20" w:after="20" w:line="240" w:lineRule="auto"/>
              <w:jc w:val="right"/>
              <w:keepNext/>
            </w:pPr>
            <w:r>
              <w:rPr>
                <w:sz w:val="18"/>
                <w:szCs w:val="18"/>
              </w:rPr>
              <w:t xml:space="preserve">6</w:t>
            </w:r>
          </w:p>
        </w:tc>
        <w:tc>
          <w:tcPr>
            <w:tcW w:type="dxa" w:w="4635"/>
          </w:tcPr>
          <w:p>
            <w:pPr>
              <w:pStyle w:val="Compact"/>
              <w:spacing w:before="20" w:after="20" w:line="240" w:lineRule="auto"/>
              <w:keepNext/>
            </w:pPr>
            <w:r>
              <w:rPr>
                <w:sz w:val="18"/>
                <w:szCs w:val="18"/>
              </w:rPr>
              <w:t xml:space="preserve">24/08 – 2224/80896</w:t>
            </w:r>
          </w:p>
        </w:tc>
        <w:tc>
          <w:tcPr>
            <w:tcW w:type="dxa" w:w="2821"/>
          </w:tcPr>
          <w:p>
            <w:pPr>
              <w:pStyle w:val="Compact"/>
              <w:spacing w:before="20" w:after="20" w:line="240" w:lineRule="auto"/>
              <w:keepNext/>
            </w:pPr>
            <w:r>
              <w:rPr>
                <w:sz w:val="18"/>
                <w:szCs w:val="18"/>
              </w:rPr>
              <w:t xml:space="preserve">연결 후 접합 패드 – 절연성 표면 직접 접합</w:t>
            </w:r>
          </w:p>
        </w:tc>
        <w:tc>
          <w:tcPr>
            <w:tcW w:type="dxa" w:w="806"/>
          </w:tcPr>
          <w:p>
            <w:pPr>
              <w:pStyle w:val="Compact"/>
              <w:spacing w:before="20" w:after="20" w:line="240" w:lineRule="auto"/>
              <w:jc w:val="right"/>
              <w:keepNext/>
            </w:pPr>
            <w:r>
              <w:rPr>
                <w:sz w:val="18"/>
                <w:szCs w:val="18"/>
              </w:rPr>
              <w:t xml:space="preserve">395</w:t>
            </w:r>
          </w:p>
        </w:tc>
      </w:tr>
      <w:tr>
        <w:trPr>
          <w:cantSplit/>
        </w:trPr>
        <w:tc>
          <w:tcPr>
            <w:tcW w:type="dxa" w:w="806"/>
          </w:tcPr>
          <w:p>
            <w:pPr>
              <w:pStyle w:val="Compact"/>
              <w:spacing w:before="20" w:after="20" w:line="240" w:lineRule="auto"/>
              <w:jc w:val="right"/>
              <w:keepNext/>
            </w:pPr>
            <w:r>
              <w:rPr>
                <w:sz w:val="18"/>
                <w:szCs w:val="18"/>
              </w:rPr>
              <w:t xml:space="preserve">7</w:t>
            </w:r>
          </w:p>
        </w:tc>
        <w:tc>
          <w:tcPr>
            <w:tcW w:type="dxa" w:w="4635"/>
          </w:tcPr>
          <w:p>
            <w:pPr>
              <w:pStyle w:val="Compact"/>
              <w:spacing w:before="20" w:after="20" w:line="240" w:lineRule="auto"/>
              <w:keepNext/>
            </w:pPr>
            <w:r>
              <w:rPr>
                <w:sz w:val="18"/>
                <w:szCs w:val="18"/>
              </w:rPr>
              <w:t xml:space="preserve">24/08 – 2224/08145</w:t>
            </w:r>
          </w:p>
        </w:tc>
        <w:tc>
          <w:tcPr>
            <w:tcW w:type="dxa" w:w="2821"/>
          </w:tcPr>
          <w:p>
            <w:pPr>
              <w:pStyle w:val="Compact"/>
              <w:spacing w:before="20" w:after="20" w:line="240" w:lineRule="auto"/>
              <w:keepNext/>
            </w:pPr>
            <w:r>
              <w:rPr>
                <w:sz w:val="18"/>
                <w:szCs w:val="18"/>
              </w:rPr>
              <w:t xml:space="preserve">연결 후 접합 패드 – 범프 없는 적층 칩 접합</w:t>
            </w:r>
          </w:p>
        </w:tc>
        <w:tc>
          <w:tcPr>
            <w:tcW w:type="dxa" w:w="806"/>
          </w:tcPr>
          <w:p>
            <w:pPr>
              <w:pStyle w:val="Compact"/>
              <w:spacing w:before="20" w:after="20" w:line="240" w:lineRule="auto"/>
              <w:jc w:val="right"/>
              <w:keepNext/>
            </w:pPr>
            <w:r>
              <w:rPr>
                <w:sz w:val="18"/>
                <w:szCs w:val="18"/>
              </w:rPr>
              <w:t xml:space="preserve">392</w:t>
            </w:r>
          </w:p>
        </w:tc>
      </w:tr>
      <w:tr>
        <w:trPr>
          <w:cantSplit/>
        </w:trPr>
        <w:tc>
          <w:tcPr>
            <w:tcW w:type="dxa" w:w="806"/>
          </w:tcPr>
          <w:p>
            <w:pPr>
              <w:pStyle w:val="Compact"/>
              <w:spacing w:before="20" w:after="20" w:line="240" w:lineRule="auto"/>
              <w:jc w:val="right"/>
              <w:keepNext/>
            </w:pPr>
            <w:r>
              <w:rPr>
                <w:sz w:val="18"/>
                <w:szCs w:val="18"/>
              </w:rPr>
              <w:t xml:space="preserve">8</w:t>
            </w:r>
          </w:p>
        </w:tc>
        <w:tc>
          <w:tcPr>
            <w:tcW w:type="dxa" w:w="4635"/>
          </w:tcPr>
          <w:p>
            <w:pPr>
              <w:pStyle w:val="Compact"/>
              <w:spacing w:before="20" w:after="20" w:line="240" w:lineRule="auto"/>
              <w:keepNext/>
            </w:pPr>
            <w:r>
              <w:rPr>
                <w:sz w:val="18"/>
                <w:szCs w:val="18"/>
              </w:rPr>
              <w:t xml:space="preserve">24/80 – 2224/08145</w:t>
            </w:r>
          </w:p>
        </w:tc>
        <w:tc>
          <w:tcPr>
            <w:tcW w:type="dxa" w:w="2821"/>
          </w:tcPr>
          <w:p>
            <w:pPr>
              <w:pStyle w:val="Compact"/>
              <w:spacing w:before="20" w:after="20" w:line="240" w:lineRule="auto"/>
              <w:keepNext/>
            </w:pPr>
            <w:r>
              <w:rPr>
                <w:sz w:val="18"/>
                <w:szCs w:val="18"/>
              </w:rPr>
              <w:t xml:space="preserve">접합 패드를 이용한 연결 방법 – 범프 없는 적층 칩 접합</w:t>
            </w:r>
          </w:p>
        </w:tc>
        <w:tc>
          <w:tcPr>
            <w:tcW w:type="dxa" w:w="806"/>
          </w:tcPr>
          <w:p>
            <w:pPr>
              <w:pStyle w:val="Compact"/>
              <w:spacing w:before="20" w:after="20" w:line="240" w:lineRule="auto"/>
              <w:jc w:val="right"/>
              <w:keepNext/>
            </w:pPr>
            <w:r>
              <w:rPr>
                <w:sz w:val="18"/>
                <w:szCs w:val="18"/>
              </w:rPr>
              <w:t xml:space="preserve">392</w:t>
            </w:r>
          </w:p>
        </w:tc>
      </w:tr>
      <w:tr>
        <w:trPr>
          <w:cantSplit/>
        </w:trPr>
        <w:tc>
          <w:tcPr>
            <w:tcW w:type="dxa" w:w="806"/>
          </w:tcPr>
          <w:p>
            <w:pPr>
              <w:pStyle w:val="Compact"/>
              <w:spacing w:before="20" w:after="20" w:line="240" w:lineRule="auto"/>
              <w:jc w:val="right"/>
              <w:keepNext/>
            </w:pPr>
            <w:r>
              <w:rPr>
                <w:sz w:val="18"/>
                <w:szCs w:val="18"/>
              </w:rPr>
              <w:t xml:space="preserve">9</w:t>
            </w:r>
          </w:p>
        </w:tc>
        <w:tc>
          <w:tcPr>
            <w:tcW w:type="dxa" w:w="4635"/>
          </w:tcPr>
          <w:p>
            <w:pPr>
              <w:pStyle w:val="Compact"/>
              <w:spacing w:before="20" w:after="20" w:line="240" w:lineRule="auto"/>
              <w:keepNext/>
            </w:pPr>
            <w:r>
              <w:rPr>
                <w:sz w:val="18"/>
                <w:szCs w:val="18"/>
              </w:rPr>
              <w:t xml:space="preserve">2224/08145 – 2224/80895</w:t>
            </w:r>
          </w:p>
        </w:tc>
        <w:tc>
          <w:tcPr>
            <w:tcW w:type="dxa" w:w="2821"/>
          </w:tcPr>
          <w:p>
            <w:pPr>
              <w:pStyle w:val="Compact"/>
              <w:spacing w:before="20" w:after="20" w:line="240" w:lineRule="auto"/>
              <w:keepNext/>
            </w:pPr>
            <w:r>
              <w:rPr>
                <w:sz w:val="18"/>
                <w:szCs w:val="18"/>
              </w:rPr>
              <w:t xml:space="preserve">범프 없는 적층 칩 접합 – 도전성 표면 직접 접합</w:t>
            </w:r>
          </w:p>
        </w:tc>
        <w:tc>
          <w:tcPr>
            <w:tcW w:type="dxa" w:w="806"/>
          </w:tcPr>
          <w:p>
            <w:pPr>
              <w:pStyle w:val="Compact"/>
              <w:spacing w:before="20" w:after="20" w:line="240" w:lineRule="auto"/>
              <w:jc w:val="right"/>
              <w:keepNext/>
            </w:pPr>
            <w:r>
              <w:rPr>
                <w:sz w:val="18"/>
                <w:szCs w:val="18"/>
              </w:rPr>
              <w:t xml:space="preserve">379</w:t>
            </w:r>
          </w:p>
        </w:tc>
      </w:tr>
      <w:tr>
        <w:trPr>
          <w:cantSplit/>
        </w:trPr>
        <w:tc>
          <w:tcPr>
            <w:tcW w:type="dxa" w:w="806"/>
          </w:tcPr>
          <w:p>
            <w:pPr>
              <w:pStyle w:val="Compact"/>
              <w:spacing w:before="20" w:after="20" w:line="240" w:lineRule="auto"/>
              <w:jc w:val="right"/>
              <w:keepNext/>
            </w:pPr>
            <w:r>
              <w:rPr>
                <w:sz w:val="18"/>
                <w:szCs w:val="18"/>
              </w:rPr>
              <w:t xml:space="preserve">10</w:t>
            </w:r>
          </w:p>
        </w:tc>
        <w:tc>
          <w:tcPr>
            <w:tcW w:type="dxa" w:w="4635"/>
          </w:tcPr>
          <w:p>
            <w:pPr>
              <w:pStyle w:val="Compact"/>
              <w:spacing w:before="20" w:after="20" w:line="240" w:lineRule="auto"/>
              <w:keepNext/>
            </w:pPr>
            <w:r>
              <w:rPr>
                <w:sz w:val="18"/>
                <w:szCs w:val="18"/>
              </w:rPr>
              <w:t xml:space="preserve">2224/08145 – 2224/80896</w:t>
            </w:r>
          </w:p>
        </w:tc>
        <w:tc>
          <w:tcPr>
            <w:tcW w:type="dxa" w:w="2821"/>
          </w:tcPr>
          <w:p>
            <w:pPr>
              <w:pStyle w:val="Compact"/>
              <w:spacing w:before="20" w:after="20" w:line="240" w:lineRule="auto"/>
              <w:keepNext/>
            </w:pPr>
            <w:r>
              <w:rPr>
                <w:sz w:val="18"/>
                <w:szCs w:val="18"/>
              </w:rPr>
              <w:t xml:space="preserve">범프 없는 적층 칩 접합 – 절연성 표면 직접 접합</w:t>
            </w:r>
          </w:p>
        </w:tc>
        <w:tc>
          <w:tcPr>
            <w:tcW w:type="dxa" w:w="806"/>
          </w:tcPr>
          <w:p>
            <w:pPr>
              <w:pStyle w:val="Compact"/>
              <w:spacing w:before="20" w:after="20" w:line="240" w:lineRule="auto"/>
              <w:jc w:val="right"/>
              <w:keepNext/>
            </w:pPr>
            <w:r>
              <w:rPr>
                <w:sz w:val="18"/>
                <w:szCs w:val="18"/>
              </w:rPr>
              <w:t xml:space="preserve">368</w:t>
            </w:r>
          </w:p>
        </w:tc>
      </w:tr>
    </w:tbl>
    <w:p>
      <w:pPr>
        <w:pStyle w:val="BodyText"/>
      </w:pPr>
      <w:r>
        <w:rPr>
          <w:i/>
          <w:iCs/>
          <w:sz w:val="20"/>
          <w:szCs w:val="20"/>
        </w:rPr>
        <w:t xml:space="preserve">주:</w:t>
      </w:r>
      <w:r>
        <w:rPr>
          <w:sz w:val="20"/>
          <w:szCs w:val="20"/>
        </w:rPr>
        <w:t xml:space="preserve"> </w:t>
      </w:r>
      <w:r>
        <w:rPr>
          <w:sz w:val="20"/>
          <w:szCs w:val="20"/>
        </w:rPr>
        <w:t xml:space="preserve">기호 앞의 H01L은 생략하였다. 2위 쌍(24/08 – 24/80)의 출원 수는 회귀 자료에서 다시 집계한 값과 같다.</w:t>
      </w:r>
    </w:p>
    <w:bookmarkEnd w:id="10"/>
    <w:bookmarkStart w:id="11" w:name="s3.-다항-로짓-재추정-결과-전체와-iia-점검"/>
    <w:p>
      <w:pPr>
        <w:pStyle w:val="Heading3"/>
      </w:pPr>
      <w:r>
        <w:t xml:space="preserve">S3. 다항 로짓 재추정 결과 전체와 IIA 점검</w:t>
      </w:r>
    </w:p>
    <w:p>
      <w:pPr>
        <w:pStyle w:val="FirstParagraph"/>
      </w:pPr>
      <w:r>
        <w:t xml:space="preserve">표 S4와 S5는 본문 표 6에 제시한 다항 로짓 재추정(점추정치가 기준과 같은 군집 표준오차 행 제외)에 조정 범위와 2010년 이후 표본을 추가하여 전체 계수를 제시한 것이다. 각 열은 표본 또는 변수 정의를 하나씩 변경한 다항 로짓이며, 기준 열은 본문 표 3의 다항 로짓과 동일하다. 모든 열에 출원청 더미를 통제변수로 포함하였으나 계수는 생략하였다. 조정 범위는 출원이 보유한 클래스마다 최소 1개 기호를 차감한 유형 최소치 조정 CPC 범위(breadth_adj)를, 동일 제목 중복 제거는 같은 제목의 출원 가운데 가장 이른 1건만을 남긴 표본을, 좁은 제조공정 정의는 H01L21의 패키징 단계 공정 기호를 제조공정에서 제외한 변수를, 무관 용법 제외는 S1절의 68건을 제외한 표본을,</w:t>
      </w:r>
      <w:r>
        <w:t xml:space="preserve"> </w:t>
      </w:r>
      <w:r>
        <w:rPr>
          <w:i/>
          <w:iCs/>
        </w:rPr>
        <w:t xml:space="preserve">hybrid bonding</w:t>
      </w:r>
      <w:r>
        <w:t xml:space="preserve"> </w:t>
      </w:r>
      <w:r>
        <w:t xml:space="preserve">표본은 제목에</w:t>
      </w:r>
      <w:r>
        <w:t xml:space="preserve"> </w:t>
      </w:r>
      <w:r>
        <w:rPr>
          <w:i/>
          <w:iCs/>
        </w:rPr>
        <w:t xml:space="preserve">hybrid bonding</w:t>
      </w:r>
      <w:r>
        <w:t xml:space="preserve">이 포함된 출원만을 남긴 표본을 의미한다. 2010년 이후 표본은 본문 제5.2절에서 언급한 표본이다.</w:t>
      </w:r>
    </w:p>
    <w:p>
      <w:pPr>
        <w:pStyle w:val="BodyText"/>
        <w:keepNext/>
      </w:pPr>
      <w:r>
        <w:rPr>
          <w:b/>
          <w:bCs/>
          <w:sz w:val="20"/>
          <w:szCs w:val="20"/>
        </w:rPr>
        <w:t xml:space="preserve">표 S4.</w:t>
      </w:r>
      <w:r>
        <w:rPr>
          <w:sz w:val="20"/>
          <w:szCs w:val="20"/>
        </w:rPr>
        <w:t xml:space="preserve"> </w:t>
      </w:r>
      <w:r>
        <w:rPr>
          <w:sz w:val="20"/>
          <w:szCs w:val="20"/>
        </w:rPr>
        <w:t xml:space="preserve">다항 로짓의 통합형 방정식: 표본·변수별 상대위험비(기준 범주 = 접합 단독형; 출원청 더미 포함; 괄호 안은 로그 계수의 표준오차; * p &lt; 0.10, ** p &lt; 0.05, *** p &lt; 0.01).</w:t>
      </w:r>
    </w:p>
    <w:tbl>
      <w:tblPr>
        <w:tblStyle w:val="Table"/>
        <w:tblW w:type="dxa" w:w="9071"/>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06"/>
        <w:gridCol w:w="1137"/>
        <w:gridCol w:w="1137"/>
        <w:gridCol w:w="1137"/>
        <w:gridCol w:w="1142"/>
        <w:gridCol w:w="1137"/>
        <w:gridCol w:w="1138"/>
        <w:gridCol w:w="1137"/>
      </w:tblGrid>
      <w:tr>
        <w:trPr>
          <w:tblHeader w:val="on"/>
          <w:cantSplit/>
        </w:trPr>
        <w:tc>
          <w:tcPr>
            <w:tcW w:type="dxa" w:w="1106"/>
            <w:tcBorders>
              <w:bottom w:val="single" w:sz="4" w:space="0" w:color="000000"/>
            </w:tcBorders>
          </w:tcPr>
          <w:p>
            <w:pPr>
              <w:pStyle w:val="Compact"/>
              <w:spacing w:before="20" w:after="20" w:line="240" w:lineRule="auto"/>
              <w:keepNext/>
            </w:pPr>
          </w:p>
        </w:tc>
        <w:tc>
          <w:tcPr>
            <w:tcW w:type="dxa" w:w="1137"/>
            <w:tcBorders>
              <w:bottom w:val="single" w:sz="4" w:space="0" w:color="000000"/>
            </w:tcBorders>
          </w:tcPr>
          <w:p>
            <w:pPr>
              <w:pStyle w:val="Compact"/>
              <w:spacing w:before="20" w:after="20" w:line="240" w:lineRule="auto"/>
              <w:jc w:val="center"/>
              <w:keepNext/>
            </w:pPr>
            <w:r>
              <w:rPr>
                <w:sz w:val="13"/>
                <w:szCs w:val="13"/>
              </w:rPr>
              <w:t xml:space="preserve">기준</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조정 범위</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동일 제목 중복 제거</w:t>
            </w:r>
          </w:p>
        </w:tc>
        <w:tc>
          <w:tcPr>
            <w:tcW w:type="dxa" w:w="1142"/>
            <w:tcBorders>
              <w:bottom w:val="single" w:sz="4" w:space="0" w:color="000000"/>
            </w:tcBorders>
          </w:tcPr>
          <w:p>
            <w:pPr>
              <w:pStyle w:val="Compact"/>
              <w:spacing w:before="20" w:after="20" w:line="240" w:lineRule="auto"/>
              <w:jc w:val="center"/>
              <w:keepNext/>
            </w:pPr>
            <w:r>
              <w:rPr>
                <w:sz w:val="13"/>
                <w:szCs w:val="13"/>
              </w:rPr>
              <w:t xml:space="preserve">좁은 제조공정 정의</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무관 용법 제외</w:t>
            </w:r>
          </w:p>
        </w:tc>
        <w:tc>
          <w:tcPr>
            <w:tcW w:type="dxa" w:w="1138"/>
            <w:tcBorders>
              <w:bottom w:val="single" w:sz="4" w:space="0" w:color="000000"/>
            </w:tcBorders>
          </w:tcPr>
          <w:p>
            <w:pPr>
              <w:pStyle w:val="Compact"/>
              <w:spacing w:before="20" w:after="20" w:line="240" w:lineRule="auto"/>
              <w:jc w:val="center"/>
              <w:keepNext/>
            </w:pPr>
            <w:r>
              <w:rPr>
                <w:i/>
                <w:iCs/>
                <w:sz w:val="13"/>
                <w:szCs w:val="13"/>
              </w:rPr>
              <w:t xml:space="preserve">hybrid bonding</w:t>
            </w:r>
            <w:r>
              <w:rPr>
                <w:sz w:val="13"/>
                <w:szCs w:val="13"/>
              </w:rPr>
              <w:t xml:space="preserve"> </w:t>
            </w:r>
            <w:r>
              <w:rPr>
                <w:sz w:val="13"/>
                <w:szCs w:val="13"/>
              </w:rPr>
              <w:t xml:space="preserve">표본</w:t>
            </w:r>
          </w:p>
        </w:tc>
        <w:tc>
          <w:tcPr>
            <w:tcW w:type="dxa" w:w="1137"/>
            <w:tcBorders>
              <w:bottom w:val="single" w:sz="4" w:space="0" w:color="000000"/>
            </w:tcBorders>
          </w:tcPr>
          <w:p>
            <w:pPr>
              <w:pStyle w:val="Compact"/>
              <w:spacing w:before="20" w:after="20" w:line="240" w:lineRule="auto"/>
              <w:jc w:val="center"/>
              <w:keepNext/>
            </w:pPr>
            <w:r>
              <w:rPr>
                <w:sz w:val="13"/>
                <w:szCs w:val="13"/>
              </w:rPr>
              <w:t xml:space="preserve">2010년 이후</w:t>
            </w:r>
          </w:p>
        </w:tc>
      </w:tr>
      <w:tr>
        <w:trPr>
          <w:cantSplit/>
        </w:trPr>
        <w:tc>
          <w:tcPr>
            <w:tcW w:type="dxa" w:w="1106"/>
          </w:tcPr>
          <w:p>
            <w:pPr>
              <w:pStyle w:val="Compact"/>
              <w:spacing w:before="20" w:after="20" w:line="240" w:lineRule="auto"/>
              <w:keepNext/>
            </w:pPr>
            <w:r>
              <w:rPr>
                <w:sz w:val="13"/>
                <w:szCs w:val="13"/>
              </w:rPr>
              <w:t xml:space="preserve">기술범위</w:t>
            </w:r>
          </w:p>
        </w:tc>
        <w:tc>
          <w:tcPr>
            <w:tcW w:type="dxa" w:w="1137"/>
          </w:tcPr>
          <w:p>
            <w:pPr>
              <w:pStyle w:val="Compact"/>
              <w:spacing w:before="20" w:after="20" w:line="240" w:lineRule="auto"/>
              <w:jc w:val="center"/>
              <w:keepNext/>
            </w:pPr>
            <w:r>
              <w:rPr>
                <w:sz w:val="13"/>
                <w:szCs w:val="13"/>
              </w:rPr>
              <w:t xml:space="preserve">1.403*** (0.031)</w:t>
            </w:r>
          </w:p>
        </w:tc>
        <w:tc>
          <w:tcPr>
            <w:tcW w:type="dxa" w:w="1137"/>
          </w:tcPr>
          <w:p>
            <w:pPr>
              <w:pStyle w:val="Compact"/>
              <w:spacing w:before="20" w:after="20" w:line="240" w:lineRule="auto"/>
              <w:jc w:val="center"/>
              <w:keepNext/>
            </w:pPr>
            <w:r>
              <w:rPr>
                <w:sz w:val="13"/>
                <w:szCs w:val="13"/>
              </w:rPr>
              <w:t xml:space="preserve">1.262*** (0.027)</w:t>
            </w:r>
          </w:p>
        </w:tc>
        <w:tc>
          <w:tcPr>
            <w:tcW w:type="dxa" w:w="1137"/>
          </w:tcPr>
          <w:p>
            <w:pPr>
              <w:pStyle w:val="Compact"/>
              <w:spacing w:before="20" w:after="20" w:line="240" w:lineRule="auto"/>
              <w:jc w:val="center"/>
              <w:keepNext/>
            </w:pPr>
            <w:r>
              <w:rPr>
                <w:sz w:val="13"/>
                <w:szCs w:val="13"/>
              </w:rPr>
              <w:t xml:space="preserve">1.295*** (0.039)</w:t>
            </w:r>
          </w:p>
        </w:tc>
        <w:tc>
          <w:tcPr>
            <w:tcW w:type="dxa" w:w="1142"/>
          </w:tcPr>
          <w:p>
            <w:pPr>
              <w:pStyle w:val="Compact"/>
              <w:spacing w:before="20" w:after="20" w:line="240" w:lineRule="auto"/>
              <w:jc w:val="center"/>
              <w:keepNext/>
            </w:pPr>
            <w:r>
              <w:rPr>
                <w:sz w:val="13"/>
                <w:szCs w:val="13"/>
              </w:rPr>
              <w:t xml:space="preserve">1.352*** (0.028)</w:t>
            </w:r>
          </w:p>
        </w:tc>
        <w:tc>
          <w:tcPr>
            <w:tcW w:type="dxa" w:w="1137"/>
          </w:tcPr>
          <w:p>
            <w:pPr>
              <w:pStyle w:val="Compact"/>
              <w:spacing w:before="20" w:after="20" w:line="240" w:lineRule="auto"/>
              <w:jc w:val="center"/>
              <w:keepNext/>
            </w:pPr>
            <w:r>
              <w:rPr>
                <w:sz w:val="13"/>
                <w:szCs w:val="13"/>
              </w:rPr>
              <w:t xml:space="preserve">1.384*** (0.031)</w:t>
            </w:r>
          </w:p>
        </w:tc>
        <w:tc>
          <w:tcPr>
            <w:tcW w:type="dxa" w:w="1138"/>
          </w:tcPr>
          <w:p>
            <w:pPr>
              <w:pStyle w:val="Compact"/>
              <w:spacing w:before="20" w:after="20" w:line="240" w:lineRule="auto"/>
              <w:jc w:val="center"/>
              <w:keepNext/>
            </w:pPr>
            <w:r>
              <w:rPr>
                <w:sz w:val="13"/>
                <w:szCs w:val="13"/>
              </w:rPr>
              <w:t xml:space="preserve">1.485*** (0.044)</w:t>
            </w:r>
          </w:p>
        </w:tc>
        <w:tc>
          <w:tcPr>
            <w:tcW w:type="dxa" w:w="1137"/>
          </w:tcPr>
          <w:p>
            <w:pPr>
              <w:pStyle w:val="Compact"/>
              <w:spacing w:before="20" w:after="20" w:line="240" w:lineRule="auto"/>
              <w:jc w:val="center"/>
              <w:keepNext/>
            </w:pPr>
            <w:r>
              <w:rPr>
                <w:sz w:val="13"/>
                <w:szCs w:val="13"/>
              </w:rPr>
              <w:t xml:space="preserve">1.385*** (0.032)</w:t>
            </w:r>
          </w:p>
        </w:tc>
      </w:tr>
      <w:tr>
        <w:trPr>
          <w:cantSplit/>
        </w:trPr>
        <w:tc>
          <w:tcPr>
            <w:tcW w:type="dxa" w:w="1106"/>
          </w:tcPr>
          <w:p>
            <w:pPr>
              <w:pStyle w:val="Compact"/>
              <w:spacing w:before="20" w:after="20" w:line="240" w:lineRule="auto"/>
              <w:keepNext/>
            </w:pPr>
            <w:r>
              <w:rPr>
                <w:sz w:val="13"/>
                <w:szCs w:val="13"/>
              </w:rPr>
              <w:t xml:space="preserve">출원연도(yc)</w:t>
            </w:r>
          </w:p>
        </w:tc>
        <w:tc>
          <w:tcPr>
            <w:tcW w:type="dxa" w:w="1137"/>
          </w:tcPr>
          <w:p>
            <w:pPr>
              <w:pStyle w:val="Compact"/>
              <w:spacing w:before="20" w:after="20" w:line="240" w:lineRule="auto"/>
              <w:jc w:val="center"/>
              <w:keepNext/>
            </w:pPr>
            <w:r>
              <w:rPr>
                <w:sz w:val="13"/>
                <w:szCs w:val="13"/>
              </w:rPr>
              <w:t xml:space="preserve">0.993 (0.015)</w:t>
            </w:r>
          </w:p>
        </w:tc>
        <w:tc>
          <w:tcPr>
            <w:tcW w:type="dxa" w:w="1137"/>
          </w:tcPr>
          <w:p>
            <w:pPr>
              <w:pStyle w:val="Compact"/>
              <w:spacing w:before="20" w:after="20" w:line="240" w:lineRule="auto"/>
              <w:jc w:val="center"/>
              <w:keepNext/>
            </w:pPr>
            <w:r>
              <w:rPr>
                <w:sz w:val="13"/>
                <w:szCs w:val="13"/>
              </w:rPr>
              <w:t xml:space="preserve">1.002 (0.014)</w:t>
            </w:r>
          </w:p>
        </w:tc>
        <w:tc>
          <w:tcPr>
            <w:tcW w:type="dxa" w:w="1137"/>
          </w:tcPr>
          <w:p>
            <w:pPr>
              <w:pStyle w:val="Compact"/>
              <w:spacing w:before="20" w:after="20" w:line="240" w:lineRule="auto"/>
              <w:jc w:val="center"/>
              <w:keepNext/>
            </w:pPr>
            <w:r>
              <w:rPr>
                <w:sz w:val="13"/>
                <w:szCs w:val="13"/>
              </w:rPr>
              <w:t xml:space="preserve">0.997 (0.018)</w:t>
            </w:r>
          </w:p>
        </w:tc>
        <w:tc>
          <w:tcPr>
            <w:tcW w:type="dxa" w:w="1142"/>
          </w:tcPr>
          <w:p>
            <w:pPr>
              <w:pStyle w:val="Compact"/>
              <w:spacing w:before="20" w:after="20" w:line="240" w:lineRule="auto"/>
              <w:jc w:val="center"/>
              <w:keepNext/>
            </w:pPr>
            <w:r>
              <w:rPr>
                <w:sz w:val="13"/>
                <w:szCs w:val="13"/>
              </w:rPr>
              <w:t xml:space="preserve">0.967** (0.015)</w:t>
            </w:r>
          </w:p>
        </w:tc>
        <w:tc>
          <w:tcPr>
            <w:tcW w:type="dxa" w:w="1137"/>
          </w:tcPr>
          <w:p>
            <w:pPr>
              <w:pStyle w:val="Compact"/>
              <w:spacing w:before="20" w:after="20" w:line="240" w:lineRule="auto"/>
              <w:jc w:val="center"/>
              <w:keepNext/>
            </w:pPr>
            <w:r>
              <w:rPr>
                <w:sz w:val="13"/>
                <w:szCs w:val="13"/>
              </w:rPr>
              <w:t xml:space="preserve">0.949** (0.022)</w:t>
            </w:r>
          </w:p>
        </w:tc>
        <w:tc>
          <w:tcPr>
            <w:tcW w:type="dxa" w:w="1138"/>
          </w:tcPr>
          <w:p>
            <w:pPr>
              <w:pStyle w:val="Compact"/>
              <w:spacing w:before="20" w:after="20" w:line="240" w:lineRule="auto"/>
              <w:jc w:val="center"/>
              <w:keepNext/>
            </w:pPr>
            <w:r>
              <w:rPr>
                <w:sz w:val="13"/>
                <w:szCs w:val="13"/>
              </w:rPr>
              <w:t xml:space="preserve">0.965 (0.033)</w:t>
            </w:r>
          </w:p>
        </w:tc>
        <w:tc>
          <w:tcPr>
            <w:tcW w:type="dxa" w:w="1137"/>
          </w:tcPr>
          <w:p>
            <w:pPr>
              <w:pStyle w:val="Compact"/>
              <w:spacing w:before="20" w:after="20" w:line="240" w:lineRule="auto"/>
              <w:jc w:val="center"/>
              <w:keepNext/>
            </w:pPr>
            <w:r>
              <w:rPr>
                <w:sz w:val="13"/>
                <w:szCs w:val="13"/>
              </w:rPr>
              <w:t xml:space="preserve">0.934** (0.027)</w:t>
            </w:r>
          </w:p>
        </w:tc>
      </w:tr>
      <w:tr>
        <w:trPr>
          <w:cantSplit/>
        </w:trPr>
        <w:tc>
          <w:tcPr>
            <w:tcW w:type="dxa" w:w="1106"/>
          </w:tcPr>
          <w:p>
            <w:pPr>
              <w:pStyle w:val="Compact"/>
              <w:spacing w:before="20" w:after="20" w:line="240" w:lineRule="auto"/>
              <w:keepNext/>
            </w:pPr>
            <w:r>
              <w:rPr>
                <w:sz w:val="13"/>
                <w:szCs w:val="13"/>
              </w:rPr>
              <w:t xml:space="preserve">N</w:t>
            </w:r>
          </w:p>
        </w:tc>
        <w:tc>
          <w:tcPr>
            <w:tcW w:type="dxa" w:w="1137"/>
          </w:tcPr>
          <w:p>
            <w:pPr>
              <w:pStyle w:val="Compact"/>
              <w:spacing w:before="20" w:after="20" w:line="240" w:lineRule="auto"/>
              <w:jc w:val="center"/>
              <w:keepNext/>
            </w:pPr>
            <w:r>
              <w:rPr>
                <w:sz w:val="13"/>
                <w:szCs w:val="13"/>
              </w:rPr>
              <w:t xml:space="preserve">928</w:t>
            </w:r>
          </w:p>
        </w:tc>
        <w:tc>
          <w:tcPr>
            <w:tcW w:type="dxa" w:w="1137"/>
          </w:tcPr>
          <w:p>
            <w:pPr>
              <w:pStyle w:val="Compact"/>
              <w:spacing w:before="20" w:after="20" w:line="240" w:lineRule="auto"/>
              <w:jc w:val="center"/>
              <w:keepNext/>
            </w:pPr>
            <w:r>
              <w:rPr>
                <w:sz w:val="13"/>
                <w:szCs w:val="13"/>
              </w:rPr>
              <w:t xml:space="preserve">928</w:t>
            </w:r>
          </w:p>
        </w:tc>
        <w:tc>
          <w:tcPr>
            <w:tcW w:type="dxa" w:w="1137"/>
          </w:tcPr>
          <w:p>
            <w:pPr>
              <w:pStyle w:val="Compact"/>
              <w:spacing w:before="20" w:after="20" w:line="240" w:lineRule="auto"/>
              <w:jc w:val="center"/>
              <w:keepNext/>
            </w:pPr>
            <w:r>
              <w:rPr>
                <w:sz w:val="13"/>
                <w:szCs w:val="13"/>
              </w:rPr>
              <w:t xml:space="preserve">473</w:t>
            </w:r>
          </w:p>
        </w:tc>
        <w:tc>
          <w:tcPr>
            <w:tcW w:type="dxa" w:w="1142"/>
          </w:tcPr>
          <w:p>
            <w:pPr>
              <w:pStyle w:val="Compact"/>
              <w:spacing w:before="20" w:after="20" w:line="240" w:lineRule="auto"/>
              <w:jc w:val="center"/>
              <w:keepNext/>
            </w:pPr>
            <w:r>
              <w:rPr>
                <w:sz w:val="13"/>
                <w:szCs w:val="13"/>
              </w:rPr>
              <w:t xml:space="preserve">908</w:t>
            </w:r>
          </w:p>
        </w:tc>
        <w:tc>
          <w:tcPr>
            <w:tcW w:type="dxa" w:w="1137"/>
          </w:tcPr>
          <w:p>
            <w:pPr>
              <w:pStyle w:val="Compact"/>
              <w:spacing w:before="20" w:after="20" w:line="240" w:lineRule="auto"/>
              <w:jc w:val="center"/>
              <w:keepNext/>
            </w:pPr>
            <w:r>
              <w:rPr>
                <w:sz w:val="13"/>
                <w:szCs w:val="13"/>
              </w:rPr>
              <w:t xml:space="preserve">860</w:t>
            </w:r>
          </w:p>
        </w:tc>
        <w:tc>
          <w:tcPr>
            <w:tcW w:type="dxa" w:w="1138"/>
          </w:tcPr>
          <w:p>
            <w:pPr>
              <w:pStyle w:val="Compact"/>
              <w:spacing w:before="20" w:after="20" w:line="240" w:lineRule="auto"/>
              <w:jc w:val="center"/>
              <w:keepNext/>
            </w:pPr>
            <w:r>
              <w:rPr>
                <w:sz w:val="13"/>
                <w:szCs w:val="13"/>
              </w:rPr>
              <w:t xml:space="preserve">467</w:t>
            </w:r>
          </w:p>
        </w:tc>
        <w:tc>
          <w:tcPr>
            <w:tcW w:type="dxa" w:w="1137"/>
          </w:tcPr>
          <w:p>
            <w:pPr>
              <w:pStyle w:val="Compact"/>
              <w:spacing w:before="20" w:after="20" w:line="240" w:lineRule="auto"/>
              <w:jc w:val="center"/>
              <w:keepNext/>
            </w:pPr>
            <w:r>
              <w:rPr>
                <w:sz w:val="13"/>
                <w:szCs w:val="13"/>
              </w:rPr>
              <w:t xml:space="preserve">830</w:t>
            </w:r>
          </w:p>
        </w:tc>
      </w:tr>
      <w:tr>
        <w:trPr>
          <w:cantSplit/>
        </w:trPr>
        <w:tc>
          <w:tcPr>
            <w:tcW w:type="dxa" w:w="1106"/>
          </w:tcPr>
          <w:p>
            <w:pPr>
              <w:pStyle w:val="Compact"/>
              <w:spacing w:before="20" w:after="20" w:line="240" w:lineRule="auto"/>
              <w:keepNext/>
            </w:pPr>
            <w:r>
              <w:rPr>
                <w:sz w:val="13"/>
                <w:szCs w:val="13"/>
              </w:rPr>
              <w:t xml:space="preserve">로그우도</w:t>
            </w:r>
          </w:p>
        </w:tc>
        <w:tc>
          <w:tcPr>
            <w:tcW w:type="dxa" w:w="1137"/>
          </w:tcPr>
          <w:p>
            <w:pPr>
              <w:pStyle w:val="Compact"/>
              <w:spacing w:before="20" w:after="20" w:line="240" w:lineRule="auto"/>
              <w:jc w:val="center"/>
              <w:keepNext/>
            </w:pPr>
            <w:r>
              <w:rPr>
                <w:sz w:val="13"/>
                <w:szCs w:val="13"/>
              </w:rPr>
              <w:t xml:space="preserve">−774.5</w:t>
            </w:r>
          </w:p>
        </w:tc>
        <w:tc>
          <w:tcPr>
            <w:tcW w:type="dxa" w:w="1137"/>
          </w:tcPr>
          <w:p>
            <w:pPr>
              <w:pStyle w:val="Compact"/>
              <w:spacing w:before="20" w:after="20" w:line="240" w:lineRule="auto"/>
              <w:jc w:val="center"/>
              <w:keepNext/>
            </w:pPr>
            <w:r>
              <w:rPr>
                <w:sz w:val="13"/>
                <w:szCs w:val="13"/>
              </w:rPr>
              <w:t xml:space="preserve">−829.4</w:t>
            </w:r>
          </w:p>
        </w:tc>
        <w:tc>
          <w:tcPr>
            <w:tcW w:type="dxa" w:w="1137"/>
          </w:tcPr>
          <w:p>
            <w:pPr>
              <w:pStyle w:val="Compact"/>
              <w:spacing w:before="20" w:after="20" w:line="240" w:lineRule="auto"/>
              <w:jc w:val="center"/>
              <w:keepNext/>
            </w:pPr>
            <w:r>
              <w:rPr>
                <w:sz w:val="13"/>
                <w:szCs w:val="13"/>
              </w:rPr>
              <w:t xml:space="preserve">−425.3</w:t>
            </w:r>
          </w:p>
        </w:tc>
        <w:tc>
          <w:tcPr>
            <w:tcW w:type="dxa" w:w="1142"/>
          </w:tcPr>
          <w:p>
            <w:pPr>
              <w:pStyle w:val="Compact"/>
              <w:spacing w:before="20" w:after="20" w:line="240" w:lineRule="auto"/>
              <w:jc w:val="center"/>
              <w:keepNext/>
            </w:pPr>
            <w:r>
              <w:rPr>
                <w:sz w:val="13"/>
                <w:szCs w:val="13"/>
              </w:rPr>
              <w:t xml:space="preserve">−755.9</w:t>
            </w:r>
          </w:p>
        </w:tc>
        <w:tc>
          <w:tcPr>
            <w:tcW w:type="dxa" w:w="1137"/>
          </w:tcPr>
          <w:p>
            <w:pPr>
              <w:pStyle w:val="Compact"/>
              <w:spacing w:before="20" w:after="20" w:line="240" w:lineRule="auto"/>
              <w:jc w:val="center"/>
              <w:keepNext/>
            </w:pPr>
            <w:r>
              <w:rPr>
                <w:sz w:val="13"/>
                <w:szCs w:val="13"/>
              </w:rPr>
              <w:t xml:space="preserve">−682.7</w:t>
            </w:r>
          </w:p>
        </w:tc>
        <w:tc>
          <w:tcPr>
            <w:tcW w:type="dxa" w:w="1138"/>
          </w:tcPr>
          <w:p>
            <w:pPr>
              <w:pStyle w:val="Compact"/>
              <w:spacing w:before="20" w:after="20" w:line="240" w:lineRule="auto"/>
              <w:jc w:val="center"/>
              <w:keepNext/>
            </w:pPr>
            <w:r>
              <w:rPr>
                <w:sz w:val="13"/>
                <w:szCs w:val="13"/>
              </w:rPr>
              <w:t xml:space="preserve">−364.0</w:t>
            </w:r>
          </w:p>
        </w:tc>
        <w:tc>
          <w:tcPr>
            <w:tcW w:type="dxa" w:w="1137"/>
          </w:tcPr>
          <w:p>
            <w:pPr>
              <w:pStyle w:val="Compact"/>
              <w:spacing w:before="20" w:after="20" w:line="240" w:lineRule="auto"/>
              <w:jc w:val="center"/>
              <w:keepNext/>
            </w:pPr>
            <w:r>
              <w:rPr>
                <w:sz w:val="13"/>
                <w:szCs w:val="13"/>
              </w:rPr>
              <w:t xml:space="preserve">−683.0</w:t>
            </w:r>
          </w:p>
        </w:tc>
      </w:tr>
    </w:tbl>
    <w:p>
      <w:pPr>
        <w:pStyle w:val="BodyText"/>
        <w:keepNext/>
      </w:pPr>
      <w:r>
        <w:rPr>
          <w:b/>
          <w:bCs/>
          <w:sz w:val="20"/>
          <w:szCs w:val="20"/>
        </w:rPr>
        <w:t xml:space="preserve">표 S5.</w:t>
      </w:r>
      <w:r>
        <w:rPr>
          <w:sz w:val="20"/>
          <w:szCs w:val="20"/>
        </w:rPr>
        <w:t xml:space="preserve"> </w:t>
      </w:r>
      <w:r>
        <w:rPr>
          <w:sz w:val="20"/>
          <w:szCs w:val="20"/>
        </w:rPr>
        <w:t xml:space="preserve">다항 로짓의 공정 단독형 방정식: 표본·변수별 상대위험비(기준 범주 = 접합 단독형; 출원청 더미 포함; 괄호 안은 로그 계수의 표준오차; * p &lt; 0.10, ** p &lt; 0.05, *** p &lt; 0.01).</w:t>
      </w:r>
    </w:p>
    <w:tbl>
      <w:tblPr>
        <w:tblStyle w:val="Table"/>
        <w:tblW w:type="dxa" w:w="9071"/>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06"/>
        <w:gridCol w:w="1156"/>
        <w:gridCol w:w="1156"/>
        <w:gridCol w:w="1156"/>
        <w:gridCol w:w="1161"/>
        <w:gridCol w:w="1156"/>
        <w:gridCol w:w="1024"/>
        <w:gridCol w:w="1156"/>
      </w:tblGrid>
      <w:tr>
        <w:trPr>
          <w:tblHeader w:val="on"/>
          <w:cantSplit/>
        </w:trPr>
        <w:tc>
          <w:tcPr>
            <w:tcW w:type="dxa" w:w="1106"/>
            <w:tcBorders>
              <w:bottom w:val="single" w:sz="4" w:space="0" w:color="000000"/>
            </w:tcBorders>
          </w:tcPr>
          <w:p>
            <w:pPr>
              <w:pStyle w:val="Compact"/>
              <w:spacing w:before="20" w:after="20" w:line="240" w:lineRule="auto"/>
              <w:keepNext/>
            </w:pPr>
          </w:p>
        </w:tc>
        <w:tc>
          <w:tcPr>
            <w:tcW w:type="dxa" w:w="1156"/>
            <w:tcBorders>
              <w:bottom w:val="single" w:sz="4" w:space="0" w:color="000000"/>
            </w:tcBorders>
          </w:tcPr>
          <w:p>
            <w:pPr>
              <w:pStyle w:val="Compact"/>
              <w:spacing w:before="20" w:after="20" w:line="240" w:lineRule="auto"/>
              <w:jc w:val="center"/>
              <w:keepNext/>
            </w:pPr>
            <w:r>
              <w:rPr>
                <w:sz w:val="13"/>
                <w:szCs w:val="13"/>
              </w:rPr>
              <w:t xml:space="preserve">기준</w:t>
            </w:r>
          </w:p>
        </w:tc>
        <w:tc>
          <w:tcPr>
            <w:tcW w:type="dxa" w:w="1156"/>
            <w:tcBorders>
              <w:bottom w:val="single" w:sz="4" w:space="0" w:color="000000"/>
            </w:tcBorders>
          </w:tcPr>
          <w:p>
            <w:pPr>
              <w:pStyle w:val="Compact"/>
              <w:spacing w:before="20" w:after="20" w:line="240" w:lineRule="auto"/>
              <w:jc w:val="center"/>
              <w:keepNext/>
            </w:pPr>
            <w:r>
              <w:rPr>
                <w:sz w:val="13"/>
                <w:szCs w:val="13"/>
              </w:rPr>
              <w:t xml:space="preserve">조정 범위</w:t>
            </w:r>
          </w:p>
        </w:tc>
        <w:tc>
          <w:tcPr>
            <w:tcW w:type="dxa" w:w="1156"/>
            <w:tcBorders>
              <w:bottom w:val="single" w:sz="4" w:space="0" w:color="000000"/>
            </w:tcBorders>
          </w:tcPr>
          <w:p>
            <w:pPr>
              <w:pStyle w:val="Compact"/>
              <w:spacing w:before="20" w:after="20" w:line="240" w:lineRule="auto"/>
              <w:jc w:val="center"/>
              <w:keepNext/>
            </w:pPr>
            <w:r>
              <w:rPr>
                <w:sz w:val="13"/>
                <w:szCs w:val="13"/>
              </w:rPr>
              <w:t xml:space="preserve">동일 제목 중복 제거</w:t>
            </w:r>
          </w:p>
        </w:tc>
        <w:tc>
          <w:tcPr>
            <w:tcW w:type="dxa" w:w="1161"/>
            <w:tcBorders>
              <w:bottom w:val="single" w:sz="4" w:space="0" w:color="000000"/>
            </w:tcBorders>
          </w:tcPr>
          <w:p>
            <w:pPr>
              <w:pStyle w:val="Compact"/>
              <w:spacing w:before="20" w:after="20" w:line="240" w:lineRule="auto"/>
              <w:jc w:val="center"/>
              <w:keepNext/>
            </w:pPr>
            <w:r>
              <w:rPr>
                <w:sz w:val="13"/>
                <w:szCs w:val="13"/>
              </w:rPr>
              <w:t xml:space="preserve">좁은 제조공정 정의</w:t>
            </w:r>
          </w:p>
        </w:tc>
        <w:tc>
          <w:tcPr>
            <w:tcW w:type="dxa" w:w="1156"/>
            <w:tcBorders>
              <w:bottom w:val="single" w:sz="4" w:space="0" w:color="000000"/>
            </w:tcBorders>
          </w:tcPr>
          <w:p>
            <w:pPr>
              <w:pStyle w:val="Compact"/>
              <w:spacing w:before="20" w:after="20" w:line="240" w:lineRule="auto"/>
              <w:jc w:val="center"/>
              <w:keepNext/>
            </w:pPr>
            <w:r>
              <w:rPr>
                <w:sz w:val="13"/>
                <w:szCs w:val="13"/>
              </w:rPr>
              <w:t xml:space="preserve">무관 용법 제외</w:t>
            </w:r>
          </w:p>
        </w:tc>
        <w:tc>
          <w:tcPr>
            <w:tcW w:type="dxa" w:w="1024"/>
            <w:tcBorders>
              <w:bottom w:val="single" w:sz="4" w:space="0" w:color="000000"/>
            </w:tcBorders>
          </w:tcPr>
          <w:p>
            <w:pPr>
              <w:pStyle w:val="Compact"/>
              <w:spacing w:before="20" w:after="20" w:line="240" w:lineRule="auto"/>
              <w:jc w:val="center"/>
              <w:keepNext/>
            </w:pPr>
            <w:r>
              <w:rPr>
                <w:i/>
                <w:iCs/>
                <w:sz w:val="13"/>
                <w:szCs w:val="13"/>
              </w:rPr>
              <w:t xml:space="preserve">hybrid bonding</w:t>
            </w:r>
            <w:r>
              <w:rPr>
                <w:sz w:val="13"/>
                <w:szCs w:val="13"/>
              </w:rPr>
              <w:t xml:space="preserve"> </w:t>
            </w:r>
            <w:r>
              <w:rPr>
                <w:sz w:val="13"/>
                <w:szCs w:val="13"/>
              </w:rPr>
              <w:t xml:space="preserve">표본</w:t>
            </w:r>
          </w:p>
        </w:tc>
        <w:tc>
          <w:tcPr>
            <w:tcW w:type="dxa" w:w="1156"/>
            <w:tcBorders>
              <w:bottom w:val="single" w:sz="4" w:space="0" w:color="000000"/>
            </w:tcBorders>
          </w:tcPr>
          <w:p>
            <w:pPr>
              <w:pStyle w:val="Compact"/>
              <w:spacing w:before="20" w:after="20" w:line="240" w:lineRule="auto"/>
              <w:jc w:val="center"/>
              <w:keepNext/>
            </w:pPr>
            <w:r>
              <w:rPr>
                <w:sz w:val="13"/>
                <w:szCs w:val="13"/>
              </w:rPr>
              <w:t xml:space="preserve">2010년 이후</w:t>
            </w:r>
          </w:p>
        </w:tc>
      </w:tr>
      <w:tr>
        <w:trPr>
          <w:cantSplit/>
        </w:trPr>
        <w:tc>
          <w:tcPr>
            <w:tcW w:type="dxa" w:w="1106"/>
          </w:tcPr>
          <w:p>
            <w:pPr>
              <w:pStyle w:val="Compact"/>
              <w:spacing w:before="20" w:after="20" w:line="240" w:lineRule="auto"/>
              <w:keepNext/>
            </w:pPr>
            <w:r>
              <w:rPr>
                <w:sz w:val="13"/>
                <w:szCs w:val="13"/>
              </w:rPr>
              <w:t xml:space="preserve">기술범위</w:t>
            </w:r>
          </w:p>
        </w:tc>
        <w:tc>
          <w:tcPr>
            <w:tcW w:type="dxa" w:w="1156"/>
          </w:tcPr>
          <w:p>
            <w:pPr>
              <w:pStyle w:val="Compact"/>
              <w:spacing w:before="20" w:after="20" w:line="240" w:lineRule="auto"/>
              <w:jc w:val="center"/>
              <w:keepNext/>
            </w:pPr>
            <w:r>
              <w:rPr>
                <w:sz w:val="13"/>
                <w:szCs w:val="13"/>
              </w:rPr>
              <w:t xml:space="preserve">0.905** (0.048)</w:t>
            </w:r>
          </w:p>
        </w:tc>
        <w:tc>
          <w:tcPr>
            <w:tcW w:type="dxa" w:w="1156"/>
          </w:tcPr>
          <w:p>
            <w:pPr>
              <w:pStyle w:val="Compact"/>
              <w:spacing w:before="20" w:after="20" w:line="240" w:lineRule="auto"/>
              <w:jc w:val="center"/>
              <w:keepNext/>
            </w:pPr>
            <w:r>
              <w:rPr>
                <w:sz w:val="13"/>
                <w:szCs w:val="13"/>
              </w:rPr>
              <w:t xml:space="preserve">0.915** (0.044)</w:t>
            </w:r>
          </w:p>
        </w:tc>
        <w:tc>
          <w:tcPr>
            <w:tcW w:type="dxa" w:w="1156"/>
          </w:tcPr>
          <w:p>
            <w:pPr>
              <w:pStyle w:val="Compact"/>
              <w:spacing w:before="20" w:after="20" w:line="240" w:lineRule="auto"/>
              <w:jc w:val="center"/>
              <w:keepNext/>
            </w:pPr>
            <w:r>
              <w:rPr>
                <w:sz w:val="13"/>
                <w:szCs w:val="13"/>
              </w:rPr>
              <w:t xml:space="preserve">0.826*** (0.061)</w:t>
            </w:r>
          </w:p>
        </w:tc>
        <w:tc>
          <w:tcPr>
            <w:tcW w:type="dxa" w:w="1161"/>
          </w:tcPr>
          <w:p>
            <w:pPr>
              <w:pStyle w:val="Compact"/>
              <w:spacing w:before="20" w:after="20" w:line="240" w:lineRule="auto"/>
              <w:jc w:val="center"/>
              <w:keepNext/>
            </w:pPr>
            <w:r>
              <w:rPr>
                <w:sz w:val="13"/>
                <w:szCs w:val="13"/>
              </w:rPr>
              <w:t xml:space="preserve">0.923* (0.045)</w:t>
            </w:r>
          </w:p>
        </w:tc>
        <w:tc>
          <w:tcPr>
            <w:tcW w:type="dxa" w:w="1156"/>
          </w:tcPr>
          <w:p>
            <w:pPr>
              <w:pStyle w:val="Compact"/>
              <w:spacing w:before="20" w:after="20" w:line="240" w:lineRule="auto"/>
              <w:jc w:val="center"/>
              <w:keepNext/>
            </w:pPr>
            <w:r>
              <w:rPr>
                <w:sz w:val="13"/>
                <w:szCs w:val="13"/>
              </w:rPr>
              <w:t xml:space="preserve">0.916* (0.050)</w:t>
            </w:r>
          </w:p>
        </w:tc>
        <w:tc>
          <w:tcPr>
            <w:tcW w:type="dxa" w:w="1024"/>
          </w:tcPr>
          <w:p>
            <w:pPr>
              <w:pStyle w:val="Compact"/>
              <w:spacing w:before="20" w:after="20" w:line="240" w:lineRule="auto"/>
              <w:jc w:val="center"/>
              <w:keepNext/>
            </w:pPr>
            <w:r>
              <w:rPr>
                <w:sz w:val="13"/>
                <w:szCs w:val="13"/>
              </w:rPr>
              <w:t xml:space="preserve">1.129* (0.062)</w:t>
            </w:r>
          </w:p>
        </w:tc>
        <w:tc>
          <w:tcPr>
            <w:tcW w:type="dxa" w:w="1156"/>
          </w:tcPr>
          <w:p>
            <w:pPr>
              <w:pStyle w:val="Compact"/>
              <w:spacing w:before="20" w:after="20" w:line="240" w:lineRule="auto"/>
              <w:jc w:val="center"/>
              <w:keepNext/>
            </w:pPr>
            <w:r>
              <w:rPr>
                <w:sz w:val="13"/>
                <w:szCs w:val="13"/>
              </w:rPr>
              <w:t xml:space="preserve">0.910* (0.051)</w:t>
            </w:r>
          </w:p>
        </w:tc>
      </w:tr>
      <w:tr>
        <w:trPr>
          <w:cantSplit/>
        </w:trPr>
        <w:tc>
          <w:tcPr>
            <w:tcW w:type="dxa" w:w="1106"/>
          </w:tcPr>
          <w:p>
            <w:pPr>
              <w:pStyle w:val="Compact"/>
              <w:spacing w:before="20" w:after="20" w:line="240" w:lineRule="auto"/>
              <w:keepNext/>
            </w:pPr>
            <w:r>
              <w:rPr>
                <w:sz w:val="13"/>
                <w:szCs w:val="13"/>
              </w:rPr>
              <w:t xml:space="preserve">출원연도(yc)</w:t>
            </w:r>
          </w:p>
        </w:tc>
        <w:tc>
          <w:tcPr>
            <w:tcW w:type="dxa" w:w="1156"/>
          </w:tcPr>
          <w:p>
            <w:pPr>
              <w:pStyle w:val="Compact"/>
              <w:spacing w:before="20" w:after="20" w:line="240" w:lineRule="auto"/>
              <w:jc w:val="center"/>
              <w:keepNext/>
            </w:pPr>
            <w:r>
              <w:rPr>
                <w:sz w:val="13"/>
                <w:szCs w:val="13"/>
              </w:rPr>
              <w:t xml:space="preserve">0.913*** (0.015)</w:t>
            </w:r>
          </w:p>
        </w:tc>
        <w:tc>
          <w:tcPr>
            <w:tcW w:type="dxa" w:w="1156"/>
          </w:tcPr>
          <w:p>
            <w:pPr>
              <w:pStyle w:val="Compact"/>
              <w:spacing w:before="20" w:after="20" w:line="240" w:lineRule="auto"/>
              <w:jc w:val="center"/>
              <w:keepNext/>
            </w:pPr>
            <w:r>
              <w:rPr>
                <w:sz w:val="13"/>
                <w:szCs w:val="13"/>
              </w:rPr>
              <w:t xml:space="preserve">0.911*** (0.015)</w:t>
            </w:r>
          </w:p>
        </w:tc>
        <w:tc>
          <w:tcPr>
            <w:tcW w:type="dxa" w:w="1156"/>
          </w:tcPr>
          <w:p>
            <w:pPr>
              <w:pStyle w:val="Compact"/>
              <w:spacing w:before="20" w:after="20" w:line="240" w:lineRule="auto"/>
              <w:jc w:val="center"/>
              <w:keepNext/>
            </w:pPr>
            <w:r>
              <w:rPr>
                <w:sz w:val="13"/>
                <w:szCs w:val="13"/>
              </w:rPr>
              <w:t xml:space="preserve">0.935*** (0.016)</w:t>
            </w:r>
          </w:p>
        </w:tc>
        <w:tc>
          <w:tcPr>
            <w:tcW w:type="dxa" w:w="1161"/>
          </w:tcPr>
          <w:p>
            <w:pPr>
              <w:pStyle w:val="Compact"/>
              <w:spacing w:before="20" w:after="20" w:line="240" w:lineRule="auto"/>
              <w:jc w:val="center"/>
              <w:keepNext/>
            </w:pPr>
            <w:r>
              <w:rPr>
                <w:sz w:val="13"/>
                <w:szCs w:val="13"/>
              </w:rPr>
              <w:t xml:space="preserve">0.898*** (0.015)</w:t>
            </w:r>
          </w:p>
        </w:tc>
        <w:tc>
          <w:tcPr>
            <w:tcW w:type="dxa" w:w="1156"/>
          </w:tcPr>
          <w:p>
            <w:pPr>
              <w:pStyle w:val="Compact"/>
              <w:spacing w:before="20" w:after="20" w:line="240" w:lineRule="auto"/>
              <w:jc w:val="center"/>
              <w:keepNext/>
            </w:pPr>
            <w:r>
              <w:rPr>
                <w:sz w:val="13"/>
                <w:szCs w:val="13"/>
              </w:rPr>
              <w:t xml:space="preserve">0.820*** (0.023)</w:t>
            </w:r>
          </w:p>
        </w:tc>
        <w:tc>
          <w:tcPr>
            <w:tcW w:type="dxa" w:w="1024"/>
          </w:tcPr>
          <w:p>
            <w:pPr>
              <w:pStyle w:val="Compact"/>
              <w:spacing w:before="20" w:after="20" w:line="240" w:lineRule="auto"/>
              <w:jc w:val="center"/>
              <w:keepNext/>
            </w:pPr>
            <w:r>
              <w:rPr>
                <w:sz w:val="13"/>
                <w:szCs w:val="13"/>
              </w:rPr>
              <w:t xml:space="preserve">1.029 (0.057)</w:t>
            </w:r>
          </w:p>
        </w:tc>
        <w:tc>
          <w:tcPr>
            <w:tcW w:type="dxa" w:w="1156"/>
          </w:tcPr>
          <w:p>
            <w:pPr>
              <w:pStyle w:val="Compact"/>
              <w:spacing w:before="20" w:after="20" w:line="240" w:lineRule="auto"/>
              <w:jc w:val="center"/>
              <w:keepNext/>
            </w:pPr>
            <w:r>
              <w:rPr>
                <w:sz w:val="13"/>
                <w:szCs w:val="13"/>
              </w:rPr>
              <w:t xml:space="preserve">0.862*** (0.033)</w:t>
            </w:r>
          </w:p>
        </w:tc>
      </w:tr>
      <w:tr>
        <w:trPr>
          <w:cantSplit/>
        </w:trPr>
        <w:tc>
          <w:tcPr>
            <w:tcW w:type="dxa" w:w="1106"/>
          </w:tcPr>
          <w:p>
            <w:pPr>
              <w:pStyle w:val="Compact"/>
              <w:spacing w:before="20" w:after="20" w:line="240" w:lineRule="auto"/>
              <w:keepNext/>
            </w:pPr>
            <w:r>
              <w:rPr>
                <w:sz w:val="13"/>
                <w:szCs w:val="13"/>
              </w:rPr>
              <w:t xml:space="preserve">N</w:t>
            </w:r>
          </w:p>
        </w:tc>
        <w:tc>
          <w:tcPr>
            <w:tcW w:type="dxa" w:w="1156"/>
          </w:tcPr>
          <w:p>
            <w:pPr>
              <w:pStyle w:val="Compact"/>
              <w:spacing w:before="20" w:after="20" w:line="240" w:lineRule="auto"/>
              <w:jc w:val="center"/>
              <w:keepNext/>
            </w:pPr>
            <w:r>
              <w:rPr>
                <w:sz w:val="13"/>
                <w:szCs w:val="13"/>
              </w:rPr>
              <w:t xml:space="preserve">928</w:t>
            </w:r>
          </w:p>
        </w:tc>
        <w:tc>
          <w:tcPr>
            <w:tcW w:type="dxa" w:w="1156"/>
          </w:tcPr>
          <w:p>
            <w:pPr>
              <w:pStyle w:val="Compact"/>
              <w:spacing w:before="20" w:after="20" w:line="240" w:lineRule="auto"/>
              <w:jc w:val="center"/>
              <w:keepNext/>
            </w:pPr>
            <w:r>
              <w:rPr>
                <w:sz w:val="13"/>
                <w:szCs w:val="13"/>
              </w:rPr>
              <w:t xml:space="preserve">928</w:t>
            </w:r>
          </w:p>
        </w:tc>
        <w:tc>
          <w:tcPr>
            <w:tcW w:type="dxa" w:w="1156"/>
          </w:tcPr>
          <w:p>
            <w:pPr>
              <w:pStyle w:val="Compact"/>
              <w:spacing w:before="20" w:after="20" w:line="240" w:lineRule="auto"/>
              <w:jc w:val="center"/>
              <w:keepNext/>
            </w:pPr>
            <w:r>
              <w:rPr>
                <w:sz w:val="13"/>
                <w:szCs w:val="13"/>
              </w:rPr>
              <w:t xml:space="preserve">473</w:t>
            </w:r>
          </w:p>
        </w:tc>
        <w:tc>
          <w:tcPr>
            <w:tcW w:type="dxa" w:w="1161"/>
          </w:tcPr>
          <w:p>
            <w:pPr>
              <w:pStyle w:val="Compact"/>
              <w:spacing w:before="20" w:after="20" w:line="240" w:lineRule="auto"/>
              <w:jc w:val="center"/>
              <w:keepNext/>
            </w:pPr>
            <w:r>
              <w:rPr>
                <w:sz w:val="13"/>
                <w:szCs w:val="13"/>
              </w:rPr>
              <w:t xml:space="preserve">908</w:t>
            </w:r>
          </w:p>
        </w:tc>
        <w:tc>
          <w:tcPr>
            <w:tcW w:type="dxa" w:w="1156"/>
          </w:tcPr>
          <w:p>
            <w:pPr>
              <w:pStyle w:val="Compact"/>
              <w:spacing w:before="20" w:after="20" w:line="240" w:lineRule="auto"/>
              <w:jc w:val="center"/>
              <w:keepNext/>
            </w:pPr>
            <w:r>
              <w:rPr>
                <w:sz w:val="13"/>
                <w:szCs w:val="13"/>
              </w:rPr>
              <w:t xml:space="preserve">860</w:t>
            </w:r>
          </w:p>
        </w:tc>
        <w:tc>
          <w:tcPr>
            <w:tcW w:type="dxa" w:w="1024"/>
          </w:tcPr>
          <w:p>
            <w:pPr>
              <w:pStyle w:val="Compact"/>
              <w:spacing w:before="20" w:after="20" w:line="240" w:lineRule="auto"/>
              <w:jc w:val="center"/>
              <w:keepNext/>
            </w:pPr>
            <w:r>
              <w:rPr>
                <w:sz w:val="13"/>
                <w:szCs w:val="13"/>
              </w:rPr>
              <w:t xml:space="preserve">467</w:t>
            </w:r>
          </w:p>
        </w:tc>
        <w:tc>
          <w:tcPr>
            <w:tcW w:type="dxa" w:w="1156"/>
          </w:tcPr>
          <w:p>
            <w:pPr>
              <w:pStyle w:val="Compact"/>
              <w:spacing w:before="20" w:after="20" w:line="240" w:lineRule="auto"/>
              <w:jc w:val="center"/>
              <w:keepNext/>
            </w:pPr>
            <w:r>
              <w:rPr>
                <w:sz w:val="13"/>
                <w:szCs w:val="13"/>
              </w:rPr>
              <w:t xml:space="preserve">830</w:t>
            </w:r>
          </w:p>
        </w:tc>
      </w:tr>
      <w:tr>
        <w:trPr>
          <w:cantSplit/>
        </w:trPr>
        <w:tc>
          <w:tcPr>
            <w:tcW w:type="dxa" w:w="1106"/>
          </w:tcPr>
          <w:p>
            <w:pPr>
              <w:pStyle w:val="Compact"/>
              <w:spacing w:before="20" w:after="20" w:line="240" w:lineRule="auto"/>
              <w:keepNext/>
            </w:pPr>
            <w:r>
              <w:rPr>
                <w:sz w:val="13"/>
                <w:szCs w:val="13"/>
              </w:rPr>
              <w:t xml:space="preserve">로그우도</w:t>
            </w:r>
          </w:p>
        </w:tc>
        <w:tc>
          <w:tcPr>
            <w:tcW w:type="dxa" w:w="1156"/>
          </w:tcPr>
          <w:p>
            <w:pPr>
              <w:pStyle w:val="Compact"/>
              <w:spacing w:before="20" w:after="20" w:line="240" w:lineRule="auto"/>
              <w:jc w:val="center"/>
              <w:keepNext/>
            </w:pPr>
            <w:r>
              <w:rPr>
                <w:sz w:val="13"/>
                <w:szCs w:val="13"/>
              </w:rPr>
              <w:t xml:space="preserve">−774.5</w:t>
            </w:r>
          </w:p>
        </w:tc>
        <w:tc>
          <w:tcPr>
            <w:tcW w:type="dxa" w:w="1156"/>
          </w:tcPr>
          <w:p>
            <w:pPr>
              <w:pStyle w:val="Compact"/>
              <w:spacing w:before="20" w:after="20" w:line="240" w:lineRule="auto"/>
              <w:jc w:val="center"/>
              <w:keepNext/>
            </w:pPr>
            <w:r>
              <w:rPr>
                <w:sz w:val="13"/>
                <w:szCs w:val="13"/>
              </w:rPr>
              <w:t xml:space="preserve">−829.4</w:t>
            </w:r>
          </w:p>
        </w:tc>
        <w:tc>
          <w:tcPr>
            <w:tcW w:type="dxa" w:w="1156"/>
          </w:tcPr>
          <w:p>
            <w:pPr>
              <w:pStyle w:val="Compact"/>
              <w:spacing w:before="20" w:after="20" w:line="240" w:lineRule="auto"/>
              <w:jc w:val="center"/>
              <w:keepNext/>
            </w:pPr>
            <w:r>
              <w:rPr>
                <w:sz w:val="13"/>
                <w:szCs w:val="13"/>
              </w:rPr>
              <w:t xml:space="preserve">−425.3</w:t>
            </w:r>
          </w:p>
        </w:tc>
        <w:tc>
          <w:tcPr>
            <w:tcW w:type="dxa" w:w="1161"/>
          </w:tcPr>
          <w:p>
            <w:pPr>
              <w:pStyle w:val="Compact"/>
              <w:spacing w:before="20" w:after="20" w:line="240" w:lineRule="auto"/>
              <w:jc w:val="center"/>
              <w:keepNext/>
            </w:pPr>
            <w:r>
              <w:rPr>
                <w:sz w:val="13"/>
                <w:szCs w:val="13"/>
              </w:rPr>
              <w:t xml:space="preserve">−755.9</w:t>
            </w:r>
          </w:p>
        </w:tc>
        <w:tc>
          <w:tcPr>
            <w:tcW w:type="dxa" w:w="1156"/>
          </w:tcPr>
          <w:p>
            <w:pPr>
              <w:pStyle w:val="Compact"/>
              <w:spacing w:before="20" w:after="20" w:line="240" w:lineRule="auto"/>
              <w:jc w:val="center"/>
              <w:keepNext/>
            </w:pPr>
            <w:r>
              <w:rPr>
                <w:sz w:val="13"/>
                <w:szCs w:val="13"/>
              </w:rPr>
              <w:t xml:space="preserve">−682.7</w:t>
            </w:r>
          </w:p>
        </w:tc>
        <w:tc>
          <w:tcPr>
            <w:tcW w:type="dxa" w:w="1024"/>
          </w:tcPr>
          <w:p>
            <w:pPr>
              <w:pStyle w:val="Compact"/>
              <w:spacing w:before="20" w:after="20" w:line="240" w:lineRule="auto"/>
              <w:jc w:val="center"/>
              <w:keepNext/>
            </w:pPr>
            <w:r>
              <w:rPr>
                <w:sz w:val="13"/>
                <w:szCs w:val="13"/>
              </w:rPr>
              <w:t xml:space="preserve">−364.0</w:t>
            </w:r>
          </w:p>
        </w:tc>
        <w:tc>
          <w:tcPr>
            <w:tcW w:type="dxa" w:w="1156"/>
          </w:tcPr>
          <w:p>
            <w:pPr>
              <w:pStyle w:val="Compact"/>
              <w:spacing w:before="20" w:after="20" w:line="240" w:lineRule="auto"/>
              <w:jc w:val="center"/>
              <w:keepNext/>
            </w:pPr>
            <w:r>
              <w:rPr>
                <w:sz w:val="13"/>
                <w:szCs w:val="13"/>
              </w:rPr>
              <w:t xml:space="preserve">−683.0</w:t>
            </w:r>
          </w:p>
        </w:tc>
      </w:tr>
    </w:tbl>
    <w:p>
      <w:pPr>
        <w:pStyle w:val="BodyText"/>
      </w:pPr>
      <w:r>
        <w:rPr>
          <w:b/>
          <w:bCs/>
        </w:rPr>
        <w:t xml:space="preserve">대안 제외 민감도 분석.</w:t>
      </w:r>
      <w:r>
        <w:t xml:space="preserve"> </w:t>
      </w:r>
      <w:r>
        <w:t xml:space="preserve">IIA 가정에 대한 민감성을 간접적으로 검토하기 위해 공정 단독형을 제외한 표본(N = 763)으로 통합형 대 접합 단독형의 이항 로짓을 추정하였다. 기술범위의 승산비는 1.463, 출원연도의 승산비는 0.987로, 다항 로짓 통합형 방정식의 값(1.403, 0.993)과 방향 및 상대적 크기가 유사하였다. 공정 단독형을 제외하더라도 통합형 관련 결과의 실질적 해석은 크게 달라지지 않는다고 볼 수 있으나, 이 분석이 정식 IIA 검정(Hausman–McFadden, Small–Hsiao)을 대체하는 것은 아니다. 본문의 핵심 기술 모형 역시 이 표본을 사용하였다.</w:t>
      </w:r>
    </w:p>
    <w:bookmarkEnd w:id="11"/>
    <w:bookmarkEnd w:id="12"/>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2026-10-15T11:19:01Z</dcterms:created>
  <dcterms:modified xsi:type="dcterms:W3CDTF">2026-10-15T11:19:01Z</dcterms:modified>
  <cp:lastModifiedBy/>
  <dc:description/>
</cp:coreProperties>
</file>

<file path=docProps/custom.xml><?xml version="1.0" encoding="utf-8"?>
<Properties xmlns="http://schemas.openxmlformats.org/officeDocument/2006/custom-properties" xmlns:vt="http://schemas.openxmlformats.org/officeDocument/2006/docPropsVTypes"/>
</file>