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3.png" ContentType="image/png"/>
  <Override PartName="/word/media/rId31.png" ContentType="image/png"/>
  <Override PartName="/word/media/rId35.png" ContentType="image/png"/>
  <Override PartName="/word/media/rId39.png" ContentType="image/png"/>
  <Override PartName="/word/media/rId17.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r>
        <w:pict>
          <v:rect style="width:0;height:1.5pt" o:hralign="center" o:hrstd="t" o:hr="t"/>
        </w:pict>
      </w:r>
    </w:p>
    <w:bookmarkStart w:id="9" w:name="국문-초록"/>
    <w:p>
      <w:pPr>
        <w:pStyle w:val="Heading2"/>
      </w:pPr>
      <w:r>
        <w:t xml:space="preserve">국문 초록</w:t>
      </w:r>
    </w:p>
    <w:p>
      <w:pPr>
        <w:pStyle w:val="FirstParagraph"/>
      </w:pPr>
      <w:r>
        <w:t xml:space="preserve">기술융합 연구는 주로 서로 다른 산업 사이의 경계가 흐려지는 현상을 다루어 왔다. 본 연구는 한 산업 안에서 일어나는 융합, 곧 반도체 제조에서 오랫동안 분리되어 온 전공정(fabrication)과 후공정(assembly) 사이의 융합을 다룬다. 하이브리드 본딩은 구리 패드와 주변 유전체를 범프 없이 직접 접합하는 기술로, 고대역폭 메모리와 3D 로직의 핵심 공정이다. 이 기술은 후공정에 속하지만 그 성능은 화학적 기계연마(CMP)와 표면 활성화 같은 전공정 역량에 달려 있다. 본 연구는 유럽특허청 PATSTAT에서 추출한 하이브리드 본딩 특허출원 928건(출원–CPC 레코드 5,277건)을 이용하여, 융합을 개별 특허 수준의 경계 넘기(boundary spanning)로 측정한다. 접합·인터커넥트(H01L24)와 제조공정(H01L21)을 한 발명 안에서 함께 청구하는 통합형 특허를 경계를 넘는 특허로 정의하고, 이를 조립 단독형·공정 단독형과 구분한다. 통합형은 출원의 45.8%로 최빈 유형이며, 전공정 기술을 청구하는 출원은 63.6%에 이른다. 다항 로짓과 이항 로짓으로 추정한 결과는 세 가지로 요약된다. 첫째, 기술범위가 경계 넘기의 가장 강한 상관요인이다. H01L21·H01L24 계열 CPC 서브그룹이 하나 늘 때마다 통합형의 상대위험비는 1.40이며, 정의상의 기계적 하한을 제거한 조정 범위로도 1.26이다. 둘째, 순수 전공정 청구는 모든 모형 설정에서 일관되게 줄었으나, 통합형 청구는 2015–2019년에 정점(62%)에 이른 뒤 2020–2024년에는 조립 수준 청구에 자리를 내주었다. 셋째, 출원청에 따라 차이가 있다. 중국 출원청 출원은 모든 모형 설정에서 뚜렷하게 공정 지향적인 반면, 일본 출원청의 효과는 표본 기간에 따라 달라져 안정적이지 않다.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an integrated application that claims fabrication-process technology (H01L21) together with bonding and interconnect (H01L24), as distinct from assembly-only and process-only applications. Integrated applications are the modal type (45.8%), and 63.6% of applications claim front-end technology. Multinomial and binary logit estimates show that technological scope is the strongest correlate of boundary spanning (relative-risk ratio 1.40 for the integrated type per additional CPC subgroup within H01L21/H01L24, and 1.26 with the mechanical floor removed), that pure front-end claiming has declined consistently across specifications whereas integrated claiming peaked in 2015–2019 (62%) and then gave way to assembly-level claiming in 2020–2024, and that filing office matters: applications at the Chinese office are markedly more process-oriented in every specification, whereas the Japanese-office effect is sensitive to the sample period.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반세기 동안 반도체 산업은 명확한 분업 구조를 중심으로 조직되어 왔다. 트랜지스터는 전공정(front end)에서 웨이퍼 위에 만들어지고, 완성된 웨이퍼는 후공정(back end)에서 절단·조립·패키징되었다. 두 단계는 기술적으로도, 조직적으로도, 지리적으로도 분리되어 있었다. 전공정 제조는 종합반도체기업(IDM)과 이후 파운드리가 운영하는 자본집약적 팹에 집중된 반면, 패키징과 테스트는 점차 전문 조립·테스트 하청업체(OSAT)로 외주화되었다(Macher and Mowery, 2004; Brown and Linden, 2009; Kapoor, 2013). 두 단계 사이의 인터페이스가 표준화되어 있었기 때문에, 한 단계의 혁신이 다른 단계의 역량을 요구하는 일은 드물었다.</w:t>
      </w:r>
    </w:p>
    <w:p>
      <w:pPr>
        <w:pStyle w:val="BodyText"/>
      </w:pPr>
      <w:r>
        <w:t xml:space="preserve">이러한 분업 구조가 최근 흔들리고 있다. 미세화(dimensional scaling)가 둔화되고 그 비용이 상승하면서, 산업은 트랜지스터 자체가 아니라 다이를 어떻게 분할·적층·연결하는가에서 성능 향상의 여지를 찾기 시작하였다(Arden et al., 2010; Iyer, 2016; Khan et al., 2018). 첨단 패키징은 경쟁우위의 원천이 되었고, 그 가운데 가장 까다로운 공정인 하이브리드 본딩은 솔더 범프 없이 구리 패드와 주변 산화막을 직접 접합하여 1µm 이하의 인터커넥트 피치를 구현한다(Lau, 2021, 2022). 하이브리드 본딩이 전략적으로 중요한 이유는, 그 성패가 나노미터급 화학적 기계연마, 표면 활성화, 서브미크론 정렬처럼 전통적으로 전공정에 속해 온 역량에 달려 있기 때문이다. 후공정의 핵심 공정이 사실상 전공정 노하우에 의존하게 된 것이다. 선도 파운드리들은 첨단 패키징 플랫폼을 하청업체에 넘기지 않고 내재화하는 방식으로 대응하였고(Lau, 2022), 산업계에서는 제조와 패키징의 경계가 흐려지고 있다는 진단이 늘고 있다(Yole Group, 2024).</w:t>
      </w:r>
    </w:p>
    <w:p>
      <w:pPr>
        <w:pStyle w:val="BodyText"/>
      </w:pPr>
      <w:r>
        <w:t xml:space="preserve">본 연구는 이러한 경계의 흐려짐을 개별 발명 수준에서 관찰하고 측정하고 설명할 수 있는지를 묻는다. 이를 위해 기술융합 문헌, 곧 서로 구분되던 기술·산업 영역이 겹치고 다시 결합하는 과정을 다룬 연구(Rosenberg, 1963; Kodama, 1992; Curran and Leker, 2011; Sick and Bröring, 2022)를 출발점으로 삼되, 그동안 거의 주목받지 못한 방향으로 논의를 넓힌다. 융합에 관한 실증 연구의 대부분은 정보통신기술과 가전(Gambardella and Torrisi, 1998; Hacklin et al., 2009), 식품과 제약(Bröring et al., 2006; Curran et al., 2010), 나노기술과 바이오기술(No and Park, 2010)처럼 서로 다른 산업이 만나는 경우를 다루어 왔다. 반면 한 산업 내부에서 가치사슬 단계를 가로지르는 융합은 드물게만 다루어졌다. 가치사슬 상·하류 기업 간의 기술 인터페이스를 특허 인용으로 분석한 Karvonen과 Kässi(2012)의 RFID 연구가 가장 가까운 선례이지만, 이는 기업 간 지식 흐름을 다루었을 뿐 하나의 공정기술이 제조 단계의 경계를 넘는지를 개별 특허 수준에서 검정하지는 않았다. 그러나 누가 무엇을 하고 누가 가치를 가져가는가를 정하는 산업 아키텍처를 바꾸는 것은 바로 이런 종류의 융합이다(Jacobides et al., 2006).</w:t>
      </w:r>
    </w:p>
    <w:p>
      <w:pPr>
        <w:pStyle w:val="BodyText"/>
      </w:pPr>
      <w:r>
        <w:t xml:space="preserve">본 연구는 하이브리드 본딩을 이러한 검토에 적합한 사례로 삼는다. EPO PATSTAT에서 추출한 하이브리드 본딩 특허출원 928건을 이용하여, 경계를 넘는 특허(boundary-spanning patent)를 접합·인터커넥트(CPC H01L24)와 제조공정 기술(CPC H01L21)을 하나의 발명 안에서 함께 청구하는 통합형 특허로 정의하고, 접합만 청구하는 조립 단독형 및 제조공정만 청구하는 공정 단독형과 구분한다. 공동분류(co-classification)는 융합을 포착하는 표준적인 특허 기반 신호이며(Curran and Leker, 2011; Preschitschek et al., 2013; Kwon et al., 2020), 본 연구의 새로움은 이를 두 산업 사이가 아니라 한 산업을 관통하는 경계에 적용한다는 데 있다. 이에 따라 세 가지 연구질문을 설정한다. 첫째, 경계 넘기는 얼마나 보편적이며 기술이 성숙함에 따라 그 형태는 어떻게 변하였는가? 둘째, 기술범위, 출원 시점, 출원청 등 특허의 어떤 속성이 경계 넘기와 연관되는가? 셋째, 이러한 패턴은 각 출원청(관할권)에서 드러나는 출원·보호 전략과 어떻게 관련되는가?</w:t>
      </w:r>
    </w:p>
    <w:p>
      <w:pPr>
        <w:pStyle w:val="BodyText"/>
      </w:pPr>
      <w:r>
        <w:t xml:space="preserve">분석 결과는 세 가지로 요약된다. 첫째, 경계 넘기는 주변적 현상이 아니다. 두 단계를 결합한 통합형(integrated) 청구가 출원의 45.8%로 최빈 유형이며, 전공정 기술을 청구하는 출원은 63.6%에 이른다. 둘째, 기술범위가 가장 강력한 상관요인이다. 특허가 걸치는 H01L21·H01L24 계열 CPC 서브그룹이 하나 늘 때마다 통합형이 될 상대위험이 약 40% 높아지며, 통합형의 기계적 하한을 제거한 조정 범위로도 약 26% 높아진다. 넓은 특허는 통합형으로, 좁은 특허는 한 단계 특화형으로 이동한다. 시간이 흐르면서 순수 전공정 청구의 비중은 모든 모형 설정에서 일관되게 줄었다(2014년 이전 43.6% → 2020–2024년 10.4%). 반면 통합형은 2015–2019년에 62.2%로 정점에 이른 뒤 2020–2024년에는 조립 수준 청구가 다시 늘면서 44.3%로 낮아졌다. 즉 융합은 경계를 넘는 청구가 꾸준히 늘어나는 형태가 아니라, 공정 단독형에서 통합형으로, 다시 통합형에서 접합 구조 청구로 이어지는 두 단계의 재구성(recomposition)으로 진행되었다. 셋째, 출원청에 따른 차이가 산업 아키텍처와 추격 양상에 들어맞는 방식으로 나타난다. 중국 출원청 출원은 범위가 좁고 공정 단독형일 가능성이 훨씬 높으며, 이 결과는 모든 모형 설정에서 유지된다. 일본 출원청 출원이 넓고 공정 단독형이 드물다는 결과는 전 기간 표본에서만 나타나고 2010년 이후 표본에서는 사라져, 26건이라는 표본 크기의 한계 안에서만 읽어야 한다.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속에 감추는 전략적 이질성을 드러낸다(Cho and Kim, 2014 참조). 방법론적으로는 두 개의 CPC 클래스, 하나의 공동분류 규칙, 표준 카운트·이산선택 추정량이라는 투명하고 재현 가능한 설계를 제시하며, 이 설계는 하류 단계가 상류 역량을 흡수하기 시작한 다른 공정기술에도 적용할 수 있다.</w:t>
      </w:r>
    </w:p>
    <w:p>
      <w:pPr>
        <w:pStyle w:val="BodyText"/>
      </w:pPr>
      <w:r>
        <w:t xml:space="preserve">논문의 구성은 다음과 같다. 제2절은 이론적 배경을 검토하고 가설을 도출한다. 제3절은 실증 맥락인 하이브리드 본딩 기술과 산업 지형을 기술한다. 제4절은 데이터와 방법을, 제5절은 결과를 제시한다. 제6절은 이론적·실무적 함의와 한계를 논의하고, 제7절은 결론을 맺는다.</w:t>
      </w:r>
    </w:p>
    <w:bookmarkEnd w:id="11"/>
    <w:bookmarkStart w:id="16" w:name="이론적-배경과-가설"/>
    <w:p>
      <w:pPr>
        <w:pStyle w:val="Heading2"/>
      </w:pPr>
      <w:r>
        <w:t xml:space="preserve">2. 이론적 배경과 가설</w:t>
      </w:r>
    </w:p>
    <w:bookmarkStart w:id="12"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산업의 출현을 분석하면서, 총기·재봉틀·자전거 등 특정 제품을 위해 개발된 공정이 다른 제품에도 적용될 수 있음을 기업들이 인식해 가는 과정을 기술적 수렴(technological convergence)이라 불렀다. Kodama(1992)는 이전에는 분리되어 있던 기술 분야들을 결합하여 어느 한쪽도 단독으로는 갖지 못한 역량을 창출하는 과정을 기술융합(technology fusion)으로 개념화하고, 이것이 돌파형 연구와는 다른 R&amp;D 조직을 요구한다고 주장하였다. 후속 연구는 기술의 융합을 시장의 융합, 산업의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지식 융합에서 기술 융합과 응용 융합을 거쳐 산업 융합으로 전개되며, 이 단계들이 순차적이라기보다 공진화적임을 제안하였다. Curran과 Leker(2011)는 과학·기술·시장·산업 융합의 구분을 정식화하고 각각을 특허·논문 지표로 모니터링하는 방법을 보였다. 이 문헌은 이후 기술혁신경영 분야의 독립된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융합의 동인에 관한 기업 수준의 실증은 비교적 최근에 축적되기 시작하였다. Hwang(2020)은 한국 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가지 특징이 본 연구에 중요하다. 첫째, 초점이 서로 다른 영역의 만남에 있다. 통신과 컴퓨팅, 식품과 제약, 나노기술과 바이오기술 등 전형적 사례는 모두 서로 다른 산업의 기업들이 자신들의 지식 기반이 중첩됨을 발견하는 상황이다. 둘째, 융합은 통상 두 기술 분야 사이의 공동분류, 공동인용 또는 의미적 유사성을 집계한 지표로 측정된다(Curran et al., 2010; Karvonen and Kässi, 2013; Preschitschek et al., 2013; Cho and Kim, 2014; Song et al., 2017). 이러한 지표는 분야가 융합하는지, 언제 융합하는지를 알아내는 데 적합하다. 그러나 어떤 발명이 융합을 담고 있으며 왜 그러한지를 설명하는 데는 한계가 있다. 개별 특허의 전략적 이질성이 평균 속에 묻히기 때문이다.</w:t>
      </w:r>
    </w:p>
    <w:bookmarkEnd w:id="12"/>
    <w:bookmarkStart w:id="13" w:name="가치사슬-단계-간-융합-반도체의-경우"/>
    <w:p>
      <w:pPr>
        <w:pStyle w:val="Heading3"/>
      </w:pPr>
      <w:r>
        <w:t xml:space="preserve">2.2 가치사슬 단계 간 융합: 반도체의 경우</w:t>
      </w:r>
    </w:p>
    <w:p>
      <w:pPr>
        <w:pStyle w:val="FirstParagraph"/>
      </w:pPr>
      <w:r>
        <w:t xml:space="preserve">이와 다른 종류의 경계가 한 산업의 가치사슬 단계들을 가르는 경계다. 반도체 산업은 그 단계 구분이 수직 전문화와 산업 아키텍처 연구의 지속적 대상이 되어 왔다는 점에서 특히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전문화가 진행되는 가운데서도 통합이 지속되었음을 보였다. 단계를 가로지르는 역량을 유지한 기업은 전문기업과 다른 방식으로 기술 전환에 대응하였고, 그 선택이 산업 아키텍처를 형성하였다. Kapoor와 Adner(2012)는 기술 세대를 거치는 반도체(DRAM) 생산자들을 연구하면서 기업이 만드는 것과 아는 것을 구분하였고, 부품과 시스템이 상호의존적일 때 생산 경계보다 넓은 지식 경계가 우위를 준다는 것을 발견하였다. 이는 단계 간 기술적 상호의존이 높을 때 기업이</w:t>
      </w:r>
      <w:r>
        <w:t xml:space="preserve"> </w:t>
      </w:r>
      <w:r>
        <w:t xml:space="preserve">“만드는 것보다 더 많이 안다”</w:t>
      </w:r>
      <w:r>
        <w:t xml:space="preserve">는 Brusoni et al.(2001)의 관찰과 맥을 같이한다. Adner와 Kapoor(2010)는 생태계 내에서 혁신 난제가 상류 부품에 있는가 하류 보완재에 있는가에 따라 새로운 기술 세대의 수혜자가 달라진다고 덧붙였다.</w:t>
      </w:r>
    </w:p>
    <w:p>
      <w:pPr>
        <w:pStyle w:val="BodyText"/>
      </w:pPr>
      <w:r>
        <w:t xml:space="preserve">이 문헌과 융합의 연관성은 수직 전문화가 단계 간의 안정적 인터페이스에 의존한다는 점을 인식할 때 분명해진다. Ernst(2005)는 칩 설계의 수직 전문화가 의존하는 모듈성이 복잡성이 커지면서 한계를 갖는다는 것을 보였다. Jacobides et al.(2006)은 누가 무엇을 하고 가치가 어떻게 배분되는지를 정의하는 템플릿인 산업 아키텍처가 그 자체로 경쟁의 대상이며, 단계 간 상호의존을 바꾸는 혁신은 그 재협상을 불러온다고 주장하였다. 하이브리드 본딩이 바로 그러한 혁신이다. 수율이 웨이퍼 수준 평탄화, 표면 화학, 정렬 등 전공정에 자리한 역량에 달려 있으므로 제조와 패키징 사이의 인터페이스는 더 이상 안정적이지 않다. 그 결과는 두 산업 사이가 아니라 한 산업의 두 단계 사이에서 일어나는 융합이다. 후공정 기업은 전공정 역량을 획득해야 하고, 전공정 기업은 자신의 역량이 패키징으로 자연스럽게 확장됨을 발견한다. 이는 무어의 법칙 종언에 관한 문헌이 일반적 수준에서 예견하고(Arden et al., 2010; Iyer, 2016; Khan et al., 2018) 패키징 공학 문헌이 기술적으로 기술해 온 현상이다(Lau, 2021, 2022). 그러나 이를 발명의 기록 속에서 관찰하는 방법은 거의 제시되지 않았다.</w:t>
      </w:r>
    </w:p>
    <w:p>
      <w:pPr>
        <w:pStyle w:val="BodyText"/>
      </w:pPr>
      <w:r>
        <w:t xml:space="preserve">여기서 본 연구가 말하는 융합과 수직통합 문헌이 다루는 통합의 차이를 분명히 해 둘 필요가 있다. 수직통합 문헌(Macher and Mowery, 2004; Kapoor, 2013)의 분석 단위는 조직 경계로, 어느 기업이 어느 단계를 직접 수행하는가를 묻는다. 반면 융합 문헌의 분석 단위는 지식·기술 기반으로, 서로 다른 영역의 기술이 하나의 발명 안에서 결합되는가를 묻는다(Kodama, 1992; Curran and Leker, 2011). Hacklin et al.(2009)의 단계 모형에서 기술 융합은 산업 융합에 선행한다. 즉 지식 기반이 먼저 중첩되고, 그 위에서 조직 경계가 재편된다. 본 연구가 특허 청구항에서 관찰하는 것은 이 선행 단계, 즉 파운드리가 패키징을 내재화하는 조직적 결정 이전 또는 이면에서 진행되는 기술적 수렴이다. Kapoor와 Adner(2012)가 생산 경계보다 넓은 지식 경계의 우위를 논한 것과 연결하면, 경계를 넘는 특허는 지식 경계가 공정 단계를 넘어 확장되었음을 보여주는 직접적 증거이며, 수직통합 문헌이 결과로 관찰하는 조직적 통합의 기술적 전제 조건을 측정한다고 할 수 있다.</w:t>
      </w:r>
    </w:p>
    <w:bookmarkEnd w:id="13"/>
    <w:bookmarkStart w:id="14"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분류 코드가 각 발명을 하나 이상의 기술 분야에 위치시키고 인용이 분야 간 지식 흐름을 기록하기 때문에 융합 측정에 가장 널리 쓰이는 자료다(Curran and Leker, 2011). 세 가지 측정 전통을 구분할 수 있다. 첫째는 공동분류로부터 분야 수준 지수를 구축하는 전통이다. Cho와 Kim(2014)은 인쇄전자 분야 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 텍스트와 표상 학습을 이용하는 전통이다. Preschitschek et al.(2013)은 의미 분석과 IPC 공동분류를 비교하였고, Zhu와 Motohashi(2022)는 특허 텍스트 키워드 벡터에 그래프 합성곱 신경망을 학습시켰다. 셋째는 분야 또는 기업 수준에서 융합의 동인을 검토하는 전통이다(Caviggioli, 2016; Hwang, 2020).</w:t>
      </w:r>
    </w:p>
    <w:p>
      <w:pPr>
        <w:pStyle w:val="BodyText"/>
      </w:pPr>
      <w:r>
        <w:t xml:space="preserve">본 연구는 공동분류를 신호로 택한다는 점에서 첫째 전통에 속하지만 분석 단위에서 이와 구별된다. 공동분류를 분야 수준 지수로 집계하는 대신, 각 특허를 후공정 접합 기호(H01L24)만 보유하는 조립 단독형, 전공정 제조 기호(H01L21)만 보유하는 공정 단독형, 그리고 둘을 함께 보유하는 통합형으로 구분하고, 통합형을 경계를 넘는 특허라 부른다. 이 구분은 발명 수준의 융합으로 직접 해석되고, 표준 이산선택 추정량으로 모형화할 수 있으며, 분야 수준 지수가 평균해 버리는 특허 간 이질성을 보존한다. 통합형과 공정 단독형을 합한 집합, 즉 전공정 기호를 하나라도 보유하는 특허는 전공정 지향(front-end orientation)으로 따로 이름 붙여 경계 넘기와 구별한다.</w:t>
      </w:r>
    </w:p>
    <w:p>
      <w:pPr>
        <w:pStyle w:val="BodyText"/>
      </w:pPr>
      <w:r>
        <w:t xml:space="preserve">설명변수의 선정에는 두 흐름의 특허 연구가 근거를 제공한다. 첫째는 특허 범위(patent scope) 연구다.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이는 넓은 청구가 합리적 전략이 되는 조건이다. 둘째는 관할권에 따른 특허 행태의 차이에 관한 연구다. 서로 다른 특허청에 대한 출원은 서로 다른 출원인 집단, 심사 관행, 전략적 목적을 반영한다. 중국 특허 통계는 출원의 질과 범위에 영향을 미치는 보조금 정책과 추격 동학에 의해 형성되며(Hu and Jefferson, 2009; Dang and Motohashi, 2015),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보다 일반적으로 추격 이론은 후발자가 시스템 전체를 청구하기에 앞서 특정 생산 단계의 내재화에 집중한다고 예측한다(Lee and Lim, 2001).</w:t>
      </w:r>
    </w:p>
    <w:bookmarkEnd w:id="14"/>
    <w:bookmarkStart w:id="15" w:name="가설"/>
    <w:p>
      <w:pPr>
        <w:pStyle w:val="Heading3"/>
      </w:pPr>
      <w:r>
        <w:t xml:space="preserve">2.4 가설</w:t>
      </w:r>
    </w:p>
    <w:p>
      <w:pPr>
        <w:pStyle w:val="FirstParagraph"/>
      </w:pPr>
      <w:r>
        <w:t xml:space="preserve">이상의 논의로부터 어떤 하이브리드 본딩 특허가 전/후공정 경계를 넘는지에 관한 네 가지 가설을 도출한다.</w:t>
      </w:r>
    </w:p>
    <w:p>
      <w:pPr>
        <w:pStyle w:val="BodyText"/>
      </w:pPr>
      <w:r>
        <w:rPr>
          <w:b/>
          <w:bCs/>
        </w:rPr>
        <w:t xml:space="preserve">기술범위.</w:t>
      </w:r>
      <w:r>
        <w:t xml:space="preserve"> </w:t>
      </w:r>
      <w:r>
        <w:t xml:space="preserve">Kodama(1992)의 융합과 Rosenberg(1963)의 수렴은 모두 하나 이상의 영역에서 온 지식을 결합하는 발명을 기술한다. 경계 넘기가 융합의 한 형태라면, 더 많은 기술 분류 기호에 걸치는 특허가 접합 클래스와 전공정 클래스를 함께 포함하는 통합형일 가능성이 더 높아야 한다. 이 관계에는 기계적인 부분이 있다. 기호가 많을수록 그중 하나가 H01L21일 가능성도 커지고, 통합형은 정의상 두 클래스의 기호를 각각 하나 이상 가지므로 범위가 2 이상이기 때문이다. 그러나 전략적인 부분도 있다. 웨이퍼 준비에서 접합된 적층까지 전체 공정 흐름을 청구하는 특허는 필연적으로 제조에 닿는 반면, 조립 단계나 접합 구조만 청구하는 특허는 그렇지 않다(Lerner, 1994; Ziedonis, 2004). 기계적인 부분은 제5.4절에서 각 클래스의 첫 기호를 제외한 조정 범위로 따로 떼어 확인한다.</w:t>
      </w:r>
    </w:p>
    <w:p>
      <w:pPr>
        <w:pStyle w:val="BlockText"/>
      </w:pPr>
      <w:r>
        <w:rPr>
          <w:b/>
          <w:bCs/>
        </w:rPr>
        <w:t xml:space="preserve">H1.</w:t>
      </w:r>
      <w:r>
        <w:t xml:space="preserve"> </w:t>
      </w:r>
      <w:r>
        <w:t xml:space="preserve">하이브리드 본딩 특허의 기술범위가 넓을수록 전/후공정 경계를 넘을, 즉 접합(H01L24) 기술과 제조공정(H01L21) 기술을 하나의 발명 안에서 함께 청구하는 통합형일 가능성이 높다.</w:t>
      </w:r>
    </w:p>
    <w:p>
      <w:pPr>
        <w:pStyle w:val="FirstParagraph"/>
      </w:pPr>
      <w:r>
        <w:rPr>
          <w:b/>
          <w:bCs/>
        </w:rPr>
        <w:t xml:space="preserve">성숙.</w:t>
      </w:r>
      <w:r>
        <w:t xml:space="preserve"> </w:t>
      </w:r>
      <w:r>
        <w:t xml:space="preserve">융합의 단계 모형(Hacklin et al., 2009; Jeong et al., 2015)은 기술이 성숙하면서 융합의 형태가 변한다고 본다. 하이브리드 본딩의 초기 발명은 표면 준비, 저온 어닐링, 평탄화 등 직접 접합을 가능케 한 제조 단계에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 순수 전공정(공정 단독형) 청구의 비중이 조립 수준 청구 대비 시간에 따라 감소하는 반면, 경계를 넘는(통합형) 청구는 지속될 것으로 예상한다.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b/>
          <w:bCs/>
        </w:rPr>
        <w:t xml:space="preserve">관할권과 산업 아키텍처.</w:t>
      </w:r>
      <w:r>
        <w:t xml:space="preserve"> </w:t>
      </w:r>
      <w:r>
        <w:t xml:space="preserve">특허가 어디에 출원되는가는 누가 무엇을 위해 발명하는가를 반영한다. 추격 이론(Lee and Lim, 2001)과 중국 특허에 관한 증거(Hu and Jefferson, 2009; Dang and Motohashi, 2015; Grimes and Du, 2022)는 중국 출원청 출원이 특정 제조 단계의 내재화에 집중하여 범위가 더 좁고 공정 단독형이 더 많을 것임을 시사한다. 반대로 일본 기업의 장비·소재 강점(Langlois and Steinmueller, 1999)과 1988년 개혁 이후의 다항 청구 관행(Sakakibara and Branstetter, 2001)은 일본 출원청 출원이 넓고 통합 지향적이며 공정 단독형이 드물 것임을 시사한다.</w:t>
      </w:r>
    </w:p>
    <w:p>
      <w:pPr>
        <w:pStyle w:val="BlockText"/>
      </w:pPr>
      <w:r>
        <w:rPr>
          <w:b/>
          <w:bCs/>
        </w:rPr>
        <w:t xml:space="preserve">H3a.</w:t>
      </w:r>
      <w:r>
        <w:t xml:space="preserve"> </w:t>
      </w:r>
      <w:r>
        <w:t xml:space="preserve">중국 출원청에 출원된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이들 가설은 특허 속성과 경계 넘기 사이의 연관에 관한 것이며 인과효과를 주장하지 않는다. 이 구분은 제6.3절에서 다시 논의한다.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1µm 이하로 내려갈 수 있고, 접합 계면은 후공정 배선(BEOL)의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 적층, 3D 로직에 요구되는 형태다. 두 형태 모두에서 수율을 결정하는 단계, 즉 서브나노미터 거칠기로의 화학적 기계연마, 플라즈마 또는 화학적 표면 활성화, 파티클 제어, 서브미크론 정렬은 CPC 분류상 전공정 역량이다. 이들은 접합·인터커넥트 클래스인 H01L24가 아니라 반도체 장치 제조를 위한 공정·장치 클래스인 H01L21에 속한다(제4.1절, 표 1). 그림 1은 하이브리드 본딩을 둘러싼 기반 공정, 구조, 적용 제품을 정리한 것이다. 실리콘 관통전극(TSV), 화학적 기계연마(CMP), 레이저·플라즈마 다이싱 같은 기반 공정이 접합의 품질을 좌우하고, 접합의 결과는 칩렛, 후면 전력공급망(BSPDN), 공동 패키징 광학(CPO) 같은 구조로 이어진다. 적용 제품 쪽에서는 W2W가 3D NAND와 이미지센서에, D2W가 HBM·CPU·GPU 등에 쓰인다.</w:t>
      </w:r>
    </w:p>
    <w:p>
      <w:pPr>
        <w:pStyle w:val="BodyT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 역시 같은 방향을 가리킨다. 하이브리드 본딩 특허 랜드스케이프에 대한 독립적 산업 분석은 TSMC, Adeia, YMTC, Intel, Samsung을 선도 출원인으로 지목한다(Yole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같은 방향을 가리킨다. 이러한 지형이 어떤 특허가 전/후공정 경계를 넘는지에 체계적인 흔적을 남기는가가 이하에서 다루는 질문이다.</w:t>
      </w:r>
    </w:p>
    <w:bookmarkEnd w:id="20"/>
    <w:bookmarkStart w:id="27" w:name="데이터와-방법"/>
    <w:p>
      <w:pPr>
        <w:pStyle w:val="Heading2"/>
      </w:pPr>
      <w:r>
        <w:t xml:space="preserve">4. 데이터와 방법</w:t>
      </w:r>
    </w:p>
    <w:bookmarkStart w:id="21"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 H01L21(반도체 장치 제조를 위한 공정·장치)과 H01L24(반도체 바디의 연결·분리 배치) 및 그 인덱싱 코드로 검색한 뒤, 위양성을 제거하기 위해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)의 AND 결합으로 필터링하였다(표 1). 추출 결과는 출원–CPC 레코드 5,277건이며 각 레코드는 하나의 출원과 하나의 CPC 기호의 쌍이다. 출원 수준으로 응집하면 1968–2024년에 출원된 고유 출원 928건이 된다. 추출 단계에서 두 클래스에 속하지 않는 기호는 보존되지 않았으므로, 모든 레코드는 본 연구에서 전/후공정 경계를 정의하는 두 클래스 H01L21과 H01L24의 서브그룹(H01L21 계열 202개, H01L24 계열 60개, 합계 262개 고유 기호)으로 구성된다. 따라서 이하의 기술범위는 두 클래스 내부에서 특허가 청구하는 세부 기술의 폭을 측정하며, 반도체 외부 분야로의 확장은 포착하지 않는다.</w:t>
      </w:r>
    </w:p>
    <w:p>
      <w:pPr>
        <w:pStyle w:val="BodyText"/>
      </w:pPr>
      <w:r>
        <w:rPr>
          <w:b/>
          <w:bCs/>
        </w:rPr>
        <w:t xml:space="preserve">표 1.</w:t>
      </w:r>
      <w:r>
        <w:t xml:space="preserve"> </w:t>
      </w:r>
      <w:r>
        <w:t xml:space="preserve">하이브리드 본딩 특허의 검색 전략(CPC 1차 분류와 키워드 2차 분류).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검색 순서</w:t>
            </w:r>
          </w:p>
        </w:tc>
        <w:tc>
          <w:tcPr/>
          <w:p>
            <w:pPr>
              <w:pStyle w:val="Compact"/>
            </w:pPr>
            <w:r>
              <w:t xml:space="preserve">CPC 코드</w:t>
            </w:r>
          </w:p>
        </w:tc>
        <w:tc>
          <w:tcPr/>
          <w:p>
            <w:pPr>
              <w:pStyle w:val="Compact"/>
            </w:pPr>
            <w:r>
              <w:t xml:space="preserve">설명</w:t>
            </w:r>
          </w:p>
        </w:tc>
        <w:tc>
          <w:tcPr/>
          <w:p>
            <w:pPr>
              <w:pStyle w:val="Compact"/>
            </w:pPr>
            <w:r>
              <w:t xml:space="preserve">주요 기술</w:t>
            </w:r>
          </w:p>
        </w:tc>
      </w:tr>
      <w:tr>
        <w:tc>
          <w:tcPr/>
          <w:p>
            <w:pPr>
              <w:pStyle w:val="Compact"/>
            </w:pPr>
            <w:r>
              <w:t xml:space="preserve">1차 분류</w:t>
            </w:r>
          </w:p>
        </w:tc>
        <w:tc>
          <w:tcPr/>
          <w:p>
            <w:pPr>
              <w:pStyle w:val="Compact"/>
            </w:pPr>
            <w:r>
              <w:t xml:space="preserve">H01L21</w:t>
            </w:r>
          </w:p>
        </w:tc>
        <w:tc>
          <w:tcPr/>
          <w:p>
            <w:pPr>
              <w:pStyle w:val="Compact"/>
            </w:pPr>
            <w:r>
              <w:t xml:space="preserve">반도체 장치 또는 부품의 제조 또는 처리에 특별히 적합한 공정 및 장치</w:t>
            </w:r>
          </w:p>
        </w:tc>
        <w:tc>
          <w:tcPr/>
          <w:p>
            <w:pPr>
              <w:pStyle w:val="Compact"/>
            </w:pPr>
            <w:r>
              <w:rPr>
                <w:b/>
                <w:bCs/>
              </w:rPr>
              <w:t xml:space="preserve">전공정 및 후공정 제조 기술 전반</w:t>
            </w:r>
            <w:r>
              <w:t xml:space="preserve">: 리소그래피, 식각, 증착, 이온주입, 화학적 기계연마, 웨이퍼 세정 및 가공</w:t>
            </w:r>
          </w:p>
        </w:tc>
      </w:tr>
      <w:tr>
        <w:tc>
          <w:tcPr/>
          <w:p>
            <w:pPr>
              <w:pStyle w:val="Compact"/>
            </w:pPr>
            <w:r>
              <w:t xml:space="preserve">1차 분류</w:t>
            </w:r>
          </w:p>
        </w:tc>
        <w:tc>
          <w:tcPr/>
          <w:p>
            <w:pPr>
              <w:pStyle w:val="Compact"/>
            </w:pPr>
            <w:r>
              <w:t xml:space="preserve">H01L24</w:t>
            </w:r>
          </w:p>
        </w:tc>
        <w:tc>
          <w:tcPr/>
          <w:p>
            <w:pPr>
              <w:pStyle w:val="Compact"/>
            </w:pPr>
            <w:r>
              <w:t xml:space="preserve">반도체 바디(body)의 전기적 연결 또는 분리를 위한 장치 및 방법</w:t>
            </w:r>
          </w:p>
        </w:tc>
        <w:tc>
          <w:tcPr/>
          <w:p>
            <w:pPr>
              <w:pStyle w:val="Compact"/>
            </w:pPr>
            <w:r>
              <w:rPr>
                <w:b/>
                <w:bCs/>
              </w:rPr>
              <w:t xml:space="preserve">패키징 인터커넥션 핵심 기술</w:t>
            </w:r>
            <w:r>
              <w:t xml:space="preserve">: 와이어 본딩, 플립칩 본딩, TSV, 하이브리드 본딩, 솔더 범프/볼 형성, 재배선 공정</w:t>
            </w:r>
          </w:p>
        </w:tc>
      </w:tr>
      <w:tr>
        <w:tc>
          <w:tcPr/>
          <w:p>
            <w:pPr>
              <w:pStyle w:val="Compact"/>
            </w:pPr>
            <w:r>
              <w:t xml:space="preserve">2차 분류</w:t>
            </w:r>
          </w:p>
        </w:tc>
        <w:tc>
          <w:tcPr/>
          <w:p>
            <w:pPr>
              <w:pStyle w:val="Compact"/>
            </w:pPr>
            <w:r>
              <w:t xml:space="preserve">키워드</w:t>
            </w:r>
          </w:p>
        </w:tc>
        <w:tc>
          <w:tcPr/>
          <w:p>
            <w:pPr>
              <w:pStyle w:val="Compact"/>
            </w:pP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(AND 결합)</w:t>
            </w:r>
          </w:p>
        </w:tc>
        <w:tc>
          <w:tcPr/>
          <w:p>
            <w:pPr>
              <w:pStyle w:val="Compact"/>
            </w:pPr>
            <w:r>
              <w:t xml:space="preserve">위양성 제거</w:t>
            </w:r>
          </w:p>
        </w:tc>
      </w:tr>
    </w:tbl>
    <w:p>
      <w:pPr>
        <w:pStyle w:val="BodyText"/>
      </w:pPr>
      <w:r>
        <w:rPr>
          <w:i/>
          <w:iCs/>
        </w:rPr>
        <w:t xml:space="preserve">주:</w:t>
      </w:r>
      <w:r>
        <w:t xml:space="preserve"> </w:t>
      </w:r>
      <w:r>
        <w:t xml:space="preserve">H01L2224는 H01L24의 연결 기술에 대한 인덱싱 코드로, 접합 금속·형태·장비를 세부 태깅한다(예: H01L2224/08145, 금속–금속 및 유전체–유전체 접합을 결합한 직접 접합). 1차 분류에는 두 클래스의 인덱싱 코드를 포함하였다.</w:t>
      </w:r>
    </w:p>
    <w:bookmarkEnd w:id="21"/>
    <w:bookmarkStart w:id="25" w:name="변수"/>
    <w:p>
      <w:pPr>
        <w:pStyle w:val="Heading3"/>
      </w:pPr>
      <w:r>
        <w:t xml:space="preserve">4.2 변수</w:t>
      </w:r>
    </w:p>
    <w:p>
      <w:pPr>
        <w:pStyle w:val="FirstParagraph"/>
      </w:pPr>
      <w:r>
        <w:t xml:space="preserve">표 2는 변수를 정의한다. 기술범위(breadth)는 출원에 부여된 H01L21·H01L24 계열의 고유 CPC 서브그룹 기호 수로, 분류 기호 수로 범위를 재는 Lerner(1994)의 전통을 두 클래스 내부에 적용한 측정치다. tech_cat은 각 출원을 서로 겹치지 않는 세 전략 유형, 즉 조립 단독형(assembly-only; H01L24 기호만), 통합형(integrated; H01L24와 H01L21 모두), 공정 단독형(process-only; H01L21 기호만)에 배정하며, 통합형이 경계 넘기의 측정치다. has_process는 출원이 H01L21 기호를 하나라도 보유하면 1인 이항 지표로, 통합형과 공정 단독형을 합한 전공정 지향의 측정치다. 두 변수는 역할이 다르다. 경계 넘기의 본 검정은 tech_cat의 통합형 방정식이며, has_process는 전공정 기술이 청구되는지 여부만을 묻는 보조 지표다. ccode는 출원이 제출된 출원청으로, 8개 수준(US, CN, KR, TW, JP, EP, WO, 기타)이며 미국 출원청이 기준이다. yc는 표본 최초 출원 이후 경과 연수로 측정한 출원연도다.</w:t>
      </w:r>
    </w:p>
    <w:p>
      <w:pPr>
        <w:pStyle w:val="BodyText"/>
      </w:pPr>
      <w:r>
        <w:rPr>
          <w:b/>
          <w:bCs/>
        </w:rPr>
        <w:t xml:space="preserve">표 2.</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H01L21·H01L24 계열 고유 CPC 서브그룹 기호 수(기술범위)</w:t>
            </w:r>
          </w:p>
        </w:tc>
        <w:tc>
          <w:tcPr/>
          <w:p>
            <w:pPr>
              <w:pStyle w:val="Compact"/>
            </w:pPr>
            <w:r>
              <w:t xml:space="preserve">카운트, 1–21</w:t>
            </w:r>
          </w:p>
        </w:tc>
      </w:tr>
      <w:tr>
        <w:tc>
          <w:tcPr/>
          <w:p>
            <w:pPr>
              <w:pStyle w:val="Compact"/>
            </w:pPr>
            <w:r>
              <w:t xml:space="preserve">breadth_adj</w:t>
            </w:r>
          </w:p>
        </w:tc>
        <w:tc>
          <w:tcPr/>
          <w:p>
            <w:pPr>
              <w:pStyle w:val="Compact"/>
            </w:pPr>
            <w:r>
              <w:t xml:space="preserve">breadth − has_process − has_assembly(각 클래스의 첫 기호를 제외한 초과 기호 수; 제5.4절)</w:t>
            </w:r>
          </w:p>
        </w:tc>
        <w:tc>
          <w:tcPr/>
          <w:p>
            <w:pPr>
              <w:pStyle w:val="Compact"/>
            </w:pPr>
            <w:r>
              <w:t xml:space="preserve">카운트, 0–19</w:t>
            </w:r>
          </w:p>
        </w:tc>
      </w:tr>
      <w:tr>
        <w:tc>
          <w:tcPr/>
          <w:p>
            <w:pPr>
              <w:pStyle w:val="Compact"/>
            </w:pPr>
            <w:r>
              <w:t xml:space="preserve">tech_cat</w:t>
            </w:r>
          </w:p>
        </w:tc>
        <w:tc>
          <w:tcPr/>
          <w:p>
            <w:pPr>
              <w:pStyle w:val="Compact"/>
            </w:pPr>
            <w:r>
              <w:t xml:space="preserve">조립 단독형(H01L24만) / 통합형(둘 다 = 경계 넘기) / 공정 단독형(H01L21만)</w:t>
            </w:r>
          </w:p>
        </w:tc>
        <w:tc>
          <w:tcPr/>
          <w:p>
            <w:pPr>
              <w:pStyle w:val="Compact"/>
            </w:pPr>
            <w:r>
              <w:t xml:space="preserve">범주, 3</w:t>
            </w:r>
          </w:p>
        </w:tc>
      </w:tr>
      <w:tr>
        <w:tc>
          <w:tcPr/>
          <w:p>
            <w:pPr>
              <w:pStyle w:val="Compact"/>
            </w:pPr>
            <w:r>
              <w:t xml:space="preserve">has_process</w:t>
            </w:r>
          </w:p>
        </w:tc>
        <w:tc>
          <w:tcPr/>
          <w:p>
            <w:pPr>
              <w:pStyle w:val="Compact"/>
            </w:pPr>
            <w:r>
              <w:t xml:space="preserve">H01L21(제조공정) 기호를 하나라도 보유하면 1(전공정 지향), 아니면 0</w:t>
            </w:r>
          </w:p>
        </w:tc>
        <w:tc>
          <w:tcPr/>
          <w:p>
            <w:pPr>
              <w:pStyle w:val="Compact"/>
            </w:pPr>
            <w:r>
              <w:t xml:space="preserve">이항</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 표본 최초 출원 이후 경과 연수</w:t>
            </w:r>
          </w:p>
        </w:tc>
        <w:tc>
          <w:tcPr/>
          <w:p>
            <w:pPr>
              <w:pStyle w:val="Compact"/>
            </w:pPr>
            <w:r>
              <w:t xml:space="preserve">연속</w:t>
            </w:r>
          </w:p>
        </w:tc>
      </w:tr>
    </w:tbl>
    <w:p>
      <w:pPr>
        <w:pStyle w:val="BodyText"/>
      </w:pPr>
      <w:r>
        <w:t xml:space="preserve">기술범위는 평균 5.69개 서브그룹(표준편차 4.07, 범위 1–21)이며, 유형별로는 통합형 7.89개(H01L21 계열 2.63개 + H01L24 계열 5.26개), 조립 단독형 4.16개, 공정 단독형 3.15개다. 미국 출원청이 382건으로 가장 많고, 중국(175), PCT 경로(113), EPO(83), 대만(75), 한국(58), 일본(26), 기타(16)가 뒤를 잇는다. 그림 2는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단독형이다. 경계를 넘는 특허(통합형)가 최빈 유형이며, 통합형과 공정 단독형을 합한 590건(63.6%)이 전공정 지향에 해당한다.</w:t>
      </w:r>
    </w:p>
    <w:p>
      <w:pPr>
        <w:pStyle w:val="BodyText"/>
      </w:pPr>
      <w:r>
        <w:drawing>
          <wp:inline>
            <wp:extent cx="5334000" cy="3878580"/>
            <wp:effectExtent b="0" l="0" r="0" t="0"/>
            <wp:docPr descr="" title="" id="23" name="Picture"/>
            <a:graphic>
              <a:graphicData uri="http://schemas.openxmlformats.org/drawingml/2006/picture">
                <pic:pic>
                  <pic:nvPicPr>
                    <pic:cNvPr descr="figures/fig4_applications_by_year.png" id="24" name="Picture"/>
                    <pic:cNvPicPr>
                      <a:picLocks noChangeArrowheads="1" noChangeAspect="1"/>
                    </pic:cNvPicPr>
                  </pic:nvPicPr>
                  <pic:blipFill>
                    <a:blip r:embed="rId22"/>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1968–2024(N = 928). 2023–2024년의 하락은 공개 시차 인공물이다.</w:t>
      </w:r>
    </w:p>
    <w:p>
      <w:pPr>
        <w:pStyle w:val="BodyText"/>
      </w:pPr>
      <w:r>
        <w:t xml:space="preserve">표 3은 출원청별로 전략 유형의 분포와 기술범위를 정리한 것이다. 회귀분석에 앞서 원자료에서 두 가지가 눈에 띈다. 첫째, 통합형은 EPO·대만·일본·미국에서 절반 안팎으로 가장 많은 유형이지만, 중국과 PCT 경로에서는 40% 수준에 그친다. 둘째, 공정 단독형의 비중은 중국(24.6%)과 한국(27.6%)에서 높고 일본(11.5%), EPO(12.0%), 미국(13.9%)에서 낮으며, 기술범위 평균은 중국(4.83)과 PCT(5.04)가 가장 좁고 일본(6.88)이 가장 넓다. 다만 출원청마다 출원 시기가 다르다. 일본 출원의 중앙 연도는 2011년인 반면 PCT 출원은 2022년이다. 따라서 이 차이가 출원 시기와 범위를 통제한 뒤에도 남는지는 제5절의 회귀분석으로 확인한다.</w:t>
      </w:r>
    </w:p>
    <w:p>
      <w:pPr>
        <w:pStyle w:val="BodyText"/>
      </w:pPr>
      <w:r>
        <w:rPr>
          <w:b/>
          <w:bCs/>
        </w:rPr>
        <w:t xml:space="preserve">표 3.</w:t>
      </w:r>
      <w:r>
        <w:t xml:space="preserve"> </w:t>
      </w:r>
      <w:r>
        <w:t xml:space="preserve">출원청별 전략 유형 분포와 기술범위(N = 928; 괄호 안은 행 비중).</w:t>
      </w:r>
    </w:p>
    <w:tbl>
      <w:tblPr>
        <w:tblStyle w:val="Table"/>
        <w:tblW w:type="pct" w:w="5000"/>
        <w:tblLayout w:type="fixed"/>
        <w:tblLook w:firstRow="1" w:lastRow="0" w:firstColumn="0" w:lastColumn="0" w:noHBand="0" w:noVBand="0" w:val="0020"/>
      </w:tblPr>
      <w:tblGrid>
        <w:gridCol w:w="880"/>
        <w:gridCol w:w="1173"/>
        <w:gridCol w:w="880"/>
        <w:gridCol w:w="880"/>
        <w:gridCol w:w="880"/>
        <w:gridCol w:w="1173"/>
        <w:gridCol w:w="880"/>
        <w:gridCol w:w="1173"/>
      </w:tblGrid>
      <w:tr>
        <w:trPr>
          <w:tblHeader w:val="on"/>
        </w:trPr>
        <w:tc>
          <w:tcPr/>
          <w:p>
            <w:pPr>
              <w:pStyle w:val="Compact"/>
            </w:pPr>
            <w:r>
              <w:t xml:space="preserve">출원청</w:t>
            </w:r>
          </w:p>
        </w:tc>
        <w:tc>
          <w:tcPr/>
          <w:p>
            <w:pPr>
              <w:pStyle w:val="Compact"/>
              <w:jc w:val="right"/>
            </w:pPr>
            <w:r>
              <w:t xml:space="preserve">N</w:t>
            </w:r>
          </w:p>
        </w:tc>
        <w:tc>
          <w:tcPr/>
          <w:p>
            <w:pPr>
              <w:pStyle w:val="Compact"/>
            </w:pPr>
            <w:r>
              <w:t xml:space="preserve">조립 단독형</w:t>
            </w:r>
          </w:p>
        </w:tc>
        <w:tc>
          <w:tcPr/>
          <w:p>
            <w:pPr>
              <w:pStyle w:val="Compact"/>
            </w:pPr>
            <w:r>
              <w:t xml:space="preserve">통합형(경계 넘기)</w:t>
            </w:r>
          </w:p>
        </w:tc>
        <w:tc>
          <w:tcPr/>
          <w:p>
            <w:pPr>
              <w:pStyle w:val="Compact"/>
            </w:pPr>
            <w:r>
              <w:t xml:space="preserve">공정 단독형</w:t>
            </w:r>
          </w:p>
        </w:tc>
        <w:tc>
          <w:tcPr/>
          <w:p>
            <w:pPr>
              <w:pStyle w:val="Compact"/>
              <w:jc w:val="right"/>
            </w:pPr>
            <w:r>
              <w:t xml:space="preserve">전공정 지향(%)</w:t>
            </w:r>
          </w:p>
        </w:tc>
        <w:tc>
          <w:tcPr/>
          <w:p>
            <w:pPr>
              <w:pStyle w:val="Compact"/>
            </w:pPr>
            <w:r>
              <w:t xml:space="preserve">기술범위 평균(SD)</w:t>
            </w:r>
          </w:p>
        </w:tc>
        <w:tc>
          <w:tcPr/>
          <w:p>
            <w:pPr>
              <w:pStyle w:val="Compact"/>
              <w:jc w:val="right"/>
            </w:pPr>
            <w:r>
              <w:t xml:space="preserve">출원연도 중앙값</w:t>
            </w:r>
          </w:p>
        </w:tc>
      </w:tr>
      <w:tr>
        <w:tc>
          <w:tcPr/>
          <w:p>
            <w:pPr>
              <w:pStyle w:val="Compact"/>
            </w:pPr>
            <w:r>
              <w:t xml:space="preserve">미국(US)</w:t>
            </w:r>
          </w:p>
        </w:tc>
        <w:tc>
          <w:tcPr/>
          <w:p>
            <w:pPr>
              <w:pStyle w:val="Compact"/>
              <w:jc w:val="right"/>
            </w:pPr>
            <w:r>
              <w:t xml:space="preserve">382</w:t>
            </w:r>
          </w:p>
        </w:tc>
        <w:tc>
          <w:tcPr/>
          <w:p>
            <w:pPr>
              <w:pStyle w:val="Compact"/>
            </w:pPr>
            <w:r>
              <w:t xml:space="preserve">148 (38.7%)</w:t>
            </w:r>
          </w:p>
        </w:tc>
        <w:tc>
          <w:tcPr/>
          <w:p>
            <w:pPr>
              <w:pStyle w:val="Compact"/>
            </w:pPr>
            <w:r>
              <w:t xml:space="preserve">181 (47.4%)</w:t>
            </w:r>
          </w:p>
        </w:tc>
        <w:tc>
          <w:tcPr/>
          <w:p>
            <w:pPr>
              <w:pStyle w:val="Compact"/>
            </w:pPr>
            <w:r>
              <w:t xml:space="preserve">53 (13.9%)</w:t>
            </w:r>
          </w:p>
        </w:tc>
        <w:tc>
          <w:tcPr/>
          <w:p>
            <w:pPr>
              <w:pStyle w:val="Compact"/>
              <w:jc w:val="right"/>
            </w:pPr>
            <w:r>
              <w:t xml:space="preserve">61.3</w:t>
            </w:r>
          </w:p>
        </w:tc>
        <w:tc>
          <w:tcPr/>
          <w:p>
            <w:pPr>
              <w:pStyle w:val="Compact"/>
            </w:pPr>
            <w:r>
              <w:t xml:space="preserve">5.99 (4.02)</w:t>
            </w:r>
          </w:p>
        </w:tc>
        <w:tc>
          <w:tcPr/>
          <w:p>
            <w:pPr>
              <w:pStyle w:val="Compact"/>
              <w:jc w:val="right"/>
            </w:pPr>
            <w:r>
              <w:t xml:space="preserve">2020</w:t>
            </w:r>
          </w:p>
        </w:tc>
      </w:tr>
      <w:tr>
        <w:tc>
          <w:tcPr/>
          <w:p>
            <w:pPr>
              <w:pStyle w:val="Compact"/>
            </w:pPr>
            <w:r>
              <w:t xml:space="preserve">중국(CN)</w:t>
            </w:r>
          </w:p>
        </w:tc>
        <w:tc>
          <w:tcPr/>
          <w:p>
            <w:pPr>
              <w:pStyle w:val="Compact"/>
              <w:jc w:val="right"/>
            </w:pPr>
            <w:r>
              <w:t xml:space="preserve">175</w:t>
            </w:r>
          </w:p>
        </w:tc>
        <w:tc>
          <w:tcPr/>
          <w:p>
            <w:pPr>
              <w:pStyle w:val="Compact"/>
            </w:pPr>
            <w:r>
              <w:t xml:space="preserve">63 (36.0%)</w:t>
            </w:r>
          </w:p>
        </w:tc>
        <w:tc>
          <w:tcPr/>
          <w:p>
            <w:pPr>
              <w:pStyle w:val="Compact"/>
            </w:pPr>
            <w:r>
              <w:t xml:space="preserve">69 (39.4%)</w:t>
            </w:r>
          </w:p>
        </w:tc>
        <w:tc>
          <w:tcPr/>
          <w:p>
            <w:pPr>
              <w:pStyle w:val="Compact"/>
            </w:pPr>
            <w:r>
              <w:t xml:space="preserve">43 (24.6%)</w:t>
            </w:r>
          </w:p>
        </w:tc>
        <w:tc>
          <w:tcPr/>
          <w:p>
            <w:pPr>
              <w:pStyle w:val="Compact"/>
              <w:jc w:val="right"/>
            </w:pPr>
            <w:r>
              <w:t xml:space="preserve">64.0</w:t>
            </w:r>
          </w:p>
        </w:tc>
        <w:tc>
          <w:tcPr/>
          <w:p>
            <w:pPr>
              <w:pStyle w:val="Compact"/>
            </w:pPr>
            <w:r>
              <w:t xml:space="preserve">4.83 (3.39)</w:t>
            </w:r>
          </w:p>
        </w:tc>
        <w:tc>
          <w:tcPr/>
          <w:p>
            <w:pPr>
              <w:pStyle w:val="Compact"/>
              <w:jc w:val="right"/>
            </w:pPr>
            <w:r>
              <w:t xml:space="preserve">2021</w:t>
            </w:r>
          </w:p>
        </w:tc>
      </w:tr>
      <w:tr>
        <w:tc>
          <w:tcPr/>
          <w:p>
            <w:pPr>
              <w:pStyle w:val="Compact"/>
            </w:pPr>
            <w:r>
              <w:t xml:space="preserve">PCT(WO)</w:t>
            </w:r>
          </w:p>
        </w:tc>
        <w:tc>
          <w:tcPr/>
          <w:p>
            <w:pPr>
              <w:pStyle w:val="Compact"/>
              <w:jc w:val="right"/>
            </w:pPr>
            <w:r>
              <w:t xml:space="preserve">113</w:t>
            </w:r>
          </w:p>
        </w:tc>
        <w:tc>
          <w:tcPr/>
          <w:p>
            <w:pPr>
              <w:pStyle w:val="Compact"/>
            </w:pPr>
            <w:r>
              <w:t xml:space="preserve">43 (38.1%)</w:t>
            </w:r>
          </w:p>
        </w:tc>
        <w:tc>
          <w:tcPr/>
          <w:p>
            <w:pPr>
              <w:pStyle w:val="Compact"/>
            </w:pPr>
            <w:r>
              <w:t xml:space="preserve">46 (40.7%)</w:t>
            </w:r>
          </w:p>
        </w:tc>
        <w:tc>
          <w:tcPr/>
          <w:p>
            <w:pPr>
              <w:pStyle w:val="Compact"/>
            </w:pPr>
            <w:r>
              <w:t xml:space="preserve">24 (21.2%)</w:t>
            </w:r>
          </w:p>
        </w:tc>
        <w:tc>
          <w:tcPr/>
          <w:p>
            <w:pPr>
              <w:pStyle w:val="Compact"/>
              <w:jc w:val="right"/>
            </w:pPr>
            <w:r>
              <w:t xml:space="preserve">61.9</w:t>
            </w:r>
          </w:p>
        </w:tc>
        <w:tc>
          <w:tcPr/>
          <w:p>
            <w:pPr>
              <w:pStyle w:val="Compact"/>
            </w:pPr>
            <w:r>
              <w:t xml:space="preserve">5.04 (3.57)</w:t>
            </w:r>
          </w:p>
        </w:tc>
        <w:tc>
          <w:tcPr/>
          <w:p>
            <w:pPr>
              <w:pStyle w:val="Compact"/>
              <w:jc w:val="right"/>
            </w:pPr>
            <w:r>
              <w:t xml:space="preserve">2022</w:t>
            </w:r>
          </w:p>
        </w:tc>
      </w:tr>
      <w:tr>
        <w:tc>
          <w:tcPr/>
          <w:p>
            <w:pPr>
              <w:pStyle w:val="Compact"/>
            </w:pPr>
            <w:r>
              <w:t xml:space="preserve">EPO(EP)</w:t>
            </w:r>
          </w:p>
        </w:tc>
        <w:tc>
          <w:tcPr/>
          <w:p>
            <w:pPr>
              <w:pStyle w:val="Compact"/>
              <w:jc w:val="right"/>
            </w:pPr>
            <w:r>
              <w:t xml:space="preserve">83</w:t>
            </w:r>
          </w:p>
        </w:tc>
        <w:tc>
          <w:tcPr/>
          <w:p>
            <w:pPr>
              <w:pStyle w:val="Compact"/>
            </w:pPr>
            <w:r>
              <w:t xml:space="preserve">29 (34.9%)</w:t>
            </w:r>
          </w:p>
        </w:tc>
        <w:tc>
          <w:tcPr/>
          <w:p>
            <w:pPr>
              <w:pStyle w:val="Compact"/>
            </w:pPr>
            <w:r>
              <w:t xml:space="preserve">44 (53.0%)</w:t>
            </w:r>
          </w:p>
        </w:tc>
        <w:tc>
          <w:tcPr/>
          <w:p>
            <w:pPr>
              <w:pStyle w:val="Compact"/>
            </w:pPr>
            <w:r>
              <w:t xml:space="preserve">10 (12.0%)</w:t>
            </w:r>
          </w:p>
        </w:tc>
        <w:tc>
          <w:tcPr/>
          <w:p>
            <w:pPr>
              <w:pStyle w:val="Compact"/>
              <w:jc w:val="right"/>
            </w:pPr>
            <w:r>
              <w:t xml:space="preserve">65.1</w:t>
            </w:r>
          </w:p>
        </w:tc>
        <w:tc>
          <w:tcPr/>
          <w:p>
            <w:pPr>
              <w:pStyle w:val="Compact"/>
            </w:pPr>
            <w:r>
              <w:t xml:space="preserve">5.94 (3.75)</w:t>
            </w:r>
          </w:p>
        </w:tc>
        <w:tc>
          <w:tcPr/>
          <w:p>
            <w:pPr>
              <w:pStyle w:val="Compact"/>
              <w:jc w:val="right"/>
            </w:pPr>
            <w:r>
              <w:t xml:space="preserve">2021</w:t>
            </w:r>
          </w:p>
        </w:tc>
      </w:tr>
      <w:tr>
        <w:tc>
          <w:tcPr/>
          <w:p>
            <w:pPr>
              <w:pStyle w:val="Compact"/>
            </w:pPr>
            <w:r>
              <w:t xml:space="preserve">대만(TW)</w:t>
            </w:r>
          </w:p>
        </w:tc>
        <w:tc>
          <w:tcPr/>
          <w:p>
            <w:pPr>
              <w:pStyle w:val="Compact"/>
              <w:jc w:val="right"/>
            </w:pPr>
            <w:r>
              <w:t xml:space="preserve">75</w:t>
            </w:r>
          </w:p>
        </w:tc>
        <w:tc>
          <w:tcPr/>
          <w:p>
            <w:pPr>
              <w:pStyle w:val="Compact"/>
            </w:pPr>
            <w:r>
              <w:t xml:space="preserve">24 (32.0%)</w:t>
            </w:r>
          </w:p>
        </w:tc>
        <w:tc>
          <w:tcPr/>
          <w:p>
            <w:pPr>
              <w:pStyle w:val="Compact"/>
            </w:pPr>
            <w:r>
              <w:t xml:space="preserve">39 (52.0%)</w:t>
            </w:r>
          </w:p>
        </w:tc>
        <w:tc>
          <w:tcPr/>
          <w:p>
            <w:pPr>
              <w:pStyle w:val="Compact"/>
            </w:pPr>
            <w:r>
              <w:t xml:space="preserve">12 (16.0%)</w:t>
            </w:r>
          </w:p>
        </w:tc>
        <w:tc>
          <w:tcPr/>
          <w:p>
            <w:pPr>
              <w:pStyle w:val="Compact"/>
              <w:jc w:val="right"/>
            </w:pPr>
            <w:r>
              <w:t xml:space="preserve">68.0</w:t>
            </w:r>
          </w:p>
        </w:tc>
        <w:tc>
          <w:tcPr/>
          <w:p>
            <w:pPr>
              <w:pStyle w:val="Compact"/>
            </w:pPr>
            <w:r>
              <w:t xml:space="preserve">6.27 (4.23)</w:t>
            </w:r>
          </w:p>
        </w:tc>
        <w:tc>
          <w:tcPr/>
          <w:p>
            <w:pPr>
              <w:pStyle w:val="Compact"/>
              <w:jc w:val="right"/>
            </w:pPr>
            <w:r>
              <w:t xml:space="preserve">2021</w:t>
            </w:r>
          </w:p>
        </w:tc>
      </w:tr>
      <w:tr>
        <w:tc>
          <w:tcPr/>
          <w:p>
            <w:pPr>
              <w:pStyle w:val="Compact"/>
            </w:pPr>
            <w:r>
              <w:t xml:space="preserve">한국(KR)</w:t>
            </w:r>
          </w:p>
        </w:tc>
        <w:tc>
          <w:tcPr/>
          <w:p>
            <w:pPr>
              <w:pStyle w:val="Compact"/>
              <w:jc w:val="right"/>
            </w:pPr>
            <w:r>
              <w:t xml:space="preserve">58</w:t>
            </w:r>
          </w:p>
        </w:tc>
        <w:tc>
          <w:tcPr/>
          <w:p>
            <w:pPr>
              <w:pStyle w:val="Compact"/>
            </w:pPr>
            <w:r>
              <w:t xml:space="preserve">17 (29.3%)</w:t>
            </w:r>
          </w:p>
        </w:tc>
        <w:tc>
          <w:tcPr/>
          <w:p>
            <w:pPr>
              <w:pStyle w:val="Compact"/>
            </w:pPr>
            <w:r>
              <w:t xml:space="preserve">25 (43.1%)</w:t>
            </w:r>
          </w:p>
        </w:tc>
        <w:tc>
          <w:tcPr/>
          <w:p>
            <w:pPr>
              <w:pStyle w:val="Compact"/>
            </w:pPr>
            <w:r>
              <w:t xml:space="preserve">16 (27.6%)</w:t>
            </w:r>
          </w:p>
        </w:tc>
        <w:tc>
          <w:tcPr/>
          <w:p>
            <w:pPr>
              <w:pStyle w:val="Compact"/>
              <w:jc w:val="right"/>
            </w:pPr>
            <w:r>
              <w:t xml:space="preserve">70.7</w:t>
            </w:r>
          </w:p>
        </w:tc>
        <w:tc>
          <w:tcPr/>
          <w:p>
            <w:pPr>
              <w:pStyle w:val="Compact"/>
            </w:pPr>
            <w:r>
              <w:t xml:space="preserve">5.84 (4.64)</w:t>
            </w:r>
          </w:p>
        </w:tc>
        <w:tc>
          <w:tcPr/>
          <w:p>
            <w:pPr>
              <w:pStyle w:val="Compact"/>
              <w:jc w:val="right"/>
            </w:pPr>
            <w:r>
              <w:t xml:space="preserve">2018</w:t>
            </w:r>
          </w:p>
        </w:tc>
      </w:tr>
      <w:tr>
        <w:tc>
          <w:tcPr/>
          <w:p>
            <w:pPr>
              <w:pStyle w:val="Compact"/>
            </w:pPr>
            <w:r>
              <w:t xml:space="preserve">일본(JP)</w:t>
            </w:r>
          </w:p>
        </w:tc>
        <w:tc>
          <w:tcPr/>
          <w:p>
            <w:pPr>
              <w:pStyle w:val="Compact"/>
              <w:jc w:val="right"/>
            </w:pPr>
            <w:r>
              <w:t xml:space="preserve">26</w:t>
            </w:r>
          </w:p>
        </w:tc>
        <w:tc>
          <w:tcPr/>
          <w:p>
            <w:pPr>
              <w:pStyle w:val="Compact"/>
            </w:pPr>
            <w:r>
              <w:t xml:space="preserve">10 (38.5%)</w:t>
            </w:r>
          </w:p>
        </w:tc>
        <w:tc>
          <w:tcPr/>
          <w:p>
            <w:pPr>
              <w:pStyle w:val="Compact"/>
            </w:pPr>
            <w:r>
              <w:t xml:space="preserve">13 (50.0%)</w:t>
            </w:r>
          </w:p>
        </w:tc>
        <w:tc>
          <w:tcPr/>
          <w:p>
            <w:pPr>
              <w:pStyle w:val="Compact"/>
            </w:pPr>
            <w:r>
              <w:t xml:space="preserve">3 (11.5%)</w:t>
            </w:r>
          </w:p>
        </w:tc>
        <w:tc>
          <w:tcPr/>
          <w:p>
            <w:pPr>
              <w:pStyle w:val="Compact"/>
              <w:jc w:val="right"/>
            </w:pPr>
            <w:r>
              <w:t xml:space="preserve">61.5</w:t>
            </w:r>
          </w:p>
        </w:tc>
        <w:tc>
          <w:tcPr/>
          <w:p>
            <w:pPr>
              <w:pStyle w:val="Compact"/>
            </w:pPr>
            <w:r>
              <w:t xml:space="preserve">6.88 (7.00)</w:t>
            </w:r>
          </w:p>
        </w:tc>
        <w:tc>
          <w:tcPr/>
          <w:p>
            <w:pPr>
              <w:pStyle w:val="Compact"/>
              <w:jc w:val="right"/>
            </w:pPr>
            <w:r>
              <w:t xml:space="preserve">2011</w:t>
            </w:r>
          </w:p>
        </w:tc>
      </w:tr>
      <w:tr>
        <w:tc>
          <w:tcPr/>
          <w:p>
            <w:pPr>
              <w:pStyle w:val="Compact"/>
            </w:pPr>
            <w:r>
              <w:t xml:space="preserve">기타</w:t>
            </w:r>
          </w:p>
        </w:tc>
        <w:tc>
          <w:tcPr/>
          <w:p>
            <w:pPr>
              <w:pStyle w:val="Compact"/>
              <w:jc w:val="right"/>
            </w:pPr>
            <w:r>
              <w:t xml:space="preserve">16</w:t>
            </w:r>
          </w:p>
        </w:tc>
        <w:tc>
          <w:tcPr/>
          <w:p>
            <w:pPr>
              <w:pStyle w:val="Compact"/>
            </w:pPr>
            <w:r>
              <w:t xml:space="preserve">4 (25.0%)</w:t>
            </w:r>
          </w:p>
        </w:tc>
        <w:tc>
          <w:tcPr/>
          <w:p>
            <w:pPr>
              <w:pStyle w:val="Compact"/>
            </w:pPr>
            <w:r>
              <w:t xml:space="preserve">8 (50.0%)</w:t>
            </w:r>
          </w:p>
        </w:tc>
        <w:tc>
          <w:tcPr/>
          <w:p>
            <w:pPr>
              <w:pStyle w:val="Compact"/>
            </w:pPr>
            <w:r>
              <w:t xml:space="preserve">4 (25.0%)</w:t>
            </w:r>
          </w:p>
        </w:tc>
        <w:tc>
          <w:tcPr/>
          <w:p>
            <w:pPr>
              <w:pStyle w:val="Compact"/>
              <w:jc w:val="right"/>
            </w:pPr>
            <w:r>
              <w:t xml:space="preserve">75.0</w:t>
            </w:r>
          </w:p>
        </w:tc>
        <w:tc>
          <w:tcPr/>
          <w:p>
            <w:pPr>
              <w:pStyle w:val="Compact"/>
            </w:pPr>
            <w:r>
              <w:t xml:space="preserve">5.81 (6.23)</w:t>
            </w:r>
          </w:p>
        </w:tc>
        <w:tc>
          <w:tcPr/>
          <w:p>
            <w:pPr>
              <w:pStyle w:val="Compact"/>
              <w:jc w:val="right"/>
            </w:pPr>
            <w:r>
              <w:t xml:space="preserve">2015</w:t>
            </w:r>
          </w:p>
        </w:tc>
      </w:tr>
      <w:tr>
        <w:tc>
          <w:tcPr/>
          <w:p>
            <w:pPr>
              <w:pStyle w:val="Compact"/>
            </w:pPr>
            <w:r>
              <w:t xml:space="preserve">전체</w:t>
            </w:r>
          </w:p>
        </w:tc>
        <w:tc>
          <w:tcPr/>
          <w:p>
            <w:pPr>
              <w:pStyle w:val="Compact"/>
              <w:jc w:val="right"/>
            </w:pPr>
            <w:r>
              <w:t xml:space="preserve">928</w:t>
            </w:r>
          </w:p>
        </w:tc>
        <w:tc>
          <w:tcPr/>
          <w:p>
            <w:pPr>
              <w:pStyle w:val="Compact"/>
            </w:pPr>
            <w:r>
              <w:t xml:space="preserve">338 (36.4%)</w:t>
            </w:r>
          </w:p>
        </w:tc>
        <w:tc>
          <w:tcPr/>
          <w:p>
            <w:pPr>
              <w:pStyle w:val="Compact"/>
            </w:pPr>
            <w:r>
              <w:t xml:space="preserve">425 (45.8%)</w:t>
            </w:r>
          </w:p>
        </w:tc>
        <w:tc>
          <w:tcPr/>
          <w:p>
            <w:pPr>
              <w:pStyle w:val="Compact"/>
            </w:pPr>
            <w:r>
              <w:t xml:space="preserve">165 (17.8%)</w:t>
            </w:r>
          </w:p>
        </w:tc>
        <w:tc>
          <w:tcPr/>
          <w:p>
            <w:pPr>
              <w:pStyle w:val="Compact"/>
              <w:jc w:val="right"/>
            </w:pPr>
            <w:r>
              <w:t xml:space="preserve">63.6</w:t>
            </w:r>
          </w:p>
        </w:tc>
        <w:tc>
          <w:tcPr/>
          <w:p>
            <w:pPr>
              <w:pStyle w:val="Compact"/>
            </w:pPr>
            <w:r>
              <w:t xml:space="preserve">5.69 (4.07)</w:t>
            </w:r>
          </w:p>
        </w:tc>
        <w:tc>
          <w:tcPr/>
          <w:p>
            <w:pPr>
              <w:pStyle w:val="Compact"/>
              <w:jc w:val="right"/>
            </w:pPr>
            <w:r>
              <w:t xml:space="preserve">2021</w:t>
            </w:r>
          </w:p>
        </w:tc>
      </w:tr>
    </w:tbl>
    <w:p>
      <w:pPr>
        <w:pStyle w:val="BodyText"/>
      </w:pPr>
      <w:r>
        <w:t xml:space="preserve">ccode는 출원이 제출된 출원청이며, WO와 EP는 국제·지역 출원 경로다. 따라서 출원청 간 차이는 각 관할권에서 무엇이 보호할 가치가 있다고 판단되었는가, 즉 출원·보호 전략의 차이로 해석한다.</w:t>
      </w:r>
    </w:p>
    <w:bookmarkEnd w:id="25"/>
    <w:bookmarkStart w:id="26" w:name="실증-전략"/>
    <w:p>
      <w:pPr>
        <w:pStyle w:val="Heading3"/>
      </w:pPr>
      <w:r>
        <w:t xml:space="preserve">4.3 실증 전략</w:t>
      </w:r>
    </w:p>
    <w:p>
      <w:pPr>
        <w:pStyle w:val="FirstParagraph"/>
      </w:pPr>
      <w:r>
        <w:t xml:space="preserve">종속변수의 통계적 성격이 서로 다르므로 모형은 이에 맞추어 선택한다. 기술범위가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선호 카운트 모형의 계수는 발생률비(IRR)로 보고한다. 기술범위 모형은 경계 넘기 모형의 설명변수인 범위의 특성을 파악하고 H3b의 범위 성분을 검정하는 두 가지 목적을 갖는다.</w:t>
      </w:r>
    </w:p>
    <w:p>
      <w:pPr>
        <w:pStyle w:val="BodyText"/>
      </w:pPr>
      <w:r>
        <w:t xml:space="preserve">전략 유형은 이산선택으로 모형화한다. 다항 로짓(McFadden, 1974)은 조립 단독형을 기준 범주로 tech_cat을 모형화하고 상대위험비(RRR)로 보고하여, 통합형(경계 넘기)과 공정 단독형을 동일한 기준 범주 대비로 해석할 수 있게 한다. 이것이 H1과 H2의 본 검정이다. 이에 앞서 이항 로짓은 기술범위, 연도 추세, 출원청으로 has_process(전공정 지향)를 예측하며, 승산비(OR)로 보고하고 ROC 곡선 하면적(AUC)으로 평가한다(Hosmer et al., 2013). 이항 로짓은 전공정 기술이 청구되는지만을 묻는 단순한 모형으로, 다항 로짓 결과의 예비 점검 역할을 한다. 다항 로짓은 무관 대안의 독립성(IIA)에 의존하므로, 그 추정치를 기준 범주 대비 상대적 경향으로 해석하고 절대 확률에 관한 인과적 진술은 삼간다. 카운트 모형에서는 로버스트 표준오차를 병행 산출하였으며, 추정치 변화가 미미하여 선형 벤치마크의 문제가 오차 구조가 아니라 함수 형태에 있음을 확인하였다.</w:t>
      </w:r>
    </w:p>
    <w:bookmarkEnd w:id="26"/>
    <w:bookmarkEnd w:id="27"/>
    <w:bookmarkStart w:id="47" w:name="결과"/>
    <w:p>
      <w:pPr>
        <w:pStyle w:val="Heading2"/>
      </w:pPr>
      <w:r>
        <w:t xml:space="preserve">5. 결과</w:t>
      </w:r>
    </w:p>
    <w:bookmarkStart w:id="34" w:name="기술범위"/>
    <w:p>
      <w:pPr>
        <w:pStyle w:val="Heading3"/>
      </w:pPr>
      <w:r>
        <w:t xml:space="preserve">5.1 기술범위</w:t>
      </w:r>
    </w:p>
    <w:p>
      <w:pPr>
        <w:pStyle w:val="FirstParagraph"/>
      </w:pPr>
      <w:r>
        <w:t xml:space="preserve">표 4는 OLS, 로버스트 OLS, Poisson, 음이항의 기술범위 추정치를 함께 보고한다. 선형 벤치마크에서 연도 추세는 양이고 유의하지만(0.070, p &lt; 0.01) 모형의 설명력은 낮다(R² = 0.033). 잔차는 등분산 가정을 기각하며(Breusch–Pagan p &lt; 0.001), 그림 3의 잔차–적합값 도표는 카운트 자료에서 흔히 나타나는 대각선 줄무늬와 부채꼴 모양을 보인다. 적합값이 커질수록 잔차의 퍼짐이 커지고, 잔차는 아래쪽으로 막혀 있다. 로버스트 표준오차를 써도 결과가 거의 달라지지 않으므로, 문제는 오차 구조가 아니라 함수 형태에 있다. 음이항의 과산포 모수는 크고 정밀하게 추정되며(ln α = −1.316, α ≈ 0.27, p &lt; 0.001), Poisson 대비 우도비 검정은 결정적이고, AIC는 Poisson의 5,477에서 음이항의 4,883으로 낮아진다. 따라서 음이항을 주된 모형으로 삼는다.</w:t>
      </w:r>
    </w:p>
    <w:p>
      <w:pPr>
        <w:pStyle w:val="BodyText"/>
      </w:pPr>
      <w:r>
        <w:rPr>
          <w:b/>
          <w:bCs/>
        </w:rPr>
        <w:t xml:space="preserve">표 4.</w:t>
      </w:r>
      <w:r>
        <w:t xml:space="preserve"> </w:t>
      </w:r>
      <w:r>
        <w:t xml:space="preserve">모형 설정별 기술범위 결정요인(N = 928; 미국 출원청이 기준; 괄호 안은 표준오차; Poisson·음이항 계수의 지수가 발생률비(IRR); * p &lt; 0.10, ** p &lt; 0.05, *** p &lt; 0.01).</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p>
        </w:tc>
        <w:tc>
          <w:tcPr/>
          <w:p>
            <w:pPr>
              <w:pStyle w:val="Compact"/>
              <w:jc w:val="center"/>
            </w:pPr>
            <w:r>
              <w:t xml:space="preserve">OLS</w:t>
            </w:r>
          </w:p>
        </w:tc>
        <w:tc>
          <w:tcPr/>
          <w:p>
            <w:pPr>
              <w:pStyle w:val="Compact"/>
              <w:jc w:val="center"/>
            </w:pPr>
            <w:r>
              <w:t xml:space="preserve">OLS(로버스트)</w:t>
            </w:r>
          </w:p>
        </w:tc>
        <w:tc>
          <w:tcPr/>
          <w:p>
            <w:pPr>
              <w:pStyle w:val="Compact"/>
              <w:jc w:val="center"/>
            </w:pPr>
            <w:r>
              <w:t xml:space="preserve">Poisson</w:t>
            </w:r>
          </w:p>
        </w:tc>
        <w:tc>
          <w:tcPr/>
          <w:p>
            <w:pPr>
              <w:pStyle w:val="Compact"/>
              <w:jc w:val="center"/>
            </w:pPr>
            <w:r>
              <w:t xml:space="preserve">음이항</w:t>
            </w:r>
          </w:p>
        </w:tc>
      </w:tr>
      <w:tr>
        <w:tc>
          <w:tcPr/>
          <w:p>
            <w:pPr>
              <w:pStyle w:val="Compact"/>
            </w:pPr>
            <w:r>
              <w:t xml:space="preserve">출원연도(yc)</w:t>
            </w:r>
          </w:p>
        </w:tc>
        <w:tc>
          <w:tcPr/>
          <w:p>
            <w:pPr>
              <w:pStyle w:val="Compact"/>
              <w:jc w:val="center"/>
            </w:pPr>
            <w:r>
              <w:t xml:space="preserve">0.070*** (0.019)</w:t>
            </w:r>
          </w:p>
        </w:tc>
        <w:tc>
          <w:tcPr/>
          <w:p>
            <w:pPr>
              <w:pStyle w:val="Compact"/>
              <w:jc w:val="center"/>
            </w:pPr>
            <w:r>
              <w:t xml:space="preserve">0.070*** (0.020)</w:t>
            </w:r>
          </w:p>
        </w:tc>
        <w:tc>
          <w:tcPr/>
          <w:p>
            <w:pPr>
              <w:pStyle w:val="Compact"/>
              <w:jc w:val="center"/>
            </w:pPr>
            <w:r>
              <w:t xml:space="preserve">0.013*** (0.002)</w:t>
            </w:r>
          </w:p>
        </w:tc>
        <w:tc>
          <w:tcPr/>
          <w:p>
            <w:pPr>
              <w:pStyle w:val="Compact"/>
              <w:jc w:val="center"/>
            </w:pPr>
            <w:r>
              <w:t xml:space="preserve">0.014*** (0.003)</w:t>
            </w:r>
          </w:p>
        </w:tc>
      </w:tr>
      <w:tr>
        <w:tc>
          <w:tcPr/>
          <w:p>
            <w:pPr>
              <w:pStyle w:val="Compact"/>
            </w:pPr>
            <w:r>
              <w:t xml:space="preserve">중국(CN)</w:t>
            </w:r>
          </w:p>
        </w:tc>
        <w:tc>
          <w:tcPr/>
          <w:p>
            <w:pPr>
              <w:pStyle w:val="Compact"/>
              <w:jc w:val="center"/>
            </w:pPr>
            <w:r>
              <w:t xml:space="preserve">−1.321*** (0.370)</w:t>
            </w:r>
          </w:p>
        </w:tc>
        <w:tc>
          <w:tcPr/>
          <w:p>
            <w:pPr>
              <w:pStyle w:val="Compact"/>
              <w:jc w:val="center"/>
            </w:pPr>
            <w:r>
              <w:t xml:space="preserve">−1.321*** (0.330)</w:t>
            </w:r>
          </w:p>
        </w:tc>
        <w:tc>
          <w:tcPr/>
          <w:p>
            <w:pPr>
              <w:pStyle w:val="Compact"/>
              <w:jc w:val="center"/>
            </w:pPr>
            <w:r>
              <w:t xml:space="preserve">−0.241*** (0.040)</w:t>
            </w:r>
          </w:p>
        </w:tc>
        <w:tc>
          <w:tcPr/>
          <w:p>
            <w:pPr>
              <w:pStyle w:val="Compact"/>
              <w:jc w:val="center"/>
            </w:pPr>
            <w:r>
              <w:t xml:space="preserve">−0.242*** (0.062)</w:t>
            </w:r>
          </w:p>
        </w:tc>
      </w:tr>
      <w:tr>
        <w:tc>
          <w:tcPr/>
          <w:p>
            <w:pPr>
              <w:pStyle w:val="Compact"/>
            </w:pPr>
            <w:r>
              <w:t xml:space="preserve">한국(KR)</w:t>
            </w:r>
          </w:p>
        </w:tc>
        <w:tc>
          <w:tcPr/>
          <w:p>
            <w:pPr>
              <w:pStyle w:val="Compact"/>
              <w:jc w:val="center"/>
            </w:pPr>
            <w:r>
              <w:t xml:space="preserve">0.089 (0.570)</w:t>
            </w:r>
          </w:p>
        </w:tc>
        <w:tc>
          <w:tcPr/>
          <w:p>
            <w:pPr>
              <w:pStyle w:val="Compact"/>
              <w:jc w:val="center"/>
            </w:pPr>
            <w:r>
              <w:t xml:space="preserve">0.089 (0.630)</w:t>
            </w:r>
          </w:p>
        </w:tc>
        <w:tc>
          <w:tcPr/>
          <w:p>
            <w:pPr>
              <w:pStyle w:val="Compact"/>
              <w:jc w:val="center"/>
            </w:pPr>
            <w:r>
              <w:t xml:space="preserve">0.017 (0.059)</w:t>
            </w:r>
          </w:p>
        </w:tc>
        <w:tc>
          <w:tcPr/>
          <w:p>
            <w:pPr>
              <w:pStyle w:val="Compact"/>
              <w:jc w:val="center"/>
            </w:pPr>
            <w:r>
              <w:t xml:space="preserve">0.017 (0.094)</w:t>
            </w:r>
          </w:p>
        </w:tc>
      </w:tr>
      <w:tr>
        <w:tc>
          <w:tcPr/>
          <w:p>
            <w:pPr>
              <w:pStyle w:val="Compact"/>
            </w:pPr>
            <w:r>
              <w:t xml:space="preserve">대만(TW)</w:t>
            </w:r>
          </w:p>
        </w:tc>
        <w:tc>
          <w:tcPr/>
          <w:p>
            <w:pPr>
              <w:pStyle w:val="Compact"/>
              <w:jc w:val="center"/>
            </w:pPr>
            <w:r>
              <w:t xml:space="preserve">0.102 (0.510)</w:t>
            </w:r>
          </w:p>
        </w:tc>
        <w:tc>
          <w:tcPr/>
          <w:p>
            <w:pPr>
              <w:pStyle w:val="Compact"/>
              <w:jc w:val="center"/>
            </w:pPr>
            <w:r>
              <w:t xml:space="preserve">0.102 (0.544)</w:t>
            </w:r>
          </w:p>
        </w:tc>
        <w:tc>
          <w:tcPr/>
          <w:p>
            <w:pPr>
              <w:pStyle w:val="Compact"/>
              <w:jc w:val="center"/>
            </w:pPr>
            <w:r>
              <w:t xml:space="preserve">0.016 (0.051)</w:t>
            </w:r>
          </w:p>
        </w:tc>
        <w:tc>
          <w:tcPr/>
          <w:p>
            <w:pPr>
              <w:pStyle w:val="Compact"/>
              <w:jc w:val="center"/>
            </w:pPr>
            <w:r>
              <w:t xml:space="preserve">0.021 (0.083)</w:t>
            </w:r>
          </w:p>
        </w:tc>
      </w:tr>
      <w:tr>
        <w:tc>
          <w:tcPr/>
          <w:p>
            <w:pPr>
              <w:pStyle w:val="Compact"/>
            </w:pPr>
            <w:r>
              <w:t xml:space="preserve">일본(JP)</w:t>
            </w:r>
          </w:p>
        </w:tc>
        <w:tc>
          <w:tcPr/>
          <w:p>
            <w:pPr>
              <w:pStyle w:val="Compact"/>
              <w:jc w:val="center"/>
            </w:pPr>
            <w:r>
              <w:t xml:space="preserve">1.737** (0.845)</w:t>
            </w:r>
          </w:p>
        </w:tc>
        <w:tc>
          <w:tcPr/>
          <w:p>
            <w:pPr>
              <w:pStyle w:val="Compact"/>
              <w:jc w:val="center"/>
            </w:pPr>
            <w:r>
              <w:t xml:space="preserve">1.737 (1.328)</w:t>
            </w:r>
          </w:p>
        </w:tc>
        <w:tc>
          <w:tcPr/>
          <w:p>
            <w:pPr>
              <w:pStyle w:val="Compact"/>
              <w:jc w:val="center"/>
            </w:pPr>
            <w:r>
              <w:t xml:space="preserve">0.280*** (0.080)</w:t>
            </w:r>
          </w:p>
        </w:tc>
        <w:tc>
          <w:tcPr/>
          <w:p>
            <w:pPr>
              <w:pStyle w:val="Compact"/>
              <w:jc w:val="center"/>
            </w:pPr>
            <w:r>
              <w:t xml:space="preserve">0.239* (0.133)</w:t>
            </w:r>
          </w:p>
        </w:tc>
      </w:tr>
      <w:tr>
        <w:tc>
          <w:tcPr/>
          <w:p>
            <w:pPr>
              <w:pStyle w:val="Compact"/>
            </w:pPr>
            <w:r>
              <w:t xml:space="preserve">EPO(EP)</w:t>
            </w:r>
          </w:p>
        </w:tc>
        <w:tc>
          <w:tcPr/>
          <w:p>
            <w:pPr>
              <w:pStyle w:val="Compact"/>
              <w:jc w:val="center"/>
            </w:pPr>
            <w:r>
              <w:t xml:space="preserve">−0.032 (0.487)</w:t>
            </w:r>
          </w:p>
        </w:tc>
        <w:tc>
          <w:tcPr/>
          <w:p>
            <w:pPr>
              <w:pStyle w:val="Compact"/>
              <w:jc w:val="center"/>
            </w:pPr>
            <w:r>
              <w:t xml:space="preserve">−0.032 (0.453)</w:t>
            </w:r>
          </w:p>
        </w:tc>
        <w:tc>
          <w:tcPr/>
          <w:p>
            <w:pPr>
              <w:pStyle w:val="Compact"/>
              <w:jc w:val="center"/>
            </w:pPr>
            <w:r>
              <w:t xml:space="preserve">−0.005 (0.050)</w:t>
            </w:r>
          </w:p>
        </w:tc>
        <w:tc>
          <w:tcPr/>
          <w:p>
            <w:pPr>
              <w:pStyle w:val="Compact"/>
              <w:jc w:val="center"/>
            </w:pPr>
            <w:r>
              <w:t xml:space="preserve">−0.007 (0.080)</w:t>
            </w:r>
          </w:p>
        </w:tc>
      </w:tr>
      <w:tr>
        <w:tc>
          <w:tcPr/>
          <w:p>
            <w:pPr>
              <w:pStyle w:val="Compact"/>
            </w:pPr>
            <w:r>
              <w:t xml:space="preserve">PCT(WO)</w:t>
            </w:r>
          </w:p>
        </w:tc>
        <w:tc>
          <w:tcPr/>
          <w:p>
            <w:pPr>
              <w:pStyle w:val="Compact"/>
              <w:jc w:val="center"/>
            </w:pPr>
            <w:r>
              <w:t xml:space="preserve">−1.071** (0.432)</w:t>
            </w:r>
          </w:p>
        </w:tc>
        <w:tc>
          <w:tcPr/>
          <w:p>
            <w:pPr>
              <w:pStyle w:val="Compact"/>
              <w:jc w:val="center"/>
            </w:pPr>
            <w:r>
              <w:t xml:space="preserve">−1.071*** (0.399)</w:t>
            </w:r>
          </w:p>
        </w:tc>
        <w:tc>
          <w:tcPr/>
          <w:p>
            <w:pPr>
              <w:pStyle w:val="Compact"/>
              <w:jc w:val="center"/>
            </w:pPr>
            <w:r>
              <w:t xml:space="preserve">−0.193*** (0.047)</w:t>
            </w:r>
          </w:p>
        </w:tc>
        <w:tc>
          <w:tcPr/>
          <w:p>
            <w:pPr>
              <w:pStyle w:val="Compact"/>
              <w:jc w:val="center"/>
            </w:pPr>
            <w:r>
              <w:t xml:space="preserve">−0.191*** (0.073)</w:t>
            </w:r>
          </w:p>
        </w:tc>
      </w:tr>
      <w:tr>
        <w:tc>
          <w:tcPr/>
          <w:p>
            <w:pPr>
              <w:pStyle w:val="Compact"/>
            </w:pPr>
            <w:r>
              <w:t xml:space="preserve">기타</w:t>
            </w:r>
          </w:p>
        </w:tc>
        <w:tc>
          <w:tcPr/>
          <w:p>
            <w:pPr>
              <w:pStyle w:val="Compact"/>
              <w:jc w:val="center"/>
            </w:pPr>
            <w:r>
              <w:t xml:space="preserve">0.124 (1.029)</w:t>
            </w:r>
          </w:p>
        </w:tc>
        <w:tc>
          <w:tcPr/>
          <w:p>
            <w:pPr>
              <w:pStyle w:val="Compact"/>
              <w:jc w:val="center"/>
            </w:pPr>
            <w:r>
              <w:t xml:space="preserve">0.124 (1.556)</w:t>
            </w:r>
          </w:p>
        </w:tc>
        <w:tc>
          <w:tcPr/>
          <w:p>
            <w:pPr>
              <w:pStyle w:val="Compact"/>
              <w:jc w:val="center"/>
            </w:pPr>
            <w:r>
              <w:t xml:space="preserve">0.024 (0.106)</w:t>
            </w:r>
          </w:p>
        </w:tc>
        <w:tc>
          <w:tcPr/>
          <w:p>
            <w:pPr>
              <w:pStyle w:val="Compact"/>
              <w:jc w:val="center"/>
            </w:pPr>
            <w:r>
              <w:t xml:space="preserve">0.056 (0.171)</w:t>
            </w:r>
          </w:p>
        </w:tc>
      </w:tr>
      <w:tr>
        <w:tc>
          <w:tcPr/>
          <w:p>
            <w:pPr>
              <w:pStyle w:val="Compact"/>
            </w:pPr>
            <w:r>
              <w:t xml:space="preserve">상수</w:t>
            </w:r>
          </w:p>
        </w:tc>
        <w:tc>
          <w:tcPr/>
          <w:p>
            <w:pPr>
              <w:pStyle w:val="Compact"/>
              <w:jc w:val="center"/>
            </w:pPr>
            <w:r>
              <w:t xml:space="preserve">2.506*** (0.944)</w:t>
            </w:r>
          </w:p>
        </w:tc>
        <w:tc>
          <w:tcPr/>
          <w:p>
            <w:pPr>
              <w:pStyle w:val="Compact"/>
              <w:jc w:val="center"/>
            </w:pPr>
            <w:r>
              <w:t xml:space="preserve">2.506** (1.046)</w:t>
            </w:r>
          </w:p>
        </w:tc>
        <w:tc>
          <w:tcPr/>
          <w:p>
            <w:pPr>
              <w:pStyle w:val="Compact"/>
              <w:jc w:val="center"/>
            </w:pPr>
            <w:r>
              <w:t xml:space="preserve">1.143*** (0.107)</w:t>
            </w:r>
          </w:p>
        </w:tc>
        <w:tc>
          <w:tcPr/>
          <w:p>
            <w:pPr>
              <w:pStyle w:val="Compact"/>
              <w:jc w:val="center"/>
            </w:pPr>
            <w:r>
              <w:t xml:space="preserve">1.069*** (0.175)</w:t>
            </w:r>
          </w:p>
        </w:tc>
      </w:tr>
      <w:tr>
        <w:tc>
          <w:tcPr/>
          <w:p>
            <w:pPr>
              <w:pStyle w:val="Compact"/>
            </w:pPr>
            <w:r>
              <w:t xml:space="preserve">ln(α)</w:t>
            </w:r>
          </w:p>
        </w:tc>
        <w:tc>
          <w:tcPr/>
          <w:p>
            <w:pPr>
              <w:pStyle w:val="Compact"/>
            </w:pPr>
          </w:p>
        </w:tc>
        <w:tc>
          <w:tcPr/>
          <w:p>
            <w:pPr>
              <w:pStyle w:val="Compact"/>
            </w:pPr>
          </w:p>
        </w:tc>
        <w:tc>
          <w:tcPr/>
          <w:p>
            <w:pPr>
              <w:pStyle w:val="Compact"/>
            </w:pPr>
          </w:p>
        </w:tc>
        <w:tc>
          <w:tcPr/>
          <w:p>
            <w:pPr>
              <w:pStyle w:val="Compact"/>
              <w:jc w:val="center"/>
            </w:pPr>
            <w:r>
              <w:t xml:space="preserve">−1.316*** (0.076)</w:t>
            </w:r>
          </w:p>
        </w:tc>
      </w:tr>
      <w:tr>
        <w:tc>
          <w:tcPr/>
          <w:p>
            <w:pPr>
              <w:pStyle w:val="Compact"/>
            </w:pPr>
            <w:r>
              <w:t xml:space="preserve">R²</w:t>
            </w:r>
          </w:p>
        </w:tc>
        <w:tc>
          <w:tcPr/>
          <w:p>
            <w:pPr>
              <w:pStyle w:val="Compact"/>
              <w:jc w:val="center"/>
            </w:pPr>
            <w:r>
              <w:t xml:space="preserve">0.033</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w:t>
            </w:r>
          </w:p>
        </w:tc>
      </w:tr>
      <w:tr>
        <w:tc>
          <w:tcPr/>
          <w:p>
            <w:pPr>
              <w:pStyle w:val="Compact"/>
            </w:pPr>
            <w:r>
              <w:t xml:space="preserve">AIC</w:t>
            </w:r>
          </w:p>
        </w:tc>
        <w:tc>
          <w:tcPr/>
          <w:p>
            <w:pPr>
              <w:pStyle w:val="Compact"/>
              <w:jc w:val="center"/>
            </w:pPr>
            <w:r>
              <w:t xml:space="preserve">5,224.9</w:t>
            </w:r>
          </w:p>
        </w:tc>
        <w:tc>
          <w:tcPr/>
          <w:p>
            <w:pPr>
              <w:pStyle w:val="Compact"/>
              <w:jc w:val="center"/>
            </w:pPr>
            <w:r>
              <w:t xml:space="preserve">5,224.9</w:t>
            </w:r>
          </w:p>
        </w:tc>
        <w:tc>
          <w:tcPr/>
          <w:p>
            <w:pPr>
              <w:pStyle w:val="Compact"/>
              <w:jc w:val="center"/>
            </w:pPr>
            <w:r>
              <w:t xml:space="preserve">5,477.2</w:t>
            </w:r>
          </w:p>
        </w:tc>
        <w:tc>
          <w:tcPr/>
          <w:p>
            <w:pPr>
              <w:pStyle w:val="Compact"/>
              <w:jc w:val="center"/>
            </w:pPr>
            <w:r>
              <w:t xml:space="preserve">4,883.0</w:t>
            </w:r>
          </w:p>
        </w:tc>
      </w:tr>
    </w:tbl>
    <w:p>
      <w:pPr>
        <w:pStyle w:val="BodyText"/>
      </w:pPr>
      <w:r>
        <w:drawing>
          <wp:inline>
            <wp:extent cx="5334000" cy="3878580"/>
            <wp:effectExtent b="0" l="0" r="0" t="0"/>
            <wp:docPr descr="" title="" id="29" name="Picture"/>
            <a:graphic>
              <a:graphicData uri="http://schemas.openxmlformats.org/drawingml/2006/picture">
                <pic:pic>
                  <pic:nvPicPr>
                    <pic:cNvPr descr="figures/fig_ols_residuals.png" id="30" name="Picture"/>
                    <pic:cNvPicPr>
                      <a:picLocks noChangeArrowheads="1" noChangeAspect="1"/>
                    </pic:cNvPicPr>
                  </pic:nvPicPr>
                  <pic:blipFill>
                    <a:blip r:embed="rId28"/>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OLS 잔차–적합값 도표(N = 928).</w:t>
      </w:r>
    </w:p>
    <w:p>
      <w:pPr>
        <w:pStyle w:val="BodyText"/>
      </w:pPr>
      <w:r>
        <w:t xml:space="preserve">세 가지 패턴이 확인된다. 첫째, 전 기간 선형 추세의 발생률비(IRR)는 1.014로 서브그룹 수가 연간 약 1.4%씩 증가하지만, 이 추세는 2010년 이전의 희소한 초기 출원에 의해 좌우된다. 2010년 이후 표본에서는 부호가 반전되어(IRR 0.970, p &lt; 0.01) 최근 출원일수록 범위가 오히려 좁다(제5.4절). 따라서 범위의 시간 추세에 대해서는 단정적 해석을 삼간다. 둘째, 미국 기준 대비 중국 출원청 출원은 약 21% 좁고(IRR 0.785, p &lt; 0.01) PCT 출원은 약 17% 좁은(IRR 0.826, p &lt; 0.01) 반면, 일본 출원청 출원은 표본에서 가장 넓다(IRR 1.270, p &lt; 0.10). 셋째, 한국(IRR 1.017), 대만(1.021), EPO(0.993)는 미국 기준과 구분되지 않는다. 그림 4는 모형이 함의하는 출원청별 예측 기술범위를 도시한다. 일본 출원청 출원이 더 넓다는 H3b의 범위 성분은 10% 수준에서 지지되고 2010년 이후 표본에서는 IRR 1.577(p &lt; 0.01)로 오히려 강해지며(제5.4절), 중국 출원청 출원의 범위가 좁다는 결과는 H3a에서 제시한 추격 해석과 들어맞는다.</w:t>
      </w:r>
    </w:p>
    <w:p>
      <w:pPr>
        <w:pStyle w:val="BodyText"/>
      </w:pPr>
      <w:r>
        <w:drawing>
          <wp:inline>
            <wp:extent cx="5334000" cy="3878580"/>
            <wp:effectExtent b="0" l="0" r="0" t="0"/>
            <wp:docPr descr="" title="" id="32" name="Picture"/>
            <a:graphic>
              <a:graphicData uri="http://schemas.openxmlformats.org/drawingml/2006/picture">
                <pic:pic>
                  <pic:nvPicPr>
                    <pic:cNvPr descr="figures/fig5_predicted_breadth.png" id="33" name="Picture"/>
                    <pic:cNvPicPr>
                      <a:picLocks noChangeArrowheads="1" noChangeAspect="1"/>
                    </pic:cNvPicPr>
                  </pic:nvPicPr>
                  <pic:blipFill>
                    <a:blip r:embed="rId31"/>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예측 기술범위(음이항, 다른 공변량은 평균; 95% 신뢰구간).</w:t>
      </w:r>
    </w:p>
    <w:bookmarkEnd w:id="34"/>
    <w:bookmarkStart w:id="38" w:name="전공정-지향-이항-로짓"/>
    <w:p>
      <w:pPr>
        <w:pStyle w:val="Heading3"/>
      </w:pPr>
      <w:r>
        <w:t xml:space="preserve">5.2 전공정 지향: 이항 로짓</w:t>
      </w:r>
    </w:p>
    <w:p>
      <w:pPr>
        <w:pStyle w:val="FirstParagraph"/>
      </w:pPr>
      <w:r>
        <w:t xml:space="preserve">표 5는 전공정 지향(has_process)에 대한 이항 로짓을 보고한다. 기술범위가 가장 강력한 예측변수다. CPC 서브그룹이 하나 늘 때마다 특허가 제조공정 기술을 청구할 승산이 약 27% 높아진다(OR 1.267, p &lt; 0.01). 이 결과는 H1과 방향이 일치하지만, 전공정 지향에는 경계를 넘지 않는 공정 단독형이 포함되므로 H1의 본 검정은 다음 절의 다항 로짓에서 이루어진다. 연도 추세는 반대 방향이다(연간 OR 0.946, p &lt; 0.01). 접합·조립 수준의 발명이 분야의 주류가 되면서 공정 지향 출원의 비중이 감소한 것이다. 출원청 중에서는 중국 출원청만 미국 기준과 유의하게 다르며, 공정 청구의 승산이 65% 높다(OR 1.650, p &lt; 0.05). 이는 H3a를 지지한다. 일본 출원청의 승산비는 1 미만(0.483)이지만 26건에 기반하므로 추정이 부정확하다. 모형의 판별력은 받아들일 만한 수준으로, ROC 곡선 하면적은 0.707이다(그림 5).</w:t>
      </w:r>
    </w:p>
    <w:p>
      <w:pPr>
        <w:pStyle w:val="BodyText"/>
      </w:pPr>
      <w:r>
        <w:rPr>
          <w:b/>
          <w:bCs/>
        </w:rPr>
        <w:t xml:space="preserve">표 5.</w:t>
      </w:r>
      <w:r>
        <w:t xml:space="preserve"> </w:t>
      </w:r>
      <w:r>
        <w:t xml:space="preserve">전공정 지향의 이항 로짓(has_process = H01L21 기호 보유 시 1). 승산비;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p>
      <w:pPr>
        <w:pStyle w:val="BodyText"/>
      </w:pPr>
      <w:r>
        <w:drawing>
          <wp:inline>
            <wp:extent cx="5334000" cy="3878580"/>
            <wp:effectExtent b="0" l="0" r="0" t="0"/>
            <wp:docPr descr="" title="" id="36" name="Picture"/>
            <a:graphic>
              <a:graphicData uri="http://schemas.openxmlformats.org/drawingml/2006/picture">
                <pic:pic>
                  <pic:nvPicPr>
                    <pic:cNvPr descr="figures/fig6_roc.png" id="37" name="Picture"/>
                    <pic:cNvPicPr>
                      <a:picLocks noChangeArrowheads="1" noChangeAspect="1"/>
                    </pic:cNvPicPr>
                  </pic:nvPicPr>
                  <pic:blipFill>
                    <a:blip r:embed="rId35"/>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전공정 지향 로짓의 ROC 곡선(AUC = 0.707).</w:t>
      </w:r>
    </w:p>
    <w:bookmarkEnd w:id="38"/>
    <w:bookmarkStart w:id="42" w:name="전략-유형-다항-로짓"/>
    <w:p>
      <w:pPr>
        <w:pStyle w:val="Heading3"/>
      </w:pPr>
      <w:r>
        <w:t xml:space="preserve">5.3 전략 유형: 다항 로짓</w:t>
      </w:r>
    </w:p>
    <w:p>
      <w:pPr>
        <w:pStyle w:val="FirstParagraph"/>
      </w:pPr>
      <w:r>
        <w:t xml:space="preserve">이항 모형은 특허가 경계를 넘지 않는 두 가지 방식, 즉 조립에만 머무는 경우와 제조에만 머무는 경우를 구분하지 못한다. 표 6의 다항 로짓은 이를 분리하며, 경계 넘기(통합형)에 대한 본 검정이다. 조립 단독형 대비로 읽으면, 기술범위는 특허를 통합형으로 밀고(RRR 1.403, p &lt; 0.01) 공정 단독형에서 멀어지게 한다(RRR 0.905, p &lt; 0.05). 넓은 특허는 두 단계에 걸치고, 좁은 특허는 한 단계에 특화한다. H1은 지지된다. 범위는 단순히 전공정 기호의 존재가 아니라 하나의 발명 안에서 전공정과 후공정 청구의 결합과 연관된다.</w:t>
      </w:r>
    </w:p>
    <w:p>
      <w:pPr>
        <w:pStyle w:val="BodyText"/>
      </w:pPr>
      <w:r>
        <w:t xml:space="preserve">연도 추세는 시간에 따라 무엇이 변했는지를 보여준다. 공정 단독형 특허의 상대위험은 연간 약 8.7%씩 떨어지는 반면(RRR 0.913, p &lt; 0.01), 통합형 특허의 상대위험은 전 기간 선형 추세에서 평탄하다(RRR 0.993, 비유의). 표 5의 음의 연도 계수는 일차적으로 공정 단독형 발명의 소멸을 반영한다. 다만 선형 추세는 통합형 비중이 오르내린 움직임을 가린다. 제5.4절의 기간별 분석은 통합형이 2015–2019년에 정점에 이른 뒤 2020–2024년에는 조립 수준 청구 대비 비중을 잃었음을 보여주며, 2010년 이후 표본에서는 통합형의 연도 계수도 유의하게 음이다. 따라서 H2의 첫째 부분(공정 단독형의 감소)은 강하게 지지되지만, 둘째 부분(통합형의 유지)은 전 기간 평균에 대해서만 성립하는 부분 지지에 그친다.</w:t>
      </w:r>
    </w:p>
    <w:p>
      <w:pPr>
        <w:pStyle w:val="BodyText"/>
      </w:pPr>
      <w:r>
        <w:rPr>
          <w:b/>
          <w:bCs/>
        </w:rPr>
        <w:t xml:space="preserve">표 6.</w:t>
      </w:r>
      <w:r>
        <w:t xml:space="preserve"> </w:t>
      </w:r>
      <w:r>
        <w:t xml:space="preserve">전략 유형의 다항 로짓(기준 = 조립 단독형). 상대위험비; 괄호 안은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관할권 대비는 공정 단독형 방정식에 집중되어 있다. 중국 출원청은 미국 출원청보다 공정 단독형 특허의 상대위험이 훨씬 높고(RRR 2.687, p &lt; 0.01), 대만(RRR 2.102, p &lt; 0.10)과 PCT 경로(RRR 1.997, p &lt; 0.05)도 높은 반면, 일본 출원청은 거의 그렇지 않다(RRR 0.086, p &lt; 0.01). 통합형 방정식의 출원청 계수는 어느 것도 유의하지 않다. 범위와 시점을 통제하면 경계를 넘는 특허를 출원하는 성향은 출원청 간에 체계적으로 다르지 않다(2010년 이후 표본에서 일본만 예외적으로 높다; 제5.4절). 그림 6은 다른 공변량을 평균에 둔 채 출원청별 공정 단독형 전략의 예측 확률을 도시한다. 중국 출원청 출원은 약 4건 중 1건이 공정 단독형으로 예측되는 반면, 미국 출원청은 약 7건 중 1건, 일본 출원청은 약 50건 중 1건이다. H3a는 지지되며, H3b의 전략 성분은 전 기간 표본에서 지지된다. 그 강건성은 제5.4절에서 다룬다.</w:t>
      </w:r>
    </w:p>
    <w:p>
      <w:pPr>
        <w:pStyle w:val="BodyText"/>
      </w:pPr>
      <w:r>
        <w:drawing>
          <wp:inline>
            <wp:extent cx="5334000" cy="3455670"/>
            <wp:effectExtent b="0" l="0" r="0" t="0"/>
            <wp:docPr descr="" title="" id="40" name="Picture"/>
            <a:graphic>
              <a:graphicData uri="http://schemas.openxmlformats.org/drawingml/2006/picture">
                <pic:pic>
                  <pic:nvPicPr>
                    <pic:cNvPr descr="figures/fig7_predicted_process_only.png" id="41" name="Picture"/>
                    <pic:cNvPicPr>
                      <a:picLocks noChangeArrowheads="1" noChangeAspect="1"/>
                    </pic:cNvPicPr>
                  </pic:nvPicPr>
                  <pic:blipFill>
                    <a:blip r:embed="rId39"/>
                    <a:stretch>
                      <a:fillRect/>
                    </a:stretch>
                  </pic:blipFill>
                  <pic:spPr bwMode="auto">
                    <a:xfrm>
                      <a:off x="0" y="0"/>
                      <a:ext cx="5334000" cy="345567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출원청별 공정 단독형 전략의 예측 확률(다항 로짓, 다른 공변량은 평균; 95% 신뢰구간).</w:t>
      </w:r>
    </w:p>
    <w:bookmarkEnd w:id="42"/>
    <w:bookmarkStart w:id="46" w:name="가설-검정-요약과-강건성"/>
    <w:p>
      <w:pPr>
        <w:pStyle w:val="Heading3"/>
      </w:pPr>
      <w:r>
        <w:t xml:space="preserve">5.4 가설 검정 요약과 강건성</w:t>
      </w:r>
    </w:p>
    <w:p>
      <w:pPr>
        <w:pStyle w:val="FirstParagraph"/>
      </w:pPr>
      <w:r>
        <w:t xml:space="preserve">표 7은 가설 검정 결과를 요약하며, 판정에는 아래의 강건성 분석(표 8·9)을 반영하였다. H1은 다항 로짓의 통합형 방정식에서 지지되고 조정 범위로도 유지된다. H2는 공정 단독형의 감소에 대해서는 모든 모형 설정에서 지지되지만 통합형의 유지에 대해서는 전 기간 평균에서만 성립하여 부분 지지로 판정한다. H3a는 모든 모형 설정에서 지지된다. H3b는 범위 성분은 표본과 무관하게 지지되나 공정 단독형 성분은 2010년 이후 표본에서 사라지므로, 부분 지지로 판정한다.</w:t>
      </w:r>
    </w:p>
    <w:p>
      <w:pPr>
        <w:pStyle w:val="BodyText"/>
      </w:pPr>
      <w:r>
        <w:rPr>
          <w:b/>
          <w:bCs/>
        </w:rPr>
        <w:t xml:space="preserve">표 7.</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범위가 넓을수록 경계 넘기(통합형)</w:t>
            </w:r>
          </w:p>
        </w:tc>
        <w:tc>
          <w:tcPr/>
          <w:p>
            <w:pPr>
              <w:pStyle w:val="Compact"/>
            </w:pPr>
            <w:r>
              <w:rPr>
                <w:b/>
                <w:bCs/>
              </w:rPr>
              <w:t xml:space="preserve">본 검정:</w:t>
            </w:r>
            <w:r>
              <w:t xml:space="preserve"> </w:t>
            </w:r>
            <w:r>
              <w:t xml:space="preserve">RRR 통합형 1.403***, 공정 단독형 0.905**(표 6); 보조: 전공정 지향 OR 1.267***(표 5)</w:t>
            </w:r>
          </w:p>
        </w:tc>
        <w:tc>
          <w:tcPr/>
          <w:p>
            <w:pPr>
              <w:pStyle w:val="Compact"/>
            </w:pPr>
            <w:r>
              <w:t xml:space="preserve">지지</w:t>
            </w:r>
          </w:p>
        </w:tc>
      </w:tr>
      <w:tr>
        <w:tc>
          <w:tcPr/>
          <w:p>
            <w:pPr>
              <w:pStyle w:val="Compact"/>
            </w:pPr>
            <w:r>
              <w:t xml:space="preserve">H2</w:t>
            </w:r>
          </w:p>
        </w:tc>
        <w:tc>
          <w:tcPr/>
          <w:p>
            <w:pPr>
              <w:pStyle w:val="Compact"/>
            </w:pPr>
            <w:r>
              <w:t xml:space="preserve">공정 단독형은 시간에 따라 감소, 통합형은 유지</w:t>
            </w:r>
          </w:p>
        </w:tc>
        <w:tc>
          <w:tcPr/>
          <w:p>
            <w:pPr>
              <w:pStyle w:val="Compact"/>
            </w:pPr>
            <w:r>
              <w:t xml:space="preserve">공정 단독형: 모든 모형 설정에서 감소(RRR 0.913***; 기간 더미 0.273***/0.101***). 통합형: 전 기간 평탄(0.993)이나 2015–19 정점 후 감소(2010+ 표본 0.934**)</w:t>
            </w:r>
          </w:p>
        </w:tc>
        <w:tc>
          <w:tcPr/>
          <w:p>
            <w:pPr>
              <w:pStyle w:val="Compact"/>
            </w:pPr>
            <w:r>
              <w:t xml:space="preserve">부분 지지</w:t>
            </w:r>
          </w:p>
        </w:tc>
      </w:tr>
      <w:tr>
        <w:tc>
          <w:tcPr/>
          <w:p>
            <w:pPr>
              <w:pStyle w:val="Compact"/>
            </w:pPr>
            <w:r>
              <w:t xml:space="preserve">H3a</w:t>
            </w:r>
          </w:p>
        </w:tc>
        <w:tc>
          <w:tcPr/>
          <w:p>
            <w:pPr>
              <w:pStyle w:val="Compact"/>
            </w:pPr>
            <w:r>
              <w:t xml:space="preserve">중국 출원청 출원이 더 공정 지향적</w:t>
            </w:r>
          </w:p>
        </w:tc>
        <w:tc>
          <w:tcPr/>
          <w:p>
            <w:pPr>
              <w:pStyle w:val="Compact"/>
            </w:pPr>
            <w:r>
              <w:t xml:space="preserve">RRR 공정 단독형 2.687***(표 6); 전공정 지향 OR 1.650**(표 5); 범위 IRR 0.785***(표 4)</w:t>
            </w:r>
          </w:p>
        </w:tc>
        <w:tc>
          <w:tcPr/>
          <w:p>
            <w:pPr>
              <w:pStyle w:val="Compact"/>
            </w:pPr>
            <w:r>
              <w:t xml:space="preserve">지지</w:t>
            </w:r>
          </w:p>
        </w:tc>
      </w:tr>
      <w:tr>
        <w:tc>
          <w:tcPr/>
          <w:p>
            <w:pPr>
              <w:pStyle w:val="Compact"/>
            </w:pPr>
            <w:r>
              <w:t xml:space="preserve">H3b</w:t>
            </w:r>
          </w:p>
        </w:tc>
        <w:tc>
          <w:tcPr/>
          <w:p>
            <w:pPr>
              <w:pStyle w:val="Compact"/>
            </w:pPr>
            <w:r>
              <w:t xml:space="preserve">일본 출원청 출원이 더 넓고 공정 단독형이 드묾</w:t>
            </w:r>
          </w:p>
        </w:tc>
        <w:tc>
          <w:tcPr/>
          <w:p>
            <w:pPr>
              <w:pStyle w:val="Compact"/>
            </w:pPr>
            <w:r>
              <w:t xml:space="preserve">범위: IRR 1.270*(표 4), 2010+ 표본 1.577*** → 지지. 공정 단독형: RRR 0.086***(표 6)이나 2010+ 표본에서 소멸(표 9); N = 26</w:t>
            </w:r>
          </w:p>
        </w:tc>
        <w:tc>
          <w:tcPr/>
          <w:p>
            <w:pPr>
              <w:pStyle w:val="Compact"/>
            </w:pPr>
            <w:r>
              <w:t xml:space="preserve">범위는 지지, 전략 유형은 취약</w:t>
            </w:r>
          </w:p>
        </w:tc>
      </w:tr>
    </w:tbl>
    <w:p>
      <w:pPr>
        <w:pStyle w:val="BodyText"/>
      </w:pPr>
      <w:r>
        <w:t xml:space="preserve">결과의 강건성은 원자료(출원–CPC 레코드 5,277건)로 변수 구성과 표본을 바꾸어 다시 추정하는 방식으로 점검하였다. 표 8은 기간별 전략 유형의 분포를, 표 9는 핵심 계수를 모형 설정별로 비교한다.</w:t>
      </w:r>
    </w:p>
    <w:p>
      <w:pPr>
        <w:pStyle w:val="BodyText"/>
      </w:pPr>
      <w:r>
        <w:rPr>
          <w:b/>
          <w:bCs/>
        </w:rPr>
        <w:t xml:space="preserve">첫째, 기술범위의 기계적 성분.</w:t>
      </w:r>
      <w:r>
        <w:t xml:space="preserve"> </w:t>
      </w:r>
      <w:r>
        <w:t xml:space="preserve">통합형은 정의상 H01L21과 H01L24의 기호를 각각 하나 이상 가지므로 기술범위가 2 이상이며, 조립·공정 단독형은 1 이상이다. 이 하한을 제거하기 위해 각 클래스의 첫 기호를 제외한 조정 범위(breadth_adj = breadth − has_process − has_assembly)로 재추정하였다. 통합형 방정식의 효과는 RRR 1.403에서 1.262로 줄지만 여전히 1% 수준에서 유의하다(이항 로짓의 전공정 지향 OR도 1.267에서 1.179로 줄지만 유의하다). 공정 단독형 방정식의 범위 계수(0.915, p &lt; 0.05)와 중국·일본 출원청 계수는 사실상 변하지 않는다. H1은 기계적 성분을 제거한 뒤에도 지지된다.</w:t>
      </w:r>
    </w:p>
    <w:p>
      <w:pPr>
        <w:pStyle w:val="BodyText"/>
      </w:pPr>
      <w:r>
        <w:rPr>
          <w:b/>
          <w:bCs/>
        </w:rPr>
        <w:t xml:space="preserve">둘째, 기간 구분과 2010년 이후 하위표본.</w:t>
      </w:r>
      <w:r>
        <w:t xml:space="preserve"> </w:t>
      </w:r>
      <w:r>
        <w:t xml:space="preserve">표 8에서 공정 단독형의 비중은 2014년 이전 43.6%에서 2015–2019년 14.8%, 2020–2024년 10.4%로 단조 감소한다. 통합형은 31.3%에서 62.2%로 급증한 뒤 44.3%로 낮아지고, 조립 단독형은 25.1%와 23.0%에서 45.4%로 늘어난다(그림 7). 선형 연도 추세 대신 기간 더미를 넣은 다항 로짓에서 통합형의 상대위험은 2015–2019년에 1.707(p &lt; 0.10)로 높아졌다가 2020–2024년에는 0.762(비유의)로 낮아지고, 공정 단독형은 0.273과 0.101(모두 p &lt; 0.01)로 낮아진다. 2010년 이후 표본(N = 830)에서는 통합형의 연도 계수가 0.934(p &lt; 0.05)로 유의하게 음이며, 공정 단독형은 0.862(p &lt; 0.01)로 더 가파르게 감소한다. 같은 표본에서 기술범위의 연도 추세는 IRR 0.970(p &lt; 0.01)으로 부호가 바뀐다. 정리하면 공정 단독형의 감소는 모든 모형 설정에서 일관되지만, 통합형이 비중을 유지한다는 결과는 전 기간 선형 평균에 국한된다.</w:t>
      </w:r>
    </w:p>
    <w:p>
      <w:pPr>
        <w:pStyle w:val="BodyText"/>
      </w:pPr>
      <w:r>
        <w:rPr>
          <w:b/>
          <w:bCs/>
        </w:rPr>
        <w:t xml:space="preserve">셋째, 출원청 효과.</w:t>
      </w:r>
      <w:r>
        <w:t xml:space="preserve"> </w:t>
      </w:r>
      <w:r>
        <w:t xml:space="preserve">중국 출원청의 공정 단독형 상대위험은 2.687(전 기간), 2.720(조정 범위), 2.701(2010년 이후), 2.898(기간 더미)로 모든 모형 설정에서 1% 수준 유의하며, 기술범위의 협소함(IRR 0.785 및 0.794)도 유지된다. 반면 일본 출원청의 결과는 안정적이지 않다. 공정 단독형 상대위험 0.086은 전 기간 표본과 기간 더미 모형(0.239, p &lt; 0.05)에서는 유지되지만 2010년 이후 표본에서는 3.240(비유의)으로 사라지고, 같은 표본에서 통합형 상대위험은 6.795(p &lt; 0.10)로 나타난다. 일본 출원청 출원은 26건에 불과하고 2010년 이전 출원의 비중이 커서, H3b는 표본 기간에 따라 결론이 달라지는 부분 지지로 판정한다.</w:t>
      </w:r>
    </w:p>
    <w:p>
      <w:pPr>
        <w:pStyle w:val="BodyText"/>
      </w:pPr>
      <w:r>
        <w:rPr>
          <w:b/>
          <w:bCs/>
        </w:rPr>
        <w:t xml:space="preserve">넷째, 분류 관행 변화라는 경쟁 설명.</w:t>
      </w:r>
      <w:r>
        <w:t xml:space="preserve"> </w:t>
      </w:r>
      <w:r>
        <w:t xml:space="preserve">공정 단독형의 감소가 발명 내용이 아니라 접합 코드의 부여 확대를 반영할 가능성을 점검하였다. H01L24 계열 서브그룹 60개 중 28개는 2009년 이전에 이미 표본에 등장하므로 코드의 신설이 주된 원인은 아니다. 그러나 출원당 H01L24 계열 기호 수는 2014년 이전 3.03개에서 2015–2019년 4.73개로 늘고 접합 기호를 하나라도 가진 출원의 비율은 56.4%에서 85.2%, 89.6%로 높아진 반면, H01L21 계열 기호 수는 2.12개에서 1.46개로 줄었다. 이 변화는 발명의 중심이 공정에서 접합 구조로 옮겨갔다는 해석과도, 접합 코드가 더 폭넓게 부여되게 되었다는 해석과도 맞아떨어지며, 본 연구의 자료로는 둘을 가려낼 수 없다. 재구성 해석은 이 유보 아래 제시한다.</w:t>
      </w:r>
    </w:p>
    <w:p>
      <w:pPr>
        <w:pStyle w:val="BodyText"/>
      </w:pPr>
      <w:r>
        <w:rPr>
          <w:b/>
          <w:bCs/>
        </w:rPr>
        <w:t xml:space="preserve">다섯째, 추정 모형의 선택.</w:t>
      </w:r>
      <w:r>
        <w:t xml:space="preserve"> </w:t>
      </w:r>
      <w:r>
        <w:t xml:space="preserve">연도와 중국 출원청 효과의 부호와 유의성은 OLS, 로버스트 OLS, Poisson, 음이항 모형에서 동일하다(표 4). 2023–2024년의 출원 감소는 공개 시차의 인공물이므로 공정 단독형의 감소를 절단된 연도까지 외삽하지는 않는다. 다항 결과는 무관 대안의 독립성 가정에 따라 조립 단독형 기준 대비 상대적 경향으로 읽으며, 그 가정을 요구하지 않는 이항 로짓이 범위·시간·중국 출원청에 대해 같은 질적 결론을 준다.</w:t>
      </w:r>
    </w:p>
    <w:p>
      <w:pPr>
        <w:pStyle w:val="BodyText"/>
      </w:pPr>
      <w:r>
        <w:rPr>
          <w:b/>
          <w:bCs/>
        </w:rPr>
        <w:t xml:space="preserve">표 8.</w:t>
      </w:r>
      <w:r>
        <w:t xml:space="preserve"> </w:t>
      </w:r>
      <w:r>
        <w:t xml:space="preserve">기간별 전략 유형 분포(N = 928; 괄호 안은 행 비중).</w:t>
      </w:r>
    </w:p>
    <w:tbl>
      <w:tblPr>
        <w:tblStyle w:val="Table"/>
        <w:tblW w:type="pct" w:w="5000"/>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pPr>
            <w:r>
              <w:t xml:space="preserve">출원 기간</w:t>
            </w:r>
          </w:p>
        </w:tc>
        <w:tc>
          <w:tcPr/>
          <w:p>
            <w:pPr>
              <w:pStyle w:val="Compact"/>
            </w:pPr>
            <w:r>
              <w:t xml:space="preserve">조립 단독형</w:t>
            </w:r>
          </w:p>
        </w:tc>
        <w:tc>
          <w:tcPr/>
          <w:p>
            <w:pPr>
              <w:pStyle w:val="Compact"/>
            </w:pPr>
            <w:r>
              <w:t xml:space="preserve">통합형(경계 넘기)</w:t>
            </w:r>
          </w:p>
        </w:tc>
        <w:tc>
          <w:tcPr/>
          <w:p>
            <w:pPr>
              <w:pStyle w:val="Compact"/>
            </w:pPr>
            <w:r>
              <w:t xml:space="preserve">공정 단독형</w:t>
            </w:r>
          </w:p>
        </w:tc>
        <w:tc>
          <w:tcPr/>
          <w:p>
            <w:pPr>
              <w:pStyle w:val="Compact"/>
              <w:jc w:val="right"/>
            </w:pPr>
            <w:r>
              <w:t xml:space="preserve">N</w:t>
            </w:r>
          </w:p>
        </w:tc>
        <w:tc>
          <w:tcPr/>
          <w:p>
            <w:pPr>
              <w:pStyle w:val="Compact"/>
              <w:jc w:val="right"/>
            </w:pPr>
            <w:r>
              <w:t xml:space="preserve">전공정 지향(%)</w:t>
            </w:r>
          </w:p>
        </w:tc>
      </w:tr>
      <w:tr>
        <w:tc>
          <w:tcPr/>
          <w:p>
            <w:pPr>
              <w:pStyle w:val="Compact"/>
            </w:pPr>
            <w:r>
              <w:t xml:space="preserve">–2014</w:t>
            </w:r>
          </w:p>
        </w:tc>
        <w:tc>
          <w:tcPr/>
          <w:p>
            <w:pPr>
              <w:pStyle w:val="Compact"/>
            </w:pPr>
            <w:r>
              <w:t xml:space="preserve">45 (25.1%)</w:t>
            </w:r>
          </w:p>
        </w:tc>
        <w:tc>
          <w:tcPr/>
          <w:p>
            <w:pPr>
              <w:pStyle w:val="Compact"/>
            </w:pPr>
            <w:r>
              <w:t xml:space="preserve">56 (31.3%)</w:t>
            </w:r>
          </w:p>
        </w:tc>
        <w:tc>
          <w:tcPr/>
          <w:p>
            <w:pPr>
              <w:pStyle w:val="Compact"/>
            </w:pPr>
            <w:r>
              <w:t xml:space="preserve">78 (43.6%)</w:t>
            </w:r>
          </w:p>
        </w:tc>
        <w:tc>
          <w:tcPr/>
          <w:p>
            <w:pPr>
              <w:pStyle w:val="Compact"/>
              <w:jc w:val="right"/>
            </w:pPr>
            <w:r>
              <w:t xml:space="preserve">179</w:t>
            </w:r>
          </w:p>
        </w:tc>
        <w:tc>
          <w:tcPr/>
          <w:p>
            <w:pPr>
              <w:pStyle w:val="Compact"/>
              <w:jc w:val="right"/>
            </w:pPr>
            <w:r>
              <w:t xml:space="preserve">74.9</w:t>
            </w:r>
          </w:p>
        </w:tc>
      </w:tr>
      <w:tr>
        <w:tc>
          <w:tcPr/>
          <w:p>
            <w:pPr>
              <w:pStyle w:val="Compact"/>
            </w:pPr>
            <w:r>
              <w:t xml:space="preserve">2015–2019</w:t>
            </w:r>
          </w:p>
        </w:tc>
        <w:tc>
          <w:tcPr/>
          <w:p>
            <w:pPr>
              <w:pStyle w:val="Compact"/>
            </w:pPr>
            <w:r>
              <w:t xml:space="preserve">48 (23.0%)</w:t>
            </w:r>
          </w:p>
        </w:tc>
        <w:tc>
          <w:tcPr/>
          <w:p>
            <w:pPr>
              <w:pStyle w:val="Compact"/>
            </w:pPr>
            <w:r>
              <w:t xml:space="preserve">130 (62.2%)</w:t>
            </w:r>
          </w:p>
        </w:tc>
        <w:tc>
          <w:tcPr/>
          <w:p>
            <w:pPr>
              <w:pStyle w:val="Compact"/>
            </w:pPr>
            <w:r>
              <w:t xml:space="preserve">31 (14.8%)</w:t>
            </w:r>
          </w:p>
        </w:tc>
        <w:tc>
          <w:tcPr/>
          <w:p>
            <w:pPr>
              <w:pStyle w:val="Compact"/>
              <w:jc w:val="right"/>
            </w:pPr>
            <w:r>
              <w:t xml:space="preserve">209</w:t>
            </w:r>
          </w:p>
        </w:tc>
        <w:tc>
          <w:tcPr/>
          <w:p>
            <w:pPr>
              <w:pStyle w:val="Compact"/>
              <w:jc w:val="right"/>
            </w:pPr>
            <w:r>
              <w:t xml:space="preserve">77.0</w:t>
            </w:r>
          </w:p>
        </w:tc>
      </w:tr>
      <w:tr>
        <w:tc>
          <w:tcPr/>
          <w:p>
            <w:pPr>
              <w:pStyle w:val="Compact"/>
            </w:pPr>
            <w:r>
              <w:t xml:space="preserve">2020–2024</w:t>
            </w:r>
          </w:p>
        </w:tc>
        <w:tc>
          <w:tcPr/>
          <w:p>
            <w:pPr>
              <w:pStyle w:val="Compact"/>
            </w:pPr>
            <w:r>
              <w:t xml:space="preserve">245 (45.4%)</w:t>
            </w:r>
          </w:p>
        </w:tc>
        <w:tc>
          <w:tcPr/>
          <w:p>
            <w:pPr>
              <w:pStyle w:val="Compact"/>
            </w:pPr>
            <w:r>
              <w:t xml:space="preserve">239 (44.3%)</w:t>
            </w:r>
          </w:p>
        </w:tc>
        <w:tc>
          <w:tcPr/>
          <w:p>
            <w:pPr>
              <w:pStyle w:val="Compact"/>
            </w:pPr>
            <w:r>
              <w:t xml:space="preserve">56 (10.4%)</w:t>
            </w:r>
          </w:p>
        </w:tc>
        <w:tc>
          <w:tcPr/>
          <w:p>
            <w:pPr>
              <w:pStyle w:val="Compact"/>
              <w:jc w:val="right"/>
            </w:pPr>
            <w:r>
              <w:t xml:space="preserve">540</w:t>
            </w:r>
          </w:p>
        </w:tc>
        <w:tc>
          <w:tcPr/>
          <w:p>
            <w:pPr>
              <w:pStyle w:val="Compact"/>
              <w:jc w:val="right"/>
            </w:pPr>
            <w:r>
              <w:t xml:space="preserve">54.6</w:t>
            </w:r>
          </w:p>
        </w:tc>
      </w:tr>
    </w:tbl>
    <w:p>
      <w:pPr>
        <w:pStyle w:val="BodyText"/>
      </w:pPr>
      <w:r>
        <w:drawing>
          <wp:inline>
            <wp:extent cx="5334000" cy="3200400"/>
            <wp:effectExtent b="0" l="0" r="0" t="0"/>
            <wp:docPr descr="" title="" id="44" name="Picture"/>
            <a:graphic>
              <a:graphicData uri="http://schemas.openxmlformats.org/drawingml/2006/picture">
                <pic:pic>
                  <pic:nvPicPr>
                    <pic:cNvPr descr="figures/fig5_period_shares.png" id="45" name="Picture"/>
                    <pic:cNvPicPr>
                      <a:picLocks noChangeArrowheads="1" noChangeAspect="1"/>
                    </pic:cNvPicPr>
                  </pic:nvPicPr>
                  <pic:blipFill>
                    <a:blip r:embed="rId4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기간별 전략 유형 비중(N = 928).</w:t>
      </w:r>
    </w:p>
    <w:p>
      <w:pPr>
        <w:pStyle w:val="BodyText"/>
      </w:pPr>
      <w:r>
        <w:rPr>
          <w:b/>
          <w:bCs/>
        </w:rPr>
        <w:t xml:space="preserve">표 9.</w:t>
      </w:r>
      <w:r>
        <w:t xml:space="preserve"> </w:t>
      </w:r>
      <w:r>
        <w:t xml:space="preserve">핵심 계수의 모형 설정별 비교(다항 로짓 RRR, 기준 = 조립 단독형; 음이항은 IRR; * p &lt; 0.10, ** p &lt; 0.05, *** p &lt; 0.01).</w:t>
      </w:r>
    </w:p>
    <w:tbl>
      <w:tblPr>
        <w:tblStyle w:val="Table"/>
        <w:tblW w:type="pct" w:w="5000"/>
        <w:tblLayout w:type="fixed"/>
        <w:tblLook w:firstRow="1" w:lastRow="0" w:firstColumn="0" w:lastColumn="0" w:noHBand="0" w:noVBand="0" w:val="0020"/>
      </w:tblPr>
      <w:tblGrid>
        <w:gridCol w:w="848"/>
        <w:gridCol w:w="1131"/>
        <w:gridCol w:w="848"/>
        <w:gridCol w:w="848"/>
        <w:gridCol w:w="848"/>
        <w:gridCol w:w="848"/>
        <w:gridCol w:w="848"/>
        <w:gridCol w:w="848"/>
        <w:gridCol w:w="848"/>
      </w:tblGrid>
      <w:tr>
        <w:trPr>
          <w:tblHeader w:val="on"/>
        </w:trPr>
        <w:tc>
          <w:tcPr/>
          <w:p>
            <w:pPr>
              <w:pStyle w:val="Compact"/>
            </w:pPr>
            <w:r>
              <w:t xml:space="preserve">모형 설정</w:t>
            </w:r>
          </w:p>
        </w:tc>
        <w:tc>
          <w:tcPr/>
          <w:p>
            <w:pPr>
              <w:pStyle w:val="Compact"/>
              <w:jc w:val="right"/>
            </w:pPr>
            <w:r>
              <w:t xml:space="preserve">N</w:t>
            </w:r>
          </w:p>
        </w:tc>
        <w:tc>
          <w:tcPr/>
          <w:p>
            <w:pPr>
              <w:pStyle w:val="Compact"/>
            </w:pPr>
            <w:r>
              <w:t xml:space="preserve">범위 → 통합형</w:t>
            </w:r>
          </w:p>
        </w:tc>
        <w:tc>
          <w:tcPr/>
          <w:p>
            <w:pPr>
              <w:pStyle w:val="Compact"/>
            </w:pPr>
            <w:r>
              <w:t xml:space="preserve">범위 → 공정 단독형</w:t>
            </w:r>
          </w:p>
        </w:tc>
        <w:tc>
          <w:tcPr/>
          <w:p>
            <w:pPr>
              <w:pStyle w:val="Compact"/>
            </w:pPr>
            <w:r>
              <w:t xml:space="preserve">연도 → 통합형</w:t>
            </w:r>
          </w:p>
        </w:tc>
        <w:tc>
          <w:tcPr/>
          <w:p>
            <w:pPr>
              <w:pStyle w:val="Compact"/>
            </w:pPr>
            <w:r>
              <w:t xml:space="preserve">연도 → 공정 단독형</w:t>
            </w:r>
          </w:p>
        </w:tc>
        <w:tc>
          <w:tcPr/>
          <w:p>
            <w:pPr>
              <w:pStyle w:val="Compact"/>
            </w:pPr>
            <w:r>
              <w:t xml:space="preserve">중국 → 공정 단독형</w:t>
            </w:r>
          </w:p>
        </w:tc>
        <w:tc>
          <w:tcPr/>
          <w:p>
            <w:pPr>
              <w:pStyle w:val="Compact"/>
            </w:pPr>
            <w:r>
              <w:t xml:space="preserve">일본 → 공정 단독형</w:t>
            </w:r>
          </w:p>
        </w:tc>
        <w:tc>
          <w:tcPr/>
          <w:p>
            <w:pPr>
              <w:pStyle w:val="Compact"/>
            </w:pPr>
            <w:r>
              <w:t xml:space="preserve">범위 연도 IRR</w:t>
            </w:r>
          </w:p>
        </w:tc>
      </w:tr>
      <w:tr>
        <w:tc>
          <w:tcPr/>
          <w:p>
            <w:pPr>
              <w:pStyle w:val="Compact"/>
            </w:pPr>
            <w:r>
              <w:t xml:space="preserve">기준(표 5·6)</w:t>
            </w:r>
          </w:p>
        </w:tc>
        <w:tc>
          <w:tcPr/>
          <w:p>
            <w:pPr>
              <w:pStyle w:val="Compact"/>
              <w:jc w:val="right"/>
            </w:pPr>
            <w:r>
              <w:t xml:space="preserve">928</w:t>
            </w:r>
          </w:p>
        </w:tc>
        <w:tc>
          <w:tcPr/>
          <w:p>
            <w:pPr>
              <w:pStyle w:val="Compact"/>
            </w:pPr>
            <w:r>
              <w:t xml:space="preserve">1.403***</w:t>
            </w:r>
          </w:p>
        </w:tc>
        <w:tc>
          <w:tcPr/>
          <w:p>
            <w:pPr>
              <w:pStyle w:val="Compact"/>
            </w:pPr>
            <w:r>
              <w:t xml:space="preserve">0.905**</w:t>
            </w:r>
          </w:p>
        </w:tc>
        <w:tc>
          <w:tcPr/>
          <w:p>
            <w:pPr>
              <w:pStyle w:val="Compact"/>
            </w:pPr>
            <w:r>
              <w:t xml:space="preserve">0.993</w:t>
            </w:r>
          </w:p>
        </w:tc>
        <w:tc>
          <w:tcPr/>
          <w:p>
            <w:pPr>
              <w:pStyle w:val="Compact"/>
            </w:pPr>
            <w:r>
              <w:t xml:space="preserve">0.913***</w:t>
            </w:r>
          </w:p>
        </w:tc>
        <w:tc>
          <w:tcPr/>
          <w:p>
            <w:pPr>
              <w:pStyle w:val="Compact"/>
            </w:pPr>
            <w:r>
              <w:t xml:space="preserve">2.687***</w:t>
            </w:r>
          </w:p>
        </w:tc>
        <w:tc>
          <w:tcPr/>
          <w:p>
            <w:pPr>
              <w:pStyle w:val="Compact"/>
            </w:pPr>
            <w:r>
              <w:t xml:space="preserve">0.086***</w:t>
            </w:r>
          </w:p>
        </w:tc>
        <w:tc>
          <w:tcPr/>
          <w:p>
            <w:pPr>
              <w:pStyle w:val="Compact"/>
            </w:pPr>
            <w:r>
              <w:t xml:space="preserve">1.014***</w:t>
            </w:r>
          </w:p>
        </w:tc>
      </w:tr>
      <w:tr>
        <w:tc>
          <w:tcPr/>
          <w:p>
            <w:pPr>
              <w:pStyle w:val="Compact"/>
            </w:pPr>
            <w:r>
              <w:t xml:space="preserve">조정 범위(breadth_adj)</w:t>
            </w:r>
          </w:p>
        </w:tc>
        <w:tc>
          <w:tcPr/>
          <w:p>
            <w:pPr>
              <w:pStyle w:val="Compact"/>
              <w:jc w:val="right"/>
            </w:pPr>
            <w:r>
              <w:t xml:space="preserve">928</w:t>
            </w:r>
          </w:p>
        </w:tc>
        <w:tc>
          <w:tcPr/>
          <w:p>
            <w:pPr>
              <w:pStyle w:val="Compact"/>
            </w:pPr>
            <w:r>
              <w:t xml:space="preserve">1.262***</w:t>
            </w:r>
          </w:p>
        </w:tc>
        <w:tc>
          <w:tcPr/>
          <w:p>
            <w:pPr>
              <w:pStyle w:val="Compact"/>
            </w:pPr>
            <w:r>
              <w:t xml:space="preserve">0.915**</w:t>
            </w:r>
          </w:p>
        </w:tc>
        <w:tc>
          <w:tcPr/>
          <w:p>
            <w:pPr>
              <w:pStyle w:val="Compact"/>
            </w:pPr>
            <w:r>
              <w:t xml:space="preserve">1.002</w:t>
            </w:r>
          </w:p>
        </w:tc>
        <w:tc>
          <w:tcPr/>
          <w:p>
            <w:pPr>
              <w:pStyle w:val="Compact"/>
            </w:pPr>
            <w:r>
              <w:t xml:space="preserve">0.911***</w:t>
            </w:r>
          </w:p>
        </w:tc>
        <w:tc>
          <w:tcPr/>
          <w:p>
            <w:pPr>
              <w:pStyle w:val="Compact"/>
            </w:pPr>
            <w:r>
              <w:t xml:space="preserve">2.720***</w:t>
            </w:r>
          </w:p>
        </w:tc>
        <w:tc>
          <w:tcPr/>
          <w:p>
            <w:pPr>
              <w:pStyle w:val="Compact"/>
            </w:pPr>
            <w:r>
              <w:t xml:space="preserve">0.087***</w:t>
            </w:r>
          </w:p>
        </w:tc>
        <w:tc>
          <w:tcPr/>
          <w:p>
            <w:pPr>
              <w:pStyle w:val="Compact"/>
            </w:pPr>
            <w:r>
              <w:t xml:space="preserve">—</w:t>
            </w:r>
          </w:p>
        </w:tc>
      </w:tr>
      <w:tr>
        <w:tc>
          <w:tcPr/>
          <w:p>
            <w:pPr>
              <w:pStyle w:val="Compact"/>
            </w:pPr>
            <w:r>
              <w:t xml:space="preserve">2010년 이후 표본</w:t>
            </w:r>
          </w:p>
        </w:tc>
        <w:tc>
          <w:tcPr/>
          <w:p>
            <w:pPr>
              <w:pStyle w:val="Compact"/>
              <w:jc w:val="right"/>
            </w:pPr>
            <w:r>
              <w:t xml:space="preserve">830</w:t>
            </w:r>
          </w:p>
        </w:tc>
        <w:tc>
          <w:tcPr/>
          <w:p>
            <w:pPr>
              <w:pStyle w:val="Compact"/>
            </w:pPr>
            <w:r>
              <w:t xml:space="preserve">1.385***</w:t>
            </w:r>
          </w:p>
        </w:tc>
        <w:tc>
          <w:tcPr/>
          <w:p>
            <w:pPr>
              <w:pStyle w:val="Compact"/>
            </w:pPr>
            <w:r>
              <w:t xml:space="preserve">0.910*</w:t>
            </w:r>
          </w:p>
        </w:tc>
        <w:tc>
          <w:tcPr/>
          <w:p>
            <w:pPr>
              <w:pStyle w:val="Compact"/>
            </w:pPr>
            <w:r>
              <w:t xml:space="preserve">0.934**</w:t>
            </w:r>
          </w:p>
        </w:tc>
        <w:tc>
          <w:tcPr/>
          <w:p>
            <w:pPr>
              <w:pStyle w:val="Compact"/>
            </w:pPr>
            <w:r>
              <w:t xml:space="preserve">0.862***</w:t>
            </w:r>
          </w:p>
        </w:tc>
        <w:tc>
          <w:tcPr/>
          <w:p>
            <w:pPr>
              <w:pStyle w:val="Compact"/>
            </w:pPr>
            <w:r>
              <w:t xml:space="preserve">2.701***</w:t>
            </w:r>
          </w:p>
        </w:tc>
        <w:tc>
          <w:tcPr/>
          <w:p>
            <w:pPr>
              <w:pStyle w:val="Compact"/>
            </w:pPr>
            <w:r>
              <w:t xml:space="preserve">3.240</w:t>
            </w:r>
          </w:p>
        </w:tc>
        <w:tc>
          <w:tcPr/>
          <w:p>
            <w:pPr>
              <w:pStyle w:val="Compact"/>
            </w:pPr>
            <w:r>
              <w:t xml:space="preserve">0.970***</w:t>
            </w:r>
          </w:p>
        </w:tc>
      </w:tr>
      <w:tr>
        <w:tc>
          <w:tcPr/>
          <w:p>
            <w:pPr>
              <w:pStyle w:val="Compact"/>
            </w:pPr>
            <w:r>
              <w:t xml:space="preserve">기간 더미(2015–19 / 2020–24)</w:t>
            </w:r>
          </w:p>
        </w:tc>
        <w:tc>
          <w:tcPr/>
          <w:p>
            <w:pPr>
              <w:pStyle w:val="Compact"/>
              <w:jc w:val="right"/>
            </w:pPr>
            <w:r>
              <w:t xml:space="preserve">928</w:t>
            </w:r>
          </w:p>
        </w:tc>
        <w:tc>
          <w:tcPr/>
          <w:p>
            <w:pPr>
              <w:pStyle w:val="Compact"/>
            </w:pPr>
            <w:r>
              <w:t xml:space="preserve">1.397***</w:t>
            </w:r>
          </w:p>
        </w:tc>
        <w:tc>
          <w:tcPr/>
          <w:p>
            <w:pPr>
              <w:pStyle w:val="Compact"/>
            </w:pPr>
            <w:r>
              <w:t xml:space="preserve">0.897**</w:t>
            </w:r>
          </w:p>
        </w:tc>
        <w:tc>
          <w:tcPr/>
          <w:p>
            <w:pPr>
              <w:pStyle w:val="Compact"/>
            </w:pPr>
            <w:r>
              <w:t xml:space="preserve">1.707* / 0.762</w:t>
            </w:r>
          </w:p>
        </w:tc>
        <w:tc>
          <w:tcPr/>
          <w:p>
            <w:pPr>
              <w:pStyle w:val="Compact"/>
            </w:pPr>
            <w:r>
              <w:t xml:space="preserve">0.273*** / 0.101***</w:t>
            </w:r>
          </w:p>
        </w:tc>
        <w:tc>
          <w:tcPr/>
          <w:p>
            <w:pPr>
              <w:pStyle w:val="Compact"/>
            </w:pPr>
            <w:r>
              <w:t xml:space="preserve">2.898***</w:t>
            </w:r>
          </w:p>
        </w:tc>
        <w:tc>
          <w:tcPr/>
          <w:p>
            <w:pPr>
              <w:pStyle w:val="Compact"/>
            </w:pPr>
            <w:r>
              <w:t xml:space="preserve">0.239**</w:t>
            </w:r>
          </w:p>
        </w:tc>
        <w:tc>
          <w:tcPr/>
          <w:p>
            <w:pPr>
              <w:pStyle w:val="Compact"/>
            </w:pPr>
            <w:r>
              <w:t xml:space="preserve">—</w:t>
            </w:r>
          </w:p>
        </w:tc>
      </w:tr>
    </w:tbl>
    <w:p>
      <w:pPr>
        <w:pStyle w:val="BodyText"/>
      </w:pPr>
      <w:r>
        <w:rPr>
          <w:i/>
          <w:iCs/>
        </w:rPr>
        <w:t xml:space="preserve">주:</w:t>
      </w:r>
      <w:r>
        <w:t xml:space="preserve"> </w:t>
      </w:r>
      <w:r>
        <w:t xml:space="preserve">기간 더미 모형의 연도 열은 2014년 이전 대비 각 기간의 RRR이다. 전체 추정 결과는 보충자료 S1에 수록한다.</w:t>
      </w:r>
    </w:p>
    <w:bookmarkEnd w:id="46"/>
    <w:bookmarkEnd w:id="47"/>
    <w:bookmarkStart w:id="51" w:name="논의"/>
    <w:p>
      <w:pPr>
        <w:pStyle w:val="Heading2"/>
      </w:pPr>
      <w:r>
        <w:t xml:space="preserve">6. 논의</w:t>
      </w:r>
    </w:p>
    <w:bookmarkStart w:id="48" w:name="이론적-함의"/>
    <w:p>
      <w:pPr>
        <w:pStyle w:val="Heading3"/>
      </w:pPr>
      <w:r>
        <w:t xml:space="preserve">6.1 이론적 함의</w:t>
      </w:r>
    </w:p>
    <w:p>
      <w:pPr>
        <w:pStyle w:val="FirstParagraph"/>
      </w:pPr>
      <w:r>
        <w:rPr>
          <w:b/>
          <w:bCs/>
        </w:rPr>
        <w:t xml:space="preserve">산업 내 융합.</w:t>
      </w:r>
      <w:r>
        <w:t xml:space="preserve"> </w:t>
      </w:r>
      <w:r>
        <w:t xml:space="preserve">첫 번째 함의는 융합 이론의 범위에 관한 것이다. 제2.1절에서 검토한 문헌은 융합을 산업 사이에서 일어나는 것으로 다루며, 그 단계 모형은 한 산업의 지식이 다른 산업으로 이주하여 결국 산업 자체가 합쳐지는 과정을 기술한다(Hacklin et al., 2009; Curran and Leker, 2011). 본 연구의 결과는 같은 개념 장치가 반도체 제조의 제조 단계와 조립 단계 사이처럼 한 산업을 관통하는 경계에도 적용되며, 그 경계가 개별 발명 수준에서 관찰될 수 있음을 보인다. 하이브리드 본딩 특허의 최빈 유형은 두 단계를 한 발명 안에 결합한 통합형(45.8%)이며, 전공정 기술을 청구하는 특허는 63.6%에 이른다. Jacobides et al.(2006)의 견해대로 산업 아키텍처가 분업의 템플릿이라면, 이러한 산업 내 융합은 템플릿이 재협상되는 메커니즘이다. 단계 간 인터페이스가 안정성을 잃으면 발명이 그 양쪽을 모두 청구하기 시작하는 것이다. 이 점에서 본 연구의 기여는 수직통합 문헌과 구별된다. Kapoor(2013)가 보인 것은 분업 속에서 조직적 통합이 지속되었다는 사실이고, 본 연구가 보인 것은 그 통합의 기술적 기초, 즉 두 단계의 지식이 개별 발명 안에서 결합되고 있다는 사실이다. 융합 이론의 단계 논리(Hacklin et al., 2009)를 따르면 후자가 전자에 선행하며, 따라서 경계를 넘는 특허의 분포는 산업 아키텍처가 어디서 어떻게 재편될지를 조직적 변화보다 앞서 알려주는 선행 지표가 될 수 있다.</w:t>
      </w:r>
    </w:p>
    <w:p>
      <w:pPr>
        <w:pStyle w:val="BodyText"/>
      </w:pPr>
      <w:r>
        <w:rPr>
          <w:b/>
          <w:b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 개별 발명의 범위에 위치시킨다. 더 많은 기술 클래스에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b/>
          <w:bCs/>
        </w:rPr>
        <w:t xml:space="preserve">축적이 아닌 재구성.</w:t>
      </w:r>
      <w:r>
        <w:t xml:space="preserve"> </w:t>
      </w:r>
      <w:r>
        <w:t xml:space="preserve">세 번째 함의는 동학에 관한 것이다. 융합을 단순하게 이해하면 경계를 넘는 특허의 비중이 시간에 따라 단조 상승할 것으로 예측하게 된다. 그러나 결과는 그렇지 않았다. 기간별 분포(표 8)는 두 단계의 재구성(recomposition)을 보여준다. 첫 단계(2014년 이전 → 2015–2019년)에서는 공정 단독형이 43.6%에서 14.8%로 줄고 통합형이 31.3%에서 62.2%로 늘었다. 기술 생애의 초기에 중요했던 발명은 평탄화, 표면 활성화, 어닐링 등 제조 단계에 관한 것이었고 공정 발명으로 청구되었으나, 기술이 성숙하면서 공정 지식은 그 자체로 특허의 대상이 되기보다 접합 구조와 함께 청구되는 것, 곧 특허의 한 구성요소가 되었다. 둘째 단계(2020–2024년)에서는 통합형이 44.3%로 낮아지고 조립 단독형이 45.4%로 늘었다. W2W에서 D2W 응용으로 이동하고 HBM·칩렛 제품이 양산에 다가서면서, 발명의 중심이 접합 구조와 적층 아키텍처 자체로 옮겨간 것으로 읽을 수 있다. 전공정 지식은 이제 청구항에 명시되는 대상이 아니라, 접합 구조 발명이 전제하는 기반으로 물러난 것으로 볼 수 있다. 이는 Hacklin et al.(2009)의 공진화 논리를 단일 기술 안에서 관찰한 것으로, 융합은 더 많은 특허가 경계를 넘음으로써가 아니라 경계 넘는 내용이 단계적으로 형태를 바꿈으로써 진행된다. 다만 둘째 단계의 해석은 두 가지 유보를 안는다. 2020년 이후 출원의 일부는 공개 시차로 아직 관측되지 않았고, 접합 코드의 부여 확대라는 분류 관행의 변화가 같은 패턴을 만들 수 있다(제5.4절).</w:t>
      </w:r>
    </w:p>
    <w:p>
      <w:pPr>
        <w:pStyle w:val="BodyText"/>
      </w:pPr>
      <w:r>
        <w:rPr>
          <w:b/>
          <w:bCs/>
        </w:rPr>
        <w:t xml:space="preserve">산업 아키텍처와 추격이 청구에 남기는 흔적.</w:t>
      </w:r>
      <w:r>
        <w:t xml:space="preserve"> </w:t>
      </w:r>
      <w:r>
        <w:t xml:space="preserve">네 번째 함의는 특허 수준 결과를 전략 문헌과 연결한다. 관할권 대비는 공정 단독형 방정식에 집중되어 있으며 제2.4절에서 제시한 해석과 들어맞는다. 중국 출원청 출원은 범위가 좁고 공정 단독형에 편중되어 있다. 이는 통합된 적층 전체를 청구하기 전에 특정 제조 단계를 내재화하는 추격 단계 기업의 전형적인 출원 프로필이며(Lee and Lim, 2001), 중국 특허의 양적 팽창이 보조금과 추격 동학에 의해 형성되어 왔다는 증거(Hu and Jefferson, 2009; Dang and Motohashi, 2015)와도 일관된다. 출원청은 어느 시장에서 무엇을 보호할 가치가 있다고 판단되었는가를 드러내는 변수다. 출원인은 자신의 특허 패밀리 가운데 각 관할권에서 보호가 필요한 발명을 골라 출원하므로, 중국 출원청 출원이 좁고 공정 단독형에 편중되어 있다는 결과는 중국 관할권이 전공정 공정 기술을 둘러싼 경쟁과 보호의 장이라는 점을 보여준다. 특정 제조 단계를 내재화하려는 출원과 그 단계를 선점하려는 출원은 같은 관할권 프로필을 만들며, 둘 다 추격 동학의 양면이다.</w:t>
      </w:r>
    </w:p>
    <w:p>
      <w:pPr>
        <w:pStyle w:val="BodyText"/>
      </w:pPr>
      <w:r>
        <w:t xml:space="preserve">일본 출원청 출원은 전 기간 표본에서 넓고 공정 단독형이 드물며, 이는 단일 단계 주변이 아니라 전체 공정 흐름에 걸쳐 특허를 내는 장비·소재 공급사의 강점(Langlois and Steinmueller, 1999) 및 1988년 개혁 이후의 다항 청구 관행(Sakakibara and Branstetter, 2001)과 부합한다. 그러나 이 결과는 26건의 표본에 의존하고 2010년 이후 표본에서는 사라지므로(제5.4절), 일본에 관한 해석은 잠정적이다. 한국과 대만은 범위와 통합형 방정식에서 미국 기준과 유사한데, 이는 미국 출원인과 정면으로 경쟁하는 메모리 제조사와 파운드리의 위치를 생각하면 자연스럽다. 이들의 높은 공정 단독형 경향(대만은 10% 수준에서 유의)은 선도 파운드리가 첨단 패키징 플랫폼을 내재화하며 전공정 역량을 접합 공정에 투입해 온 산업계의 움직임(Lau, 2022; Yole Group, 2024)과 부합한다. 종합하면 이러한 패턴은 누가 어느 단계를 어디에서 점유하는가라는 산업 아키텍처가 어떤 발명이 경계를 넘는지를 형성함을 보여주며, 이는 기업의 통합 선택이 산업 아키텍처를 형성한다는 Kapoor(2013)의 주장을 기업이 작성하는 청구항 수준으로 확장한 것이다.</w:t>
      </w:r>
    </w:p>
    <w:bookmarkEnd w:id="48"/>
    <w:bookmarkStart w:id="49" w:name="실무적정책적-함의"/>
    <w:p>
      <w:pPr>
        <w:pStyle w:val="Heading3"/>
      </w:pPr>
      <w:r>
        <w:t xml:space="preserve">6.2 실무적·정책적 함의</w:t>
      </w:r>
    </w:p>
    <w:p>
      <w:pPr>
        <w:pStyle w:val="FirstParagraph"/>
      </w:pPr>
      <w:r>
        <w:t xml:space="preserve">후공정 기업에게 본 연구의 결과는 분명한 경고를 담고 있다. 전통적 조립·테스트 모형은 제조와의 안정적 인터페이스에 의존했으나, 하이브리드 본딩에서 그 인터페이스는 해체되었고, 기술을 정의하는 특허는 전공정 공정에 닿는다. 평탄화와 표면 화학 역량이 없는 조립 전문기업은 가장 가치 있는 청구가 이미 파운드리와 장비 공급사에 의해 점유되어 있음을 발견할 것이다. 경계 넘기가 범위와 연관된다는 결과는 요구되는 역량이 단일 공정 단계가 아니라 웨이퍼 준비에서 접합된 적층까지의 흐름 전체를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확인해 준다. 지식 경계가 공정 단계를 넘어 확장된 기업만이 기술이 보상하는 통합형 청구를 작성할 수 있다. 장비·소재 공급사에게는 전 기간 표본에서 관찰된 일본 출원청의 프로필, 즉 넓고 통합 지향적이며 공정 단독형이 드문 프로필이 전·후공정 인터페이스에서의 차별적이고 방어 가능한 위치를 시사한다. 다만 이 결과는 표본이 작고 기간에 민감하므로 잠정적으로 읽어야 한다.</w:t>
      </w:r>
    </w:p>
    <w:p>
      <w:pPr>
        <w:pStyle w:val="BodyText"/>
      </w:pPr>
      <w:r>
        <w:t xml:space="preserve">정책에 대해서는 관할권 대비가 시사적이다. 중국 관할권의 프로필은 전공정 공정 단계를 둘러싼 경쟁이 그곳에 집중되어 있음을 보여주며, 이는 단계별로 진행되는 추격 동학과 일치한다. 이러한 경쟁은 제조 역량의 내재화에는 효과적이지만, 두 단계를 결합한 통합형 청구는 상대적으로 다른 관할권에서 이루어지고 있다. 특허 건수를 보상하는 산업정책(Dang and Motohashi, 2015)은 이 패턴을 강화할 것이다. 한국 출원청 계수는 어느 모형에서도 유의하지 않으므로, 한국에 대한 함의는 한국 고유의 효과가 아니라 표본 전체의 패턴에서 추론한 것이다. 메모리 제조사가 차세대 HBM을 위해 하이브리드 본딩에 의존하는 한국에 대해 결과는, 패키징 경쟁력이 패키징 노하우만이 아니라 평탄화, 표면 화학, 정렬 계측 등 전공정 역량과 이를 통합형 청구로 결합하는 능력에 의해 결정될 것임을 함의한다.</w:t>
      </w:r>
    </w:p>
    <w:bookmarkEnd w:id="49"/>
    <w:bookmarkStart w:id="50" w:name="한계와-향후-연구"/>
    <w:p>
      <w:pPr>
        <w:pStyle w:val="Heading3"/>
      </w:pPr>
      <w:r>
        <w:t xml:space="preserve">6.3 한계와 향후 연구</w:t>
      </w:r>
    </w:p>
    <w:p>
      <w:pPr>
        <w:pStyle w:val="FirstParagraph"/>
      </w:pPr>
      <w:r>
        <w:t xml:space="preserve">본 연구는 네 가지 한계를 갖는다. 첫째, 본 연구의 관할권 단위는 출원청이므로 결론은 각 관할권에서 무엇이 보호되는가에 관한 것이다. 출원인 수준의 정보를 결합하면 기업 고정효과 등으로 추정을 더 정밀하게 할 수 있다. 둘째, 추정치는 연관적이다. 범위와 전략은 공동 결정될 개연성이 있고, 데이터에 신뢰할 만한 도구변수가 없어 인과 식별을 시도하지 않는다. 기술범위와 통합형 사이의 연관에 있는 구성상의 요소는 조정 범위로 분리하였으나(제5.4절), 기술범위 자체가 H01L21·H01L24 두 클래스 내부에서만 측정된다는 한계는 남는다. 추출 단계에서 다른 클래스의 기호가 보존되지 않았으므로, 반도체 외부 분야로의 확장을 포함하는 본래 의미의 기술범위(Lerner, 1994)는 전체 CPC 기호를 확보하여 재구성해야 한다.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의존한다는 비용이 따른다. H01L21과 H01L24의 경계가 제도적으로 명확한 본 연구의 설정에서는 재현가능성이 더 큰 미덕이라고 판단하였다. 경계가 덜 코드화된 설정에서는 이 상충관계가 반대로 작동할 수 있다. 넷째, 각 출원이 CPC 기호의 집합이라는 점에서 특허의 공동분류 구조는 다대다이며,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것이다(Bresnahan and Trajtenberg, 1995; Hall and Trajtenberg, 2004 참조).</w:t>
      </w:r>
    </w:p>
    <w:p>
      <w:pPr>
        <w:pStyle w:val="BodyText"/>
      </w:pPr>
      <w:r>
        <w:t xml:space="preserve">나아가 본 연구의 설계는 다른 맥락에서의 재현에 열려 있다. 디스플레이 제조의 첨단 리소그래피, 배터리의 셀-투-팩 통합, 항공우주 조립의 적층제조처럼 하류 단계가 상류 역량에 의존하기 시작하는 공정기술은 모두 동일한 두 클래스 공동분류 규칙과 이산선택 추정량으로 검토할 수 있다. 그러한 설정 간 비교 연구는 여기서 관찰된 재구성 동학이 일반적인지를 보여줄 것이다.</w:t>
      </w:r>
    </w:p>
    <w:bookmarkEnd w:id="50"/>
    <w:bookmarkEnd w:id="51"/>
    <w:bookmarkStart w:id="52" w:name="결론"/>
    <w:p>
      <w:pPr>
        <w:pStyle w:val="Heading2"/>
      </w:pPr>
      <w:r>
        <w:t xml:space="preserve">7. 결론</w:t>
      </w:r>
    </w:p>
    <w:p>
      <w:pPr>
        <w:pStyle w:val="FirstParagraph"/>
      </w:pPr>
      <w:r>
        <w:t xml:space="preserve">기술융합은 그동안 거의 전적으로 산업 간의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최빈 발명은 두 단계를 한 발명 안에 통합하는 유형(45.8%)이며 제조공정 기술을 청구하는 출원은 63.6%에 이른다. 경계 넘기는 기술범위와 강하게 연관되고(기계적 성분을 제거한 뒤에도 유지), 시간이 갈수록 경계를 넘는 청구의 단조 증가가 아니라 공정 단독형에서 통합형으로, 다시 통합형에서 접합 구조 청구로 이어지는 두 단계의 재구성을 통해 진행되었으며, 산업 아키텍처와 추격의 흔적을 지닌다. 중국 출원청 출원이 좁고 공정 지향적이라는 결과는 모든 모형 설정에서 유지되는 반면, 일본 출원청에 관한 결과는 표본 기간에 민감하다. 오랫동안 분리되어 있던 전공정과 후공정은 발명의 기록 속에서 수렴하고 있으며, 그 수렴의 구조는 산업 내 사례로 확장되고 산업 아키텍처 문헌과 결합된 융합 이론으로 설명할 수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Yole Group (KnowMade), 2024. Hybrid Bonding Patent Landscape Analysis 2024 [Industry report]. KnowMade, Nantes.</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43" Target="media/rId43.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17" Target="media/rId17.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2026-09-24T01:01:10Z</dcterms:created>
  <dcterms:modified xsi:type="dcterms:W3CDTF">2026-09-24T01:01:10Z</dcterms:modified>
</cp:coreProperties>
</file>

<file path=docProps/custom.xml><?xml version="1.0" encoding="utf-8"?>
<Properties xmlns="http://schemas.openxmlformats.org/officeDocument/2006/custom-properties" xmlns:vt="http://schemas.openxmlformats.org/officeDocument/2006/docPropsVTypes"/>
</file>