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보충자료-s1-강건성-재추정-전체-결과"/>
    <w:p>
      <w:pPr>
        <w:pStyle w:val="Heading1"/>
      </w:pPr>
      <w:r>
        <w:t xml:space="preserve">보충자료 S1 — 강건성 재추정 전체 결과</w:t>
      </w:r>
    </w:p>
    <w:p>
      <w:pPr>
        <w:pStyle w:val="BlockText"/>
      </w:pPr>
      <w:r>
        <w:t xml:space="preserve">본문 제5.4절(표 8·9)의 근거. 원자료: EPO PATSTAT 추출 출원–CPC 레코드 5,277건(출원 928건). 추정: 음이항·이항 로짓·다항 로짓(Python statsmodels; Stata</w:t>
      </w:r>
      <w:r>
        <w:t xml:space="preserve"> </w:t>
      </w:r>
      <w:r>
        <w:rPr>
          <w:rStyle w:val="VerbatimChar"/>
        </w:rPr>
        <w:t xml:space="preserve">nbreg</w:t>
      </w:r>
      <w:r>
        <w:t xml:space="preserve">/</w:t>
      </w:r>
      <w:r>
        <w:rPr>
          <w:rStyle w:val="VerbatimChar"/>
        </w:rPr>
        <w:t xml:space="preserve">logit</w:t>
      </w:r>
      <w:r>
        <w:t xml:space="preserve">/</w:t>
      </w:r>
      <w:r>
        <w:rPr>
          <w:rStyle w:val="VerbatimChar"/>
        </w:rPr>
        <w:t xml:space="preserve">mlogit</w:t>
      </w:r>
      <w:r>
        <w:t xml:space="preserve">과 동일 명세). 기준선(표 4–6)은 원 분석과 소수점 셋째 자리까지 일치함을 확인하였다.</w:t>
      </w:r>
    </w:p>
    <w:bookmarkStart w:id="9" w:name="데이터-구조에-관한-발견"/>
    <w:p>
      <w:pPr>
        <w:pStyle w:val="Heading2"/>
      </w:pPr>
      <w:r>
        <w:t xml:space="preserve">0. 데이터 구조에 관한 발견</w:t>
      </w:r>
    </w:p>
    <w:p>
      <w:pPr>
        <w:pStyle w:val="Compact"/>
        <w:numPr>
          <w:ilvl w:val="0"/>
          <w:numId w:val="1001"/>
        </w:numPr>
      </w:pPr>
      <w:r>
        <w:t xml:space="preserve">추출 파일의 CPC 기호는</w:t>
      </w:r>
      <w:r>
        <w:t xml:space="preserve"> </w:t>
      </w:r>
      <w:r>
        <w:rPr>
          <w:b/>
          <w:bCs/>
        </w:rPr>
        <w:t xml:space="preserve">H01L21/* (1636행)과 H01L24/* (3641행) 두 클래스뿐</w:t>
      </w:r>
      <w:r>
        <w:t xml:space="preserve">이다. 다른 클래스(H01L2224 인덱싱, H01L23/25, G01N 등)는 추출 단계에서 포함되지 않았다.</w:t>
      </w:r>
    </w:p>
    <w:p>
      <w:pPr>
        <w:pStyle w:val="Compact"/>
        <w:numPr>
          <w:ilvl w:val="0"/>
          <w:numId w:val="1001"/>
        </w:numPr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breadth</w:t>
      </w:r>
      <w:r>
        <w:t xml:space="preserve">(= 고유 CPC 기호 수)는</w:t>
      </w:r>
      <w:r>
        <w:t xml:space="preserve"> </w:t>
      </w:r>
      <w:r>
        <w:rPr>
          <w:b/>
          <w:bCs/>
        </w:rPr>
        <w:t xml:space="preserve">두 클래스 내부의 고유 서브그룹(subgroup) 수</w:t>
      </w:r>
      <w:r>
        <w:t xml:space="preserve">다. 초기 원고 표 2의</w:t>
      </w:r>
      <w:r>
        <w:t xml:space="preserve"> </w:t>
      </w:r>
      <w:r>
        <w:t xml:space="preserve">‘고유 CPC 서브클래스 수’는 부정확하며’</w:t>
      </w:r>
      <w:r>
        <w:rPr>
          <w:b/>
          <w:bCs/>
        </w:rPr>
        <w:t xml:space="preserve">H01L21·H01L24 계열의 고유 CPC 서브그룹 수</w:t>
      </w:r>
      <w:r>
        <w:t xml:space="preserve">’로 고쳐야 한다. 고유 기호 총 262개.</w:t>
      </w:r>
    </w:p>
    <w:p>
      <w:pPr>
        <w:pStyle w:val="Compact"/>
        <w:numPr>
          <w:ilvl w:val="0"/>
          <w:numId w:val="1001"/>
        </w:numPr>
      </w:pPr>
      <w:r>
        <w:t xml:space="preserve">두 클래스를 제외한 breadth는 전원 0이므로 ’경계 정의 클래스 제외 재추정’은 불가능. 대신</w:t>
      </w:r>
      <w:r>
        <w:t xml:space="preserve"> </w:t>
      </w:r>
      <w:r>
        <w:rPr>
          <w:b/>
          <w:bCs/>
        </w:rPr>
        <w:t xml:space="preserve">breadth_adj = breadth − has_process − has_assembly</w:t>
      </w:r>
      <w:r>
        <w:t xml:space="preserve">(각 클래스 최소 1개 기호를 제외한 초과 기호 수; 통합형의 기계적 하한 2 제거)와</w:t>
      </w:r>
      <w:r>
        <w:t xml:space="preserve"> </w:t>
      </w:r>
      <w:r>
        <w:rPr>
          <w:b/>
          <w:bCs/>
        </w:rPr>
        <w:t xml:space="preserve">n21/n24 분해</w:t>
      </w:r>
      <w:r>
        <w:t xml:space="preserve">로 대체한다.</w:t>
      </w:r>
    </w:p>
    <w:bookmarkEnd w:id="9"/>
    <w:bookmarkStart w:id="10" w:name="기술범위-분해-유형별-평균"/>
    <w:p>
      <w:pPr>
        <w:pStyle w:val="Heading2"/>
      </w:pPr>
      <w:r>
        <w:t xml:space="preserve">1. 기술범위 분해 (유형별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tech_cat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breadth_adj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</w:tbl>
    <w:bookmarkEnd w:id="10"/>
    <w:bookmarkStart w:id="11" w:name="a2-breadth_adj기계적-하한-제거로-재추정"/>
    <w:p>
      <w:pPr>
        <w:pStyle w:val="Heading2"/>
      </w:pPr>
      <w:r>
        <w:t xml:space="preserve">2. A2 — breadth_adj(기계적 하한 제거)로 재추정</w:t>
      </w:r>
    </w:p>
    <w:p>
      <w:pPr>
        <w:pStyle w:val="FirstParagraph"/>
      </w:pPr>
      <w:r>
        <w:rPr>
          <w:b/>
          <w:bCs/>
        </w:rPr>
        <w:t xml:space="preserve">이항 로짓: 전공정 지향 ~ yc + breadth_adj + ccode</w:t>
      </w:r>
      <w:r>
        <w:t xml:space="preserve"> </w:t>
      </w:r>
      <w:r>
        <w:t xml:space="preserve">(N=928, AIC=1167.4) — 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C(ccode)[T.CN]</w:t>
            </w:r>
          </w:p>
        </w:tc>
        <w:tc>
          <w:tcPr/>
          <w:p>
            <w:pPr>
              <w:pStyle w:val="Compact"/>
            </w:pPr>
            <w:r>
              <w:t xml:space="preserve">1.467*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C(ccode)[T.KR]</w:t>
            </w:r>
          </w:p>
        </w:tc>
        <w:tc>
          <w:tcPr/>
          <w:p>
            <w:pPr>
              <w:pStyle w:val="Compact"/>
            </w:pPr>
            <w:r>
              <w:t xml:space="preserve">1.398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C(ccode)[T.TW]</w:t>
            </w:r>
          </w:p>
        </w:tc>
        <w:tc>
          <w:tcPr/>
          <w:p>
            <w:pPr>
              <w:pStyle w:val="Compact"/>
            </w:pPr>
            <w:r>
              <w:t xml:space="preserve">1.493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C(ccode)[T.JP]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C(ccode)[T.EP]</w:t>
            </w:r>
          </w:p>
        </w:tc>
        <w:tc>
          <w:tcPr/>
          <w:p>
            <w:pPr>
              <w:pStyle w:val="Compact"/>
            </w:pPr>
            <w:r>
              <w:t xml:space="preserve">1.183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C(ccode)[T.WO]</w:t>
            </w:r>
          </w:p>
        </w:tc>
        <w:tc>
          <w:tcPr/>
          <w:p>
            <w:pPr>
              <w:pStyle w:val="Compact"/>
            </w:pPr>
            <w:r>
              <w:t xml:space="preserve">1.271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C(ccode)[T.Other]</w:t>
            </w:r>
          </w:p>
        </w:tc>
        <w:tc>
          <w:tcPr/>
          <w:p>
            <w:pPr>
              <w:pStyle w:val="Compact"/>
            </w:pPr>
            <w:r>
              <w:t xml:space="preserve">1.954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0.956***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breadth_adj</w:t>
            </w:r>
          </w:p>
        </w:tc>
        <w:tc>
          <w:tcPr/>
          <w:p>
            <w:pPr>
              <w:pStyle w:val="Compact"/>
            </w:pPr>
            <w:r>
              <w:t xml:space="preserve">1.179***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로짓: tech_cat ~ yc + breadth_adj + ccode</w:t>
      </w:r>
      <w:r>
        <w:t xml:space="preserve"> </w:t>
      </w:r>
      <w:r>
        <w:t xml:space="preserve">(N=928, AIC=1698.7)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0.911***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breadth_adj</w:t>
            </w:r>
          </w:p>
        </w:tc>
        <w:tc>
          <w:tcPr/>
          <w:p>
            <w:pPr>
              <w:pStyle w:val="Compact"/>
            </w:pPr>
            <w:r>
              <w:t xml:space="preserve">1.262***</w:t>
            </w:r>
          </w:p>
        </w:tc>
        <w:tc>
          <w:tcPr/>
          <w:p>
            <w:pPr>
              <w:pStyle w:val="Compact"/>
            </w:pPr>
            <w:r>
              <w:t xml:space="preserve">0.915**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1.096</w:t>
            </w:r>
          </w:p>
        </w:tc>
        <w:tc>
          <w:tcPr/>
          <w:p>
            <w:pPr>
              <w:pStyle w:val="Compact"/>
            </w:pPr>
            <w:r>
              <w:t xml:space="preserve">2.720***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1.913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1.297</w:t>
            </w:r>
          </w:p>
        </w:tc>
        <w:tc>
          <w:tcPr/>
          <w:p>
            <w:pPr>
              <w:pStyle w:val="Compact"/>
            </w:pPr>
            <w:r>
              <w:t xml:space="preserve">2.131*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1.053</w:t>
            </w:r>
          </w:p>
        </w:tc>
        <w:tc>
          <w:tcPr/>
          <w:p>
            <w:pPr>
              <w:pStyle w:val="Compact"/>
            </w:pPr>
            <w:r>
              <w:t xml:space="preserve">0.087***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1.302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1.031</w:t>
            </w:r>
          </w:p>
        </w:tc>
        <w:tc>
          <w:tcPr/>
          <w:p>
            <w:pPr>
              <w:pStyle w:val="Compact"/>
            </w:pPr>
            <w:r>
              <w:t xml:space="preserve">2.016**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2.021</w:t>
            </w:r>
          </w:p>
        </w:tc>
        <w:tc>
          <w:tcPr/>
          <w:p>
            <w:pPr>
              <w:pStyle w:val="Compact"/>
            </w:pPr>
            <w:r>
              <w:t xml:space="preserve">1.923</w:t>
            </w:r>
          </w:p>
        </w:tc>
      </w:tr>
    </w:tbl>
    <w:bookmarkEnd w:id="11"/>
    <w:bookmarkStart w:id="12" w:name="b3-기간별-전략-유형-비중"/>
    <w:p>
      <w:pPr>
        <w:pStyle w:val="Heading2"/>
      </w:pPr>
      <w:r>
        <w:t xml:space="preserve">3. B3 — 기간별 전략 유형 비중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1430"/>
        <w:gridCol w:w="1540"/>
        <w:gridCol w:w="1320"/>
        <w:gridCol w:w="55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has_process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(25.1%)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(31.3%)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(43.6%)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(23.0%)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(62.2%)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(14.8%)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(45.4%)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 (44.3%)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(10.4%)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</w:tr>
    </w:tbl>
    <w:bookmarkEnd w:id="12"/>
    <w:bookmarkStart w:id="13" w:name="a5-2010년-이후-하위표본-및-기간-더미"/>
    <w:p>
      <w:pPr>
        <w:pStyle w:val="Heading2"/>
      </w:pPr>
      <w:r>
        <w:t xml:space="preserve">4. A5 — 2010년 이후 하위표본 및 기간 더미</w:t>
      </w:r>
    </w:p>
    <w:p>
      <w:pPr>
        <w:pStyle w:val="FirstParagraph"/>
      </w:pPr>
      <w:r>
        <w:t xml:space="preserve">2010년 이후 표본 N=830 (전체의 89.4%)</w:t>
      </w:r>
    </w:p>
    <w:p>
      <w:pPr>
        <w:pStyle w:val="BodyText"/>
      </w:pPr>
      <w:r>
        <w:rPr>
          <w:b/>
          <w:bCs/>
        </w:rPr>
        <w:t xml:space="preserve">이항 로짓 (2010+): has_process ~ yc + breadth + ccode</w:t>
      </w:r>
      <w:r>
        <w:t xml:space="preserve"> </w:t>
      </w:r>
      <w:r>
        <w:t xml:space="preserve">(N=830, AIC=994.6) — 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C(ccode)[T.CN]</w:t>
            </w:r>
          </w:p>
        </w:tc>
        <w:tc>
          <w:tcPr/>
          <w:p>
            <w:pPr>
              <w:pStyle w:val="Compact"/>
            </w:pPr>
            <w:r>
              <w:t xml:space="preserve">1.676**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C(ccode)[T.KR]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C(ccode)[T.TW]</w:t>
            </w:r>
          </w:p>
        </w:tc>
        <w:tc>
          <w:tcPr/>
          <w:p>
            <w:pPr>
              <w:pStyle w:val="Compact"/>
            </w:pPr>
            <w:r>
              <w:t xml:space="preserve">1.588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C(ccode)[T.JP]</w:t>
            </w:r>
          </w:p>
        </w:tc>
        <w:tc>
          <w:tcPr/>
          <w:p>
            <w:pPr>
              <w:pStyle w:val="Compact"/>
            </w:pPr>
            <w:r>
              <w:t xml:space="preserve">5.858*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C(ccode)[T.EP]</w:t>
            </w:r>
          </w:p>
        </w:tc>
        <w:tc>
          <w:tcPr/>
          <w:p>
            <w:pPr>
              <w:pStyle w:val="Compact"/>
            </w:pPr>
            <w:r>
              <w:t xml:space="preserve">1.263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C(ccode)[T.WO]</w:t>
            </w:r>
          </w:p>
        </w:tc>
        <w:tc>
          <w:tcPr/>
          <w:p>
            <w:pPr>
              <w:pStyle w:val="Compact"/>
            </w:pPr>
            <w:r>
              <w:t xml:space="preserve">1.321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C(ccode)[T.Other]</w:t>
            </w:r>
          </w:p>
        </w:tc>
        <w:tc>
          <w:tcPr/>
          <w:p>
            <w:pPr>
              <w:pStyle w:val="Compact"/>
            </w:pPr>
            <w:r>
              <w:t xml:space="preserve">1.319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0.905***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1.269***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 (2010+): tech_cat ~ yc + breadth + ccode</w:t>
      </w:r>
      <w:r>
        <w:t xml:space="preserve"> </w:t>
      </w:r>
      <w:r>
        <w:t xml:space="preserve">(N=830, AIC=1406.0)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</w:t>
            </w:r>
          </w:p>
        </w:tc>
        <w:tc>
          <w:tcPr/>
          <w:p>
            <w:pPr>
              <w:pStyle w:val="Compact"/>
            </w:pPr>
            <w:r>
              <w:t xml:space="preserve">0.934**</w:t>
            </w:r>
          </w:p>
        </w:tc>
        <w:tc>
          <w:tcPr/>
          <w:p>
            <w:pPr>
              <w:pStyle w:val="Compact"/>
            </w:pPr>
            <w:r>
              <w:t xml:space="preserve">0.862***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1.385***</w:t>
            </w:r>
          </w:p>
        </w:tc>
        <w:tc>
          <w:tcPr/>
          <w:p>
            <w:pPr>
              <w:pStyle w:val="Compact"/>
            </w:pPr>
            <w:r>
              <w:t xml:space="preserve">0.910*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1.240</w:t>
            </w:r>
          </w:p>
        </w:tc>
        <w:tc>
          <w:tcPr/>
          <w:p>
            <w:pPr>
              <w:pStyle w:val="Compact"/>
            </w:pPr>
            <w:r>
              <w:t xml:space="preserve">2.701***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1.400</w:t>
            </w:r>
          </w:p>
        </w:tc>
        <w:tc>
          <w:tcPr/>
          <w:p>
            <w:pPr>
              <w:pStyle w:val="Compact"/>
            </w:pPr>
            <w:r>
              <w:t xml:space="preserve">2.088*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6.795*</w:t>
            </w:r>
          </w:p>
        </w:tc>
        <w:tc>
          <w:tcPr/>
          <w:p>
            <w:pPr>
              <w:pStyle w:val="Compact"/>
            </w:pPr>
            <w:r>
              <w:t xml:space="preserve">3.240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1.184</w:t>
            </w:r>
          </w:p>
        </w:tc>
        <w:tc>
          <w:tcPr/>
          <w:p>
            <w:pPr>
              <w:pStyle w:val="Compact"/>
            </w:pPr>
            <w:r>
              <w:t xml:space="preserve">1.694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1.940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 (전체, 기간 더미): tech_cat ~ period + breadth + ccode</w:t>
      </w:r>
      <w:r>
        <w:t xml:space="preserve"> </w:t>
      </w:r>
      <w:r>
        <w:t xml:space="preserve">(N=928, AIC=1546.6) — RRR, base=Assembly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Process-only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1.397***</w:t>
            </w:r>
          </w:p>
        </w:tc>
        <w:tc>
          <w:tcPr/>
          <w:p>
            <w:pPr>
              <w:pStyle w:val="Compact"/>
            </w:pPr>
            <w:r>
              <w:t xml:space="preserve">0.897**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period_2015–2019</w:t>
            </w:r>
          </w:p>
        </w:tc>
        <w:tc>
          <w:tcPr/>
          <w:p>
            <w:pPr>
              <w:pStyle w:val="Compact"/>
            </w:pPr>
            <w:r>
              <w:t xml:space="preserve">1.707*</w:t>
            </w:r>
          </w:p>
        </w:tc>
        <w:tc>
          <w:tcPr/>
          <w:p>
            <w:pPr>
              <w:pStyle w:val="Compact"/>
            </w:pPr>
            <w:r>
              <w:t xml:space="preserve">0.273***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period_2020–2024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0.101***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ccode_CN</w:t>
            </w:r>
          </w:p>
        </w:tc>
        <w:tc>
          <w:tcPr/>
          <w:p>
            <w:pPr>
              <w:pStyle w:val="Compact"/>
            </w:pPr>
            <w:r>
              <w:t xml:space="preserve">1.172</w:t>
            </w:r>
          </w:p>
        </w:tc>
        <w:tc>
          <w:tcPr/>
          <w:p>
            <w:pPr>
              <w:pStyle w:val="Compact"/>
            </w:pPr>
            <w:r>
              <w:t xml:space="preserve">2.898***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ccode_KR</w:t>
            </w:r>
          </w:p>
        </w:tc>
        <w:tc>
          <w:tcPr/>
          <w:p>
            <w:pPr>
              <w:pStyle w:val="Compact"/>
            </w:pPr>
            <w:r>
              <w:t xml:space="preserve">1.124</w:t>
            </w:r>
          </w:p>
        </w:tc>
        <w:tc>
          <w:tcPr/>
          <w:p>
            <w:pPr>
              <w:pStyle w:val="Compact"/>
            </w:pPr>
            <w:r>
              <w:t xml:space="preserve">1.802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ccode_TW</w:t>
            </w:r>
          </w:p>
        </w:tc>
        <w:tc>
          <w:tcPr/>
          <w:p>
            <w:pPr>
              <w:pStyle w:val="Compact"/>
            </w:pPr>
            <w:r>
              <w:t xml:space="preserve">1.358</w:t>
            </w:r>
          </w:p>
        </w:tc>
        <w:tc>
          <w:tcPr/>
          <w:p>
            <w:pPr>
              <w:pStyle w:val="Compact"/>
            </w:pPr>
            <w:r>
              <w:t xml:space="preserve">2.340**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ccode_JP</w:t>
            </w:r>
          </w:p>
        </w:tc>
        <w:tc>
          <w:tcPr/>
          <w:p>
            <w:pPr>
              <w:pStyle w:val="Compact"/>
            </w:pPr>
            <w:r>
              <w:t xml:space="preserve">1.114</w:t>
            </w:r>
          </w:p>
        </w:tc>
        <w:tc>
          <w:tcPr/>
          <w:p>
            <w:pPr>
              <w:pStyle w:val="Compact"/>
            </w:pPr>
            <w:r>
              <w:t xml:space="preserve">0.239**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ccode_EP</w:t>
            </w:r>
          </w:p>
        </w:tc>
        <w:tc>
          <w:tcPr/>
          <w:p>
            <w:pPr>
              <w:pStyle w:val="Compact"/>
            </w:pPr>
            <w:r>
              <w:t xml:space="preserve">1.306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ccode_WO</w:t>
            </w:r>
          </w:p>
        </w:tc>
        <w:tc>
          <w:tcPr/>
          <w:p>
            <w:pPr>
              <w:pStyle w:val="Compact"/>
            </w:pPr>
            <w:r>
              <w:t xml:space="preserve">1.145</w:t>
            </w:r>
          </w:p>
        </w:tc>
        <w:tc>
          <w:tcPr/>
          <w:p>
            <w:pPr>
              <w:pStyle w:val="Compact"/>
            </w:pPr>
            <w:r>
              <w:t xml:space="preserve">2.034**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ccode_Other</w:t>
            </w:r>
          </w:p>
        </w:tc>
        <w:tc>
          <w:tcPr/>
          <w:p>
            <w:pPr>
              <w:pStyle w:val="Compact"/>
            </w:pPr>
            <w:r>
              <w:t xml:space="preserve">2.612</w:t>
            </w:r>
          </w:p>
        </w:tc>
        <w:tc>
          <w:tcPr/>
          <w:p>
            <w:pPr>
              <w:pStyle w:val="Compact"/>
            </w:pPr>
            <w:r>
              <w:t xml:space="preserve">1.666</w:t>
            </w:r>
          </w:p>
        </w:tc>
      </w:tr>
    </w:tbl>
    <w:p>
      <w:pPr>
        <w:pStyle w:val="BodyText"/>
      </w:pPr>
      <w:r>
        <w:t xml:space="preserve">음이항 (2010+): yc IRR 0.970</w:t>
      </w:r>
      <w:r>
        <w:rPr>
          <w:b/>
          <w:bCs/>
          <w:i/>
          <w:iCs/>
        </w:rPr>
        <w:t xml:space="preserve">, CN 0.794</w:t>
      </w:r>
      <w:r>
        <w:t xml:space="preserve">, JP 1.577*</w:t>
      </w:r>
      <w:r>
        <w:rPr>
          <w:b/>
          <w:bCs/>
        </w:rPr>
        <w:t xml:space="preserve">, WO 0.842</w:t>
      </w:r>
    </w:p>
    <w:bookmarkEnd w:id="13"/>
    <w:bookmarkStart w:id="14" w:name="a4-cpc-분류-관행-변화의-점검"/>
    <w:p>
      <w:pPr>
        <w:pStyle w:val="Heading2"/>
      </w:pPr>
      <w:r>
        <w:t xml:space="preserve">5. A4 — CPC 분류 관행 변화의 점검</w:t>
      </w:r>
    </w:p>
    <w:p>
      <w:pPr>
        <w:pStyle w:val="Compact"/>
        <w:numPr>
          <w:ilvl w:val="0"/>
          <w:numId w:val="1002"/>
        </w:numPr>
      </w:pPr>
      <w:r>
        <w:t xml:space="preserve">고유 H01L24 서브그룹 60개, H01L21 서브그룹 202개. 표본 내 최초 등장 연도 분포(서브그룹 수):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H01L24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H01L21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2010–14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기간별 접합(H01L24)·공정(H01L21) 기호 사용: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3"/>
        <w:gridCol w:w="867"/>
        <w:gridCol w:w="1301"/>
        <w:gridCol w:w="1301"/>
        <w:gridCol w:w="1627"/>
        <w:gridCol w:w="16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n21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n24&gt;0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n21&gt;0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2026-09-24T01:00:13Z</dcterms:created>
  <dcterms:modified xsi:type="dcterms:W3CDTF">2026-09-24T01:00:13Z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