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발표 대본</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사용법</w:t>
      </w:r>
    </w:p>
    <w:p>
      <w:pPr>
        <w:pStyle w:val="ListBullet"/>
        <w:spacing w:after="40"/>
      </w:pPr>
      <w:r>
        <w:rPr>
          <w:rFonts w:ascii="맑은 고딕" w:hAnsi="맑은 고딕" w:eastAsia="맑은 고딕" w:cs="맑은 고딕"/>
          <w:b w:val="0"/>
          <w:sz w:val="21"/>
        </w:rPr>
        <w:t>참고하신 발표 대본처럼 슬라이드마다 시작 시각(분'초)을 붙였습니다. 시각은 대본 길이로 추정한 값(초당 약 5.3자, 화면 전환 1.5초)이며, 실제 연습에서 맞춰 보십시오.</w:t>
      </w:r>
    </w:p>
    <w:p>
      <w:pPr>
        <w:pStyle w:val="ListBullet"/>
        <w:spacing w:after="40"/>
      </w:pPr>
      <w:r>
        <w:rPr>
          <w:rFonts w:ascii="맑은 고딕" w:hAnsi="맑은 고딕" w:eastAsia="맑은 고딕" w:cs="맑은 고딕"/>
          <w:b w:val="0"/>
          <w:sz w:val="21"/>
        </w:rPr>
        <w:t>같은 대본이 발표 파일의 슬라이드 노트에도 들어 있습니다. PowerPoint 발표자 보기에서 노트를 보면서 연습할 수 있습니다.</w:t>
      </w:r>
    </w:p>
    <w:p>
      <w:pPr>
        <w:pStyle w:val="ListBullet"/>
        <w:spacing w:after="40"/>
      </w:pPr>
      <w:r>
        <w:rPr>
          <w:rFonts w:ascii="맑은 고딕" w:hAnsi="맑은 고딕" w:eastAsia="맑은 고딕" w:cs="맑은 고딕"/>
          <w:b w:val="0"/>
          <w:sz w:val="21"/>
        </w:rPr>
        <w:t>굵은 글씨는 강조할 핵심 수치입니다. 수치를 말할 때는 반 박자 쉬고 천천히 말하십시오.</w:t>
      </w:r>
    </w:p>
    <w:p>
      <w:pPr>
        <w:pStyle w:val="ListBullet"/>
        <w:spacing w:after="40"/>
      </w:pPr>
      <w:r>
        <w:rPr>
          <w:rFonts w:ascii="맑은 고딕" w:hAnsi="맑은 고딕" w:eastAsia="맑은 고딕" w:cs="맑은 고딕"/>
          <w:b w:val="0"/>
          <w:sz w:val="21"/>
        </w:rPr>
        <w:t>30분용은 약 29분, 20분용은 약 19분, 15분용은 약 13분으로 맞추었습니다.</w:t>
      </w:r>
    </w:p>
    <w:p>
      <w:pPr>
        <w:pStyle w:val="Heading1"/>
      </w:pPr>
      <w:r>
        <w:t>30분 발표 대본 (본 발표 42장)</w:t>
      </w:r>
    </w:p>
    <w:p>
      <w:pPr>
        <w:spacing w:after="80" w:before="0"/>
      </w:pPr>
      <w:r>
        <w:rPr>
          <w:rFonts w:ascii="맑은 고딕" w:hAnsi="맑은 고딕" w:eastAsia="맑은 고딕" w:cs="맑은 고딕"/>
          <w:b/>
          <w:color w:val="13294B"/>
          <w:sz w:val="21"/>
        </w:rPr>
        <w:t>예상 총 소요 시간: 29'33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2'44</w:t>
            </w:r>
          </w:p>
        </w:tc>
        <w:tc>
          <w:tcPr>
            <w:tcW w:type="dxa" w:w="1247"/>
            <w:shd w:val="clear" w:color="auto" w:fill="F4F7FB"/>
          </w:tcPr>
          <w:p>
            <w:pPr>
              <w:spacing w:after="0"/>
            </w:pPr>
            <w:r/>
            <w:r>
              <w:rPr>
                <w:rFonts w:ascii="맑은 고딕" w:hAnsi="맑은 고딕" w:eastAsia="맑은 고딕" w:cs="맑은 고딕"/>
                <w:b w:val="0"/>
                <w:sz w:val="18"/>
              </w:rPr>
              <w:t>57초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3'41</w:t>
            </w:r>
          </w:p>
        </w:tc>
        <w:tc>
          <w:tcPr>
            <w:tcW w:type="dxa" w:w="1247"/>
          </w:tcPr>
          <w:p>
            <w:pPr>
              <w:spacing w:after="0"/>
            </w:pPr>
            <w:r/>
            <w:r>
              <w:rPr>
                <w:rFonts w:ascii="맑은 고딕" w:hAnsi="맑은 고딕" w:eastAsia="맑은 고딕" w:cs="맑은 고딕"/>
                <w:b w:val="0"/>
                <w:sz w:val="18"/>
              </w:rPr>
              <w:t>51초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2.1 기술융합의 개념</w:t>
            </w:r>
          </w:p>
        </w:tc>
        <w:tc>
          <w:tcPr>
            <w:tcW w:type="dxa" w:w="1247"/>
            <w:shd w:val="clear" w:color="auto" w:fill="F4F7FB"/>
          </w:tcPr>
          <w:p>
            <w:pPr>
              <w:spacing w:after="0"/>
            </w:pPr>
            <w:r/>
            <w:r>
              <w:rPr>
                <w:rFonts w:ascii="맑은 고딕" w:hAnsi="맑은 고딕" w:eastAsia="맑은 고딕" w:cs="맑은 고딕"/>
                <w:b w:val="0"/>
                <w:sz w:val="18"/>
              </w:rPr>
              <w:t>4'32</w:t>
            </w:r>
          </w:p>
        </w:tc>
        <w:tc>
          <w:tcPr>
            <w:tcW w:type="dxa" w:w="1247"/>
            <w:shd w:val="clear" w:color="auto" w:fill="F4F7FB"/>
          </w:tcPr>
          <w:p>
            <w:pPr>
              <w:spacing w:after="0"/>
            </w:pPr>
            <w:r/>
            <w:r>
              <w:rPr>
                <w:rFonts w:ascii="맑은 고딕" w:hAnsi="맑은 고딕" w:eastAsia="맑은 고딕" w:cs="맑은 고딕"/>
                <w:b w:val="0"/>
                <w:sz w:val="18"/>
              </w:rPr>
              <w:t>61초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2.1 융합의 단계 모형과 하이브리드 본딩</w:t>
            </w:r>
          </w:p>
        </w:tc>
        <w:tc>
          <w:tcPr>
            <w:tcW w:type="dxa" w:w="1247"/>
          </w:tcPr>
          <w:p>
            <w:pPr>
              <w:spacing w:after="0"/>
            </w:pPr>
            <w:r/>
            <w:r>
              <w:rPr>
                <w:rFonts w:ascii="맑은 고딕" w:hAnsi="맑은 고딕" w:eastAsia="맑은 고딕" w:cs="맑은 고딕"/>
                <w:b w:val="0"/>
                <w:sz w:val="18"/>
              </w:rPr>
              <w:t>5'33</w:t>
            </w:r>
          </w:p>
        </w:tc>
        <w:tc>
          <w:tcPr>
            <w:tcW w:type="dxa" w:w="1247"/>
          </w:tcPr>
          <w:p>
            <w:pPr>
              <w:spacing w:after="0"/>
            </w:pPr>
            <w:r/>
            <w:r>
              <w:rPr>
                <w:rFonts w:ascii="맑은 고딕" w:hAnsi="맑은 고딕" w:eastAsia="맑은 고딕" w:cs="맑은 고딕"/>
                <w:b w:val="0"/>
                <w:sz w:val="18"/>
              </w:rPr>
              <w:t>52초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2.2 수직 전문화와 지식 경계</w:t>
            </w:r>
          </w:p>
        </w:tc>
        <w:tc>
          <w:tcPr>
            <w:tcW w:type="dxa" w:w="1247"/>
            <w:shd w:val="clear" w:color="auto" w:fill="F4F7FB"/>
          </w:tcPr>
          <w:p>
            <w:pPr>
              <w:spacing w:after="0"/>
            </w:pPr>
            <w:r/>
            <w:r>
              <w:rPr>
                <w:rFonts w:ascii="맑은 고딕" w:hAnsi="맑은 고딕" w:eastAsia="맑은 고딕" w:cs="맑은 고딕"/>
                <w:b w:val="0"/>
                <w:sz w:val="18"/>
              </w:rPr>
              <w:t>6'25</w:t>
            </w:r>
          </w:p>
        </w:tc>
        <w:tc>
          <w:tcPr>
            <w:tcW w:type="dxa" w:w="1247"/>
            <w:shd w:val="clear" w:color="auto" w:fill="F4F7FB"/>
          </w:tcPr>
          <w:p>
            <w:pPr>
              <w:spacing w:after="0"/>
            </w:pPr>
            <w:r/>
            <w:r>
              <w:rPr>
                <w:rFonts w:ascii="맑은 고딕" w:hAnsi="맑은 고딕" w:eastAsia="맑은 고딕" w:cs="맑은 고딕"/>
                <w:b w:val="0"/>
                <w:sz w:val="18"/>
              </w:rPr>
              <w:t>59초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2.3 기술 순환 모형과 핵심–주변 구조</w:t>
            </w:r>
          </w:p>
        </w:tc>
        <w:tc>
          <w:tcPr>
            <w:tcW w:type="dxa" w:w="1247"/>
          </w:tcPr>
          <w:p>
            <w:pPr>
              <w:spacing w:after="0"/>
            </w:pPr>
            <w:r/>
            <w:r>
              <w:rPr>
                <w:rFonts w:ascii="맑은 고딕" w:hAnsi="맑은 고딕" w:eastAsia="맑은 고딕" w:cs="맑은 고딕"/>
                <w:b w:val="0"/>
                <w:sz w:val="18"/>
              </w:rPr>
              <w:t>7'24</w:t>
            </w:r>
          </w:p>
        </w:tc>
        <w:tc>
          <w:tcPr>
            <w:tcW w:type="dxa" w:w="1247"/>
          </w:tcPr>
          <w:p>
            <w:pPr>
              <w:spacing w:after="0"/>
            </w:pPr>
            <w:r/>
            <w:r>
              <w:rPr>
                <w:rFonts w:ascii="맑은 고딕" w:hAnsi="맑은 고딕" w:eastAsia="맑은 고딕" w:cs="맑은 고딕"/>
                <w:b w:val="0"/>
                <w:sz w:val="18"/>
              </w:rPr>
              <w:t>51초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Chapter 2  Summary</w:t>
            </w:r>
          </w:p>
        </w:tc>
        <w:tc>
          <w:tcPr>
            <w:tcW w:type="dxa" w:w="1247"/>
            <w:shd w:val="clear" w:color="auto" w:fill="F4F7FB"/>
          </w:tcPr>
          <w:p>
            <w:pPr>
              <w:spacing w:after="0"/>
            </w:pPr>
            <w:r/>
            <w:r>
              <w:rPr>
                <w:rFonts w:ascii="맑은 고딕" w:hAnsi="맑은 고딕" w:eastAsia="맑은 고딕" w:cs="맑은 고딕"/>
                <w:b w:val="0"/>
                <w:sz w:val="18"/>
              </w:rPr>
              <w:t>8'15</w:t>
            </w:r>
          </w:p>
        </w:tc>
        <w:tc>
          <w:tcPr>
            <w:tcW w:type="dxa" w:w="1247"/>
            <w:shd w:val="clear" w:color="auto" w:fill="F4F7FB"/>
          </w:tcPr>
          <w:p>
            <w:pPr>
              <w:spacing w:after="0"/>
            </w:pPr>
            <w:r/>
            <w:r>
              <w:rPr>
                <w:rFonts w:ascii="맑은 고딕" w:hAnsi="맑은 고딕" w:eastAsia="맑은 고딕" w:cs="맑은 고딕"/>
                <w:b w:val="0"/>
                <w:sz w:val="18"/>
              </w:rPr>
              <w:t>33초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3.1 RQ1) 공정 단계 간 융합의 수준과 유형</w:t>
            </w:r>
          </w:p>
        </w:tc>
        <w:tc>
          <w:tcPr>
            <w:tcW w:type="dxa" w:w="1247"/>
          </w:tcPr>
          <w:p>
            <w:pPr>
              <w:spacing w:after="0"/>
            </w:pPr>
            <w:r/>
            <w:r>
              <w:rPr>
                <w:rFonts w:ascii="맑은 고딕" w:hAnsi="맑은 고딕" w:eastAsia="맑은 고딕" w:cs="맑은 고딕"/>
                <w:b w:val="0"/>
                <w:sz w:val="18"/>
              </w:rPr>
              <w:t>8'48</w:t>
            </w:r>
          </w:p>
        </w:tc>
        <w:tc>
          <w:tcPr>
            <w:tcW w:type="dxa" w:w="1247"/>
          </w:tcPr>
          <w:p>
            <w:pPr>
              <w:spacing w:after="0"/>
            </w:pPr>
            <w:r/>
            <w:r>
              <w:rPr>
                <w:rFonts w:ascii="맑은 고딕" w:hAnsi="맑은 고딕" w:eastAsia="맑은 고딕" w:cs="맑은 고딕"/>
                <w:b w:val="0"/>
                <w:sz w:val="18"/>
              </w:rPr>
              <w:t>49초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3.1 RQ2) 공정 단계 간 융합의 시간적 변화</w:t>
            </w:r>
          </w:p>
        </w:tc>
        <w:tc>
          <w:tcPr>
            <w:tcW w:type="dxa" w:w="1247"/>
            <w:shd w:val="clear" w:color="auto" w:fill="F4F7FB"/>
          </w:tcPr>
          <w:p>
            <w:pPr>
              <w:spacing w:after="0"/>
            </w:pPr>
            <w:r/>
            <w:r>
              <w:rPr>
                <w:rFonts w:ascii="맑은 고딕" w:hAnsi="맑은 고딕" w:eastAsia="맑은 고딕" w:cs="맑은 고딕"/>
                <w:b w:val="0"/>
                <w:sz w:val="18"/>
              </w:rPr>
              <w:t>9'37</w:t>
            </w:r>
          </w:p>
        </w:tc>
        <w:tc>
          <w:tcPr>
            <w:tcW w:type="dxa" w:w="1247"/>
            <w:shd w:val="clear" w:color="auto" w:fill="F4F7FB"/>
          </w:tcPr>
          <w:p>
            <w:pPr>
              <w:spacing w:after="0"/>
            </w:pPr>
            <w:r/>
            <w:r>
              <w:rPr>
                <w:rFonts w:ascii="맑은 고딕" w:hAnsi="맑은 고딕" w:eastAsia="맑은 고딕" w:cs="맑은 고딕"/>
                <w:b w:val="0"/>
                <w:sz w:val="18"/>
              </w:rPr>
              <w:t>57초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3.1 RQ3) 공정 단계 간 융합의 구조적 중심 변화</w:t>
            </w:r>
          </w:p>
        </w:tc>
        <w:tc>
          <w:tcPr>
            <w:tcW w:type="dxa" w:w="1247"/>
          </w:tcPr>
          <w:p>
            <w:pPr>
              <w:spacing w:after="0"/>
            </w:pPr>
            <w:r/>
            <w:r>
              <w:rPr>
                <w:rFonts w:ascii="맑은 고딕" w:hAnsi="맑은 고딕" w:eastAsia="맑은 고딕" w:cs="맑은 고딕"/>
                <w:b w:val="0"/>
                <w:sz w:val="18"/>
              </w:rPr>
              <w:t>10'34</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11'16</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3.2 분석 대상: 하이브리드 본딩 기술과 산업</w:t>
            </w:r>
          </w:p>
        </w:tc>
        <w:tc>
          <w:tcPr>
            <w:tcW w:type="dxa" w:w="1247"/>
          </w:tcPr>
          <w:p>
            <w:pPr>
              <w:spacing w:after="0"/>
            </w:pPr>
            <w:r/>
            <w:r>
              <w:rPr>
                <w:rFonts w:ascii="맑은 고딕" w:hAnsi="맑은 고딕" w:eastAsia="맑은 고딕" w:cs="맑은 고딕"/>
                <w:b w:val="0"/>
                <w:sz w:val="18"/>
              </w:rPr>
              <w:t>11'36</w:t>
            </w:r>
          </w:p>
        </w:tc>
        <w:tc>
          <w:tcPr>
            <w:tcW w:type="dxa" w:w="1247"/>
          </w:tcPr>
          <w:p>
            <w:pPr>
              <w:spacing w:after="0"/>
            </w:pPr>
            <w:r/>
            <w:r>
              <w:rPr>
                <w:rFonts w:ascii="맑은 고딕" w:hAnsi="맑은 고딕" w:eastAsia="맑은 고딕" w:cs="맑은 고딕"/>
                <w:b w:val="0"/>
                <w:sz w:val="18"/>
              </w:rPr>
              <w:t>56초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3.2 분석 데이터: PATSTAT 하이브리드 본딩 관련 출원</w:t>
            </w:r>
          </w:p>
        </w:tc>
        <w:tc>
          <w:tcPr>
            <w:tcW w:type="dxa" w:w="1247"/>
            <w:shd w:val="clear" w:color="auto" w:fill="F4F7FB"/>
          </w:tcPr>
          <w:p>
            <w:pPr>
              <w:spacing w:after="0"/>
            </w:pPr>
            <w:r/>
            <w:r>
              <w:rPr>
                <w:rFonts w:ascii="맑은 고딕" w:hAnsi="맑은 고딕" w:eastAsia="맑은 고딕" w:cs="맑은 고딕"/>
                <w:b w:val="0"/>
                <w:sz w:val="18"/>
              </w:rPr>
              <w:t>12'32</w:t>
            </w:r>
          </w:p>
        </w:tc>
        <w:tc>
          <w:tcPr>
            <w:tcW w:type="dxa" w:w="1247"/>
            <w:shd w:val="clear" w:color="auto" w:fill="F4F7FB"/>
          </w:tcPr>
          <w:p>
            <w:pPr>
              <w:spacing w:after="0"/>
            </w:pPr>
            <w:r/>
            <w:r>
              <w:rPr>
                <w:rFonts w:ascii="맑은 고딕" w:hAnsi="맑은 고딕" w:eastAsia="맑은 고딕" w:cs="맑은 고딕"/>
                <w:b w:val="0"/>
                <w:sz w:val="18"/>
              </w:rPr>
              <w:t>48초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3.2 검색 전략과 자료의 특성</w:t>
            </w:r>
          </w:p>
        </w:tc>
        <w:tc>
          <w:tcPr>
            <w:tcW w:type="dxa" w:w="1247"/>
          </w:tcPr>
          <w:p>
            <w:pPr>
              <w:spacing w:after="0"/>
            </w:pPr>
            <w:r/>
            <w:r>
              <w:rPr>
                <w:rFonts w:ascii="맑은 고딕" w:hAnsi="맑은 고딕" w:eastAsia="맑은 고딕" w:cs="맑은 고딕"/>
                <w:b w:val="0"/>
                <w:sz w:val="18"/>
              </w:rPr>
              <w:t>13'20</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14'05</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3.3 측정: 실제 출원의 CPC 기호</w:t>
            </w:r>
          </w:p>
        </w:tc>
        <w:tc>
          <w:tcPr>
            <w:tcW w:type="dxa" w:w="1247"/>
          </w:tcPr>
          <w:p>
            <w:pPr>
              <w:spacing w:after="0"/>
            </w:pPr>
            <w:r/>
            <w:r>
              <w:rPr>
                <w:rFonts w:ascii="맑은 고딕" w:hAnsi="맑은 고딕" w:eastAsia="맑은 고딕" w:cs="맑은 고딕"/>
                <w:b w:val="0"/>
                <w:sz w:val="18"/>
              </w:rPr>
              <w:t>14'39</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3.3 측정: 핵심 기술의 식별</w:t>
            </w:r>
          </w:p>
        </w:tc>
        <w:tc>
          <w:tcPr>
            <w:tcW w:type="dxa" w:w="1247"/>
            <w:shd w:val="clear" w:color="auto" w:fill="F4F7FB"/>
          </w:tcPr>
          <w:p>
            <w:pPr>
              <w:spacing w:after="0"/>
            </w:pPr>
            <w:r/>
            <w:r>
              <w:rPr>
                <w:rFonts w:ascii="맑은 고딕" w:hAnsi="맑은 고딕" w:eastAsia="맑은 고딕" w:cs="맑은 고딕"/>
                <w:b w:val="0"/>
                <w:sz w:val="18"/>
              </w:rPr>
              <w:t>15'20</w:t>
            </w:r>
          </w:p>
        </w:tc>
        <w:tc>
          <w:tcPr>
            <w:tcW w:type="dxa" w:w="1247"/>
            <w:shd w:val="clear" w:color="auto" w:fill="F4F7FB"/>
          </w:tcPr>
          <w:p>
            <w:pPr>
              <w:spacing w:after="0"/>
            </w:pPr>
            <w:r/>
            <w:r>
              <w:rPr>
                <w:rFonts w:ascii="맑은 고딕" w:hAnsi="맑은 고딕" w:eastAsia="맑은 고딕" w:cs="맑은 고딕"/>
                <w:b w:val="0"/>
                <w:sz w:val="18"/>
              </w:rPr>
              <w:t>41초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3.4 분석 방법</w:t>
            </w:r>
          </w:p>
        </w:tc>
        <w:tc>
          <w:tcPr>
            <w:tcW w:type="dxa" w:w="1247"/>
          </w:tcPr>
          <w:p>
            <w:pPr>
              <w:spacing w:after="0"/>
            </w:pPr>
            <w:r/>
            <w:r>
              <w:rPr>
                <w:rFonts w:ascii="맑은 고딕" w:hAnsi="맑은 고딕" w:eastAsia="맑은 고딕" w:cs="맑은 고딕"/>
                <w:b w:val="0"/>
                <w:sz w:val="18"/>
              </w:rPr>
              <w:t>16'01</w:t>
            </w:r>
          </w:p>
        </w:tc>
        <w:tc>
          <w:tcPr>
            <w:tcW w:type="dxa" w:w="1247"/>
          </w:tcPr>
          <w:p>
            <w:pPr>
              <w:spacing w:after="0"/>
            </w:pPr>
            <w:r/>
            <w:r>
              <w:rPr>
                <w:rFonts w:ascii="맑은 고딕" w:hAnsi="맑은 고딕" w:eastAsia="맑은 고딕" w:cs="맑은 고딕"/>
                <w:b w:val="0"/>
                <w:sz w:val="18"/>
              </w:rPr>
              <w:t>55초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4.1 RQ1) 융합의 수준</w:t>
            </w:r>
          </w:p>
        </w:tc>
        <w:tc>
          <w:tcPr>
            <w:tcW w:type="dxa" w:w="1247"/>
            <w:shd w:val="clear" w:color="auto" w:fill="F4F7FB"/>
          </w:tcPr>
          <w:p>
            <w:pPr>
              <w:spacing w:after="0"/>
            </w:pPr>
            <w:r/>
            <w:r>
              <w:rPr>
                <w:rFonts w:ascii="맑은 고딕" w:hAnsi="맑은 고딕" w:eastAsia="맑은 고딕" w:cs="맑은 고딕"/>
                <w:b w:val="0"/>
                <w:sz w:val="18"/>
              </w:rPr>
              <w:t>16'56</w:t>
            </w:r>
          </w:p>
        </w:tc>
        <w:tc>
          <w:tcPr>
            <w:tcW w:type="dxa" w:w="1247"/>
            <w:shd w:val="clear" w:color="auto" w:fill="F4F7FB"/>
          </w:tcPr>
          <w:p>
            <w:pPr>
              <w:spacing w:after="0"/>
            </w:pPr>
            <w:r/>
            <w:r>
              <w:rPr>
                <w:rFonts w:ascii="맑은 고딕" w:hAnsi="맑은 고딕" w:eastAsia="맑은 고딕" w:cs="맑은 고딕"/>
                <w:b w:val="0"/>
                <w:sz w:val="18"/>
              </w:rPr>
              <w:t>37초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4.1 RQ1) 융합의 형태: 기술범위와 통합형</w:t>
            </w:r>
          </w:p>
        </w:tc>
        <w:tc>
          <w:tcPr>
            <w:tcW w:type="dxa" w:w="1247"/>
          </w:tcPr>
          <w:p>
            <w:pPr>
              <w:spacing w:after="0"/>
            </w:pPr>
            <w:r/>
            <w:r>
              <w:rPr>
                <w:rFonts w:ascii="맑은 고딕" w:hAnsi="맑은 고딕" w:eastAsia="맑은 고딕" w:cs="맑은 고딕"/>
                <w:b w:val="0"/>
                <w:sz w:val="18"/>
              </w:rPr>
              <w:t>17'33</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4.2 RQ2) 융합의 시간적 변화: 세 국면</w:t>
            </w:r>
          </w:p>
        </w:tc>
        <w:tc>
          <w:tcPr>
            <w:tcW w:type="dxa" w:w="1247"/>
            <w:shd w:val="clear" w:color="auto" w:fill="F4F7FB"/>
          </w:tcPr>
          <w:p>
            <w:pPr>
              <w:spacing w:after="0"/>
            </w:pPr>
            <w:r/>
            <w:r>
              <w:rPr>
                <w:rFonts w:ascii="맑은 고딕" w:hAnsi="맑은 고딕" w:eastAsia="맑은 고딕" w:cs="맑은 고딕"/>
                <w:b w:val="0"/>
                <w:sz w:val="18"/>
              </w:rPr>
              <w:t>18'14</w:t>
            </w:r>
          </w:p>
        </w:tc>
        <w:tc>
          <w:tcPr>
            <w:tcW w:type="dxa" w:w="1247"/>
            <w:shd w:val="clear" w:color="auto" w:fill="F4F7FB"/>
          </w:tcPr>
          <w:p>
            <w:pPr>
              <w:spacing w:after="0"/>
            </w:pPr>
            <w:r/>
            <w:r>
              <w:rPr>
                <w:rFonts w:ascii="맑은 고딕" w:hAnsi="맑은 고딕" w:eastAsia="맑은 고딕" w:cs="맑은 고딕"/>
                <w:b w:val="0"/>
                <w:sz w:val="18"/>
              </w:rPr>
              <w:t>46초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4.2 RQ2) 출원의 무게중심 이동</w:t>
            </w:r>
          </w:p>
        </w:tc>
        <w:tc>
          <w:tcPr>
            <w:tcW w:type="dxa" w:w="1247"/>
          </w:tcPr>
          <w:p>
            <w:pPr>
              <w:spacing w:after="0"/>
            </w:pPr>
            <w:r/>
            <w:r>
              <w:rPr>
                <w:rFonts w:ascii="맑은 고딕" w:hAnsi="맑은 고딕" w:eastAsia="맑은 고딕" w:cs="맑은 고딕"/>
                <w:b w:val="0"/>
                <w:sz w:val="18"/>
              </w:rPr>
              <w:t>19'00</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4.3 형성기: 전공정 지식의 축적</w:t>
            </w:r>
          </w:p>
        </w:tc>
        <w:tc>
          <w:tcPr>
            <w:tcW w:type="dxa" w:w="1247"/>
            <w:shd w:val="clear" w:color="auto" w:fill="F4F7FB"/>
          </w:tcPr>
          <w:p>
            <w:pPr>
              <w:spacing w:after="0"/>
            </w:pPr>
            <w:r/>
            <w:r>
              <w:rPr>
                <w:rFonts w:ascii="맑은 고딕" w:hAnsi="맑은 고딕" w:eastAsia="맑은 고딕" w:cs="맑은 고딕"/>
                <w:b w:val="0"/>
                <w:sz w:val="18"/>
              </w:rPr>
              <w:t>19'42</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4.3 확산기: 두 지식의 결합</w:t>
            </w:r>
          </w:p>
        </w:tc>
        <w:tc>
          <w:tcPr>
            <w:tcW w:type="dxa" w:w="1247"/>
          </w:tcPr>
          <w:p>
            <w:pPr>
              <w:spacing w:after="0"/>
            </w:pPr>
            <w:r/>
            <w:r>
              <w:rPr>
                <w:rFonts w:ascii="맑은 고딕" w:hAnsi="맑은 고딕" w:eastAsia="맑은 고딕" w:cs="맑은 고딕"/>
                <w:b w:val="0"/>
                <w:sz w:val="18"/>
              </w:rPr>
              <w:t>20'26</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4.3 재편기: 융합이 줄어든 역설</w:t>
            </w:r>
          </w:p>
        </w:tc>
        <w:tc>
          <w:tcPr>
            <w:tcW w:type="dxa" w:w="1247"/>
            <w:shd w:val="clear" w:color="auto" w:fill="F4F7FB"/>
          </w:tcPr>
          <w:p>
            <w:pPr>
              <w:spacing w:after="0"/>
            </w:pPr>
            <w:r/>
            <w:r>
              <w:rPr>
                <w:rFonts w:ascii="맑은 고딕" w:hAnsi="맑은 고딕" w:eastAsia="맑은 고딕" w:cs="맑은 고딕"/>
                <w:b w:val="0"/>
                <w:sz w:val="18"/>
              </w:rPr>
              <w:t>21'05</w:t>
            </w:r>
          </w:p>
        </w:tc>
        <w:tc>
          <w:tcPr>
            <w:tcW w:type="dxa" w:w="1247"/>
            <w:shd w:val="clear" w:color="auto" w:fill="F4F7FB"/>
          </w:tcPr>
          <w:p>
            <w:pPr>
              <w:spacing w:after="0"/>
            </w:pPr>
            <w:r/>
            <w:r>
              <w:rPr>
                <w:rFonts w:ascii="맑은 고딕" w:hAnsi="맑은 고딕" w:eastAsia="맑은 고딕" w:cs="맑은 고딕"/>
                <w:b w:val="0"/>
                <w:sz w:val="18"/>
              </w:rPr>
              <w:t>30초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4.3 RQ3) 핵심 기술의 경계 넘기 우위</w:t>
            </w:r>
          </w:p>
        </w:tc>
        <w:tc>
          <w:tcPr>
            <w:tcW w:type="dxa" w:w="1247"/>
          </w:tcPr>
          <w:p>
            <w:pPr>
              <w:spacing w:after="0"/>
            </w:pPr>
            <w:r/>
            <w:r>
              <w:rPr>
                <w:rFonts w:ascii="맑은 고딕" w:hAnsi="맑은 고딕" w:eastAsia="맑은 고딕" w:cs="맑은 고딕"/>
                <w:b w:val="0"/>
                <w:sz w:val="18"/>
              </w:rPr>
              <w:t>21'34</w:t>
            </w:r>
          </w:p>
        </w:tc>
        <w:tc>
          <w:tcPr>
            <w:tcW w:type="dxa" w:w="1247"/>
          </w:tcPr>
          <w:p>
            <w:pPr>
              <w:spacing w:after="0"/>
            </w:pPr>
            <w:r/>
            <w:r>
              <w:rPr>
                <w:rFonts w:ascii="맑은 고딕" w:hAnsi="맑은 고딕" w:eastAsia="맑은 고딕" w:cs="맑은 고딕"/>
                <w:b w:val="0"/>
                <w:sz w:val="18"/>
              </w:rPr>
              <w:t>52초</w:t>
            </w:r>
          </w:p>
        </w:tc>
      </w:tr>
      <w:tr>
        <w:tc>
          <w:tcPr>
            <w:tcW w:type="dxa" w:w="907"/>
            <w:shd w:val="clear" w:color="auto" w:fill="F4F7FB"/>
          </w:tcPr>
          <w:p>
            <w:pPr>
              <w:spacing w:after="0"/>
            </w:pPr>
            <w:r/>
            <w:r>
              <w:rPr>
                <w:rFonts w:ascii="맑은 고딕" w:hAnsi="맑은 고딕" w:eastAsia="맑은 고딕" w:cs="맑은 고딕"/>
                <w:b/>
                <w:sz w:val="18"/>
              </w:rPr>
              <w:t>32</w:t>
            </w:r>
          </w:p>
        </w:tc>
        <w:tc>
          <w:tcPr>
            <w:tcW w:type="dxa" w:w="6009"/>
            <w:shd w:val="clear" w:color="auto" w:fill="F4F7FB"/>
          </w:tcPr>
          <w:p>
            <w:pPr>
              <w:spacing w:after="0"/>
            </w:pPr>
            <w:r/>
            <w:r>
              <w:rPr>
                <w:rFonts w:ascii="맑은 고딕" w:hAnsi="맑은 고딕" w:eastAsia="맑은 고딕" w:cs="맑은 고딕"/>
                <w:b w:val="0"/>
                <w:sz w:val="18"/>
              </w:rPr>
              <w:t>4.4 해석: 지배적 설계의 고착화와 인터페이스 안정화</w:t>
            </w:r>
          </w:p>
        </w:tc>
        <w:tc>
          <w:tcPr>
            <w:tcW w:type="dxa" w:w="1247"/>
            <w:shd w:val="clear" w:color="auto" w:fill="F4F7FB"/>
          </w:tcPr>
          <w:p>
            <w:pPr>
              <w:spacing w:after="0"/>
            </w:pPr>
            <w:r/>
            <w:r>
              <w:rPr>
                <w:rFonts w:ascii="맑은 고딕" w:hAnsi="맑은 고딕" w:eastAsia="맑은 고딕" w:cs="맑은 고딕"/>
                <w:b w:val="0"/>
                <w:sz w:val="18"/>
              </w:rPr>
              <w:t>22'27</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33</w:t>
            </w:r>
          </w:p>
        </w:tc>
        <w:tc>
          <w:tcPr>
            <w:tcW w:type="dxa" w:w="6009"/>
          </w:tcPr>
          <w:p>
            <w:pPr>
              <w:spacing w:after="0"/>
            </w:pPr>
            <w:r/>
            <w:r>
              <w:rPr>
                <w:rFonts w:ascii="맑은 고딕" w:hAnsi="맑은 고딕" w:eastAsia="맑은 고딕" w:cs="맑은 고딕"/>
                <w:b w:val="0"/>
                <w:sz w:val="18"/>
              </w:rPr>
              <w:t>4.5 RQ3) 결합 중심의 이동</w:t>
            </w:r>
          </w:p>
        </w:tc>
        <w:tc>
          <w:tcPr>
            <w:tcW w:type="dxa" w:w="1247"/>
          </w:tcPr>
          <w:p>
            <w:pPr>
              <w:spacing w:after="0"/>
            </w:pPr>
            <w:r/>
            <w:r>
              <w:rPr>
                <w:rFonts w:ascii="맑은 고딕" w:hAnsi="맑은 고딕" w:eastAsia="맑은 고딕" w:cs="맑은 고딕"/>
                <w:b w:val="0"/>
                <w:sz w:val="18"/>
              </w:rPr>
              <w:t>23'10</w:t>
            </w:r>
          </w:p>
        </w:tc>
        <w:tc>
          <w:tcPr>
            <w:tcW w:type="dxa" w:w="1247"/>
          </w:tcPr>
          <w:p>
            <w:pPr>
              <w:spacing w:after="0"/>
            </w:pPr>
            <w:r/>
            <w:r>
              <w:rPr>
                <w:rFonts w:ascii="맑은 고딕" w:hAnsi="맑은 고딕" w:eastAsia="맑은 고딕" w:cs="맑은 고딕"/>
                <w:b w:val="0"/>
                <w:sz w:val="18"/>
              </w:rPr>
              <w:t>39초</w:t>
            </w:r>
          </w:p>
        </w:tc>
      </w:tr>
      <w:tr>
        <w:tc>
          <w:tcPr>
            <w:tcW w:type="dxa" w:w="907"/>
            <w:shd w:val="clear" w:color="auto" w:fill="F4F7FB"/>
          </w:tcPr>
          <w:p>
            <w:pPr>
              <w:spacing w:after="0"/>
            </w:pPr>
            <w:r/>
            <w:r>
              <w:rPr>
                <w:rFonts w:ascii="맑은 고딕" w:hAnsi="맑은 고딕" w:eastAsia="맑은 고딕" w:cs="맑은 고딕"/>
                <w:b/>
                <w:sz w:val="18"/>
              </w:rPr>
              <w:t>34</w:t>
            </w:r>
          </w:p>
        </w:tc>
        <w:tc>
          <w:tcPr>
            <w:tcW w:type="dxa" w:w="6009"/>
            <w:shd w:val="clear" w:color="auto" w:fill="F4F7FB"/>
          </w:tcPr>
          <w:p>
            <w:pPr>
              <w:spacing w:after="0"/>
            </w:pPr>
            <w:r/>
            <w:r>
              <w:rPr>
                <w:rFonts w:ascii="맑은 고딕" w:hAnsi="맑은 고딕" w:eastAsia="맑은 고딕" w:cs="맑은 고딕"/>
                <w:b w:val="0"/>
                <w:sz w:val="18"/>
              </w:rPr>
              <w:t>4.5 RQ3) 결합 강도와 매개 중심성</w:t>
            </w:r>
          </w:p>
        </w:tc>
        <w:tc>
          <w:tcPr>
            <w:tcW w:type="dxa" w:w="1247"/>
            <w:shd w:val="clear" w:color="auto" w:fill="F4F7FB"/>
          </w:tcPr>
          <w:p>
            <w:pPr>
              <w:spacing w:after="0"/>
            </w:pPr>
            <w:r/>
            <w:r>
              <w:rPr>
                <w:rFonts w:ascii="맑은 고딕" w:hAnsi="맑은 고딕" w:eastAsia="맑은 고딕" w:cs="맑은 고딕"/>
                <w:b w:val="0"/>
                <w:sz w:val="18"/>
              </w:rPr>
              <w:t>23'49</w:t>
            </w:r>
          </w:p>
        </w:tc>
        <w:tc>
          <w:tcPr>
            <w:tcW w:type="dxa" w:w="1247"/>
            <w:shd w:val="clear" w:color="auto" w:fill="F4F7FB"/>
          </w:tcPr>
          <w:p>
            <w:pPr>
              <w:spacing w:after="0"/>
            </w:pPr>
            <w:r/>
            <w:r>
              <w:rPr>
                <w:rFonts w:ascii="맑은 고딕" w:hAnsi="맑은 고딕" w:eastAsia="맑은 고딕" w:cs="맑은 고딕"/>
                <w:b w:val="0"/>
                <w:sz w:val="18"/>
              </w:rPr>
              <w:t>55초</w:t>
            </w:r>
          </w:p>
        </w:tc>
      </w:tr>
      <w:tr>
        <w:tc>
          <w:tcPr>
            <w:tcW w:type="dxa" w:w="907"/>
          </w:tcPr>
          <w:p>
            <w:pPr>
              <w:spacing w:after="0"/>
            </w:pPr>
            <w:r/>
            <w:r>
              <w:rPr>
                <w:rFonts w:ascii="맑은 고딕" w:hAnsi="맑은 고딕" w:eastAsia="맑은 고딕" w:cs="맑은 고딕"/>
                <w:b/>
                <w:sz w:val="18"/>
              </w:rPr>
              <w:t>35</w:t>
            </w:r>
          </w:p>
        </w:tc>
        <w:tc>
          <w:tcPr>
            <w:tcW w:type="dxa" w:w="6009"/>
          </w:tcPr>
          <w:p>
            <w:pPr>
              <w:spacing w:after="0"/>
            </w:pPr>
            <w:r/>
            <w:r>
              <w:rPr>
                <w:rFonts w:ascii="맑은 고딕" w:hAnsi="맑은 고딕" w:eastAsia="맑은 고딕" w:cs="맑은 고딕"/>
                <w:b w:val="0"/>
                <w:sz w:val="18"/>
              </w:rPr>
              <w:t>4.6 강건성 검증</w:t>
            </w:r>
          </w:p>
        </w:tc>
        <w:tc>
          <w:tcPr>
            <w:tcW w:type="dxa" w:w="1247"/>
          </w:tcPr>
          <w:p>
            <w:pPr>
              <w:spacing w:after="0"/>
            </w:pPr>
            <w:r/>
            <w:r>
              <w:rPr>
                <w:rFonts w:ascii="맑은 고딕" w:hAnsi="맑은 고딕" w:eastAsia="맑은 고딕" w:cs="맑은 고딕"/>
                <w:b w:val="0"/>
                <w:sz w:val="18"/>
              </w:rPr>
              <w:t>24'44</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36</w:t>
            </w:r>
          </w:p>
        </w:tc>
        <w:tc>
          <w:tcPr>
            <w:tcW w:type="dxa" w:w="6009"/>
            <w:shd w:val="clear" w:color="auto" w:fill="F4F7FB"/>
          </w:tcPr>
          <w:p>
            <w:pPr>
              <w:spacing w:after="0"/>
            </w:pPr>
            <w:r/>
            <w:r>
              <w:rPr>
                <w:rFonts w:ascii="맑은 고딕" w:hAnsi="맑은 고딕" w:eastAsia="맑은 고딕" w:cs="맑은 고딕"/>
                <w:b w:val="0"/>
                <w:sz w:val="18"/>
              </w:rPr>
              <w:t>Chapter 4  Summary</w:t>
            </w:r>
          </w:p>
        </w:tc>
        <w:tc>
          <w:tcPr>
            <w:tcW w:type="dxa" w:w="1247"/>
            <w:shd w:val="clear" w:color="auto" w:fill="F4F7FB"/>
          </w:tcPr>
          <w:p>
            <w:pPr>
              <w:spacing w:after="0"/>
            </w:pPr>
            <w:r/>
            <w:r>
              <w:rPr>
                <w:rFonts w:ascii="맑은 고딕" w:hAnsi="맑은 고딕" w:eastAsia="맑은 고딕" w:cs="맑은 고딕"/>
                <w:b w:val="0"/>
                <w:sz w:val="18"/>
              </w:rPr>
              <w:t>25'27</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37</w:t>
            </w:r>
          </w:p>
        </w:tc>
        <w:tc>
          <w:tcPr>
            <w:tcW w:type="dxa" w:w="6009"/>
          </w:tcPr>
          <w:p>
            <w:pPr>
              <w:spacing w:after="0"/>
            </w:pPr>
            <w:r/>
            <w:r>
              <w:rPr>
                <w:rFonts w:ascii="맑은 고딕" w:hAnsi="맑은 고딕" w:eastAsia="맑은 고딕" w:cs="맑은 고딕"/>
                <w:b w:val="0"/>
                <w:sz w:val="18"/>
              </w:rPr>
              <w:t>5.1 연구 결과 요약 및 이론적 함의</w:t>
            </w:r>
          </w:p>
        </w:tc>
        <w:tc>
          <w:tcPr>
            <w:tcW w:type="dxa" w:w="1247"/>
          </w:tcPr>
          <w:p>
            <w:pPr>
              <w:spacing w:after="0"/>
            </w:pPr>
            <w:r/>
            <w:r>
              <w:rPr>
                <w:rFonts w:ascii="맑은 고딕" w:hAnsi="맑은 고딕" w:eastAsia="맑은 고딕" w:cs="맑은 고딕"/>
                <w:b w:val="0"/>
                <w:sz w:val="18"/>
              </w:rPr>
              <w:t>26'00</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38</w:t>
            </w:r>
          </w:p>
        </w:tc>
        <w:tc>
          <w:tcPr>
            <w:tcW w:type="dxa" w:w="6009"/>
            <w:shd w:val="clear" w:color="auto" w:fill="F4F7FB"/>
          </w:tcPr>
          <w:p>
            <w:pPr>
              <w:spacing w:after="0"/>
            </w:pPr>
            <w:r/>
            <w:r>
              <w:rPr>
                <w:rFonts w:ascii="맑은 고딕" w:hAnsi="맑은 고딕" w:eastAsia="맑은 고딕" w:cs="맑은 고딕"/>
                <w:b w:val="0"/>
                <w:sz w:val="18"/>
              </w:rPr>
              <w:t>5.2 산업적 함의: 흔들리는 분업의 인터페이스</w:t>
            </w:r>
          </w:p>
        </w:tc>
        <w:tc>
          <w:tcPr>
            <w:tcW w:type="dxa" w:w="1247"/>
            <w:shd w:val="clear" w:color="auto" w:fill="F4F7FB"/>
          </w:tcPr>
          <w:p>
            <w:pPr>
              <w:spacing w:after="0"/>
            </w:pPr>
            <w:r/>
            <w:r>
              <w:rPr>
                <w:rFonts w:ascii="맑은 고딕" w:hAnsi="맑은 고딕" w:eastAsia="맑은 고딕" w:cs="맑은 고딕"/>
                <w:b w:val="0"/>
                <w:sz w:val="18"/>
              </w:rPr>
              <w:t>26'45</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39</w:t>
            </w:r>
          </w:p>
        </w:tc>
        <w:tc>
          <w:tcPr>
            <w:tcW w:type="dxa" w:w="6009"/>
          </w:tcPr>
          <w:p>
            <w:pPr>
              <w:spacing w:after="0"/>
            </w:pPr>
            <w:r/>
            <w:r>
              <w:rPr>
                <w:rFonts w:ascii="맑은 고딕" w:hAnsi="맑은 고딕" w:eastAsia="맑은 고딕" w:cs="맑은 고딕"/>
                <w:b w:val="0"/>
                <w:sz w:val="18"/>
              </w:rPr>
              <w:t>5.3 실무적 시사점: 차세대 패키징을 준비하는 기업에</w:t>
            </w:r>
          </w:p>
        </w:tc>
        <w:tc>
          <w:tcPr>
            <w:tcW w:type="dxa" w:w="1247"/>
          </w:tcPr>
          <w:p>
            <w:pPr>
              <w:spacing w:after="0"/>
            </w:pPr>
            <w:r/>
            <w:r>
              <w:rPr>
                <w:rFonts w:ascii="맑은 고딕" w:hAnsi="맑은 고딕" w:eastAsia="맑은 고딕" w:cs="맑은 고딕"/>
                <w:b w:val="0"/>
                <w:sz w:val="18"/>
              </w:rPr>
              <w:t>27'23</w:t>
            </w:r>
          </w:p>
        </w:tc>
        <w:tc>
          <w:tcPr>
            <w:tcW w:type="dxa" w:w="1247"/>
          </w:tcPr>
          <w:p>
            <w:pPr>
              <w:spacing w:after="0"/>
            </w:pPr>
            <w:r/>
            <w:r>
              <w:rPr>
                <w:rFonts w:ascii="맑은 고딕" w:hAnsi="맑은 고딕" w:eastAsia="맑은 고딕" w:cs="맑은 고딕"/>
                <w:b w:val="0"/>
                <w:sz w:val="18"/>
              </w:rPr>
              <w:t>47초</w:t>
            </w:r>
          </w:p>
        </w:tc>
      </w:tr>
      <w:tr>
        <w:tc>
          <w:tcPr>
            <w:tcW w:type="dxa" w:w="907"/>
            <w:shd w:val="clear" w:color="auto" w:fill="F4F7FB"/>
          </w:tcPr>
          <w:p>
            <w:pPr>
              <w:spacing w:after="0"/>
            </w:pPr>
            <w:r/>
            <w:r>
              <w:rPr>
                <w:rFonts w:ascii="맑은 고딕" w:hAnsi="맑은 고딕" w:eastAsia="맑은 고딕" w:cs="맑은 고딕"/>
                <w:b/>
                <w:sz w:val="18"/>
              </w:rPr>
              <w:t>40</w:t>
            </w:r>
          </w:p>
        </w:tc>
        <w:tc>
          <w:tcPr>
            <w:tcW w:type="dxa" w:w="6009"/>
            <w:shd w:val="clear" w:color="auto" w:fill="F4F7FB"/>
          </w:tcPr>
          <w:p>
            <w:pPr>
              <w:spacing w:after="0"/>
            </w:pPr>
            <w:r/>
            <w:r>
              <w:rPr>
                <w:rFonts w:ascii="맑은 고딕" w:hAnsi="맑은 고딕" w:eastAsia="맑은 고딕" w:cs="맑은 고딕"/>
                <w:b w:val="0"/>
                <w:sz w:val="18"/>
              </w:rPr>
              <w:t>5.4 한계점과 향후 연구 방향</w:t>
            </w:r>
          </w:p>
        </w:tc>
        <w:tc>
          <w:tcPr>
            <w:tcW w:type="dxa" w:w="1247"/>
            <w:shd w:val="clear" w:color="auto" w:fill="F4F7FB"/>
          </w:tcPr>
          <w:p>
            <w:pPr>
              <w:spacing w:after="0"/>
            </w:pPr>
            <w:r/>
            <w:r>
              <w:rPr>
                <w:rFonts w:ascii="맑은 고딕" w:hAnsi="맑은 고딕" w:eastAsia="맑은 고딕" w:cs="맑은 고딕"/>
                <w:b w:val="0"/>
                <w:sz w:val="18"/>
              </w:rPr>
              <w:t>28'10</w:t>
            </w:r>
          </w:p>
        </w:tc>
        <w:tc>
          <w:tcPr>
            <w:tcW w:type="dxa" w:w="1247"/>
            <w:shd w:val="clear" w:color="auto" w:fill="F4F7FB"/>
          </w:tcPr>
          <w:p>
            <w:pPr>
              <w:spacing w:after="0"/>
            </w:pPr>
            <w:r/>
            <w:r>
              <w:rPr>
                <w:rFonts w:ascii="맑은 고딕" w:hAnsi="맑은 고딕" w:eastAsia="맑은 고딕" w:cs="맑은 고딕"/>
                <w:b w:val="0"/>
                <w:sz w:val="18"/>
              </w:rPr>
              <w:t>51초</w:t>
            </w:r>
          </w:p>
        </w:tc>
      </w:tr>
      <w:tr>
        <w:tc>
          <w:tcPr>
            <w:tcW w:type="dxa" w:w="907"/>
          </w:tcPr>
          <w:p>
            <w:pPr>
              <w:spacing w:after="0"/>
            </w:pPr>
            <w:r/>
            <w:r>
              <w:rPr>
                <w:rFonts w:ascii="맑은 고딕" w:hAnsi="맑은 고딕" w:eastAsia="맑은 고딕" w:cs="맑은 고딕"/>
                <w:b/>
                <w:sz w:val="18"/>
              </w:rPr>
              <w:t>41</w:t>
            </w:r>
          </w:p>
        </w:tc>
        <w:tc>
          <w:tcPr>
            <w:tcW w:type="dxa" w:w="6009"/>
          </w:tcPr>
          <w:p>
            <w:pPr>
              <w:spacing w:after="0"/>
            </w:pPr>
            <w:r/>
            <w:r>
              <w:rPr>
                <w:rFonts w:ascii="맑은 고딕" w:hAnsi="맑은 고딕" w:eastAsia="맑은 고딕" w:cs="맑은 고딕"/>
                <w:b w:val="0"/>
                <w:sz w:val="18"/>
              </w:rPr>
              <w:t>맺음말</w:t>
            </w:r>
          </w:p>
        </w:tc>
        <w:tc>
          <w:tcPr>
            <w:tcW w:type="dxa" w:w="1247"/>
          </w:tcPr>
          <w:p>
            <w:pPr>
              <w:spacing w:after="0"/>
            </w:pPr>
            <w:r/>
            <w:r>
              <w:rPr>
                <w:rFonts w:ascii="맑은 고딕" w:hAnsi="맑은 고딕" w:eastAsia="맑은 고딕" w:cs="맑은 고딕"/>
                <w:b w:val="0"/>
                <w:sz w:val="18"/>
              </w:rPr>
              <w:t>29'01</w:t>
            </w:r>
          </w:p>
        </w:tc>
        <w:tc>
          <w:tcPr>
            <w:tcW w:type="dxa" w:w="1247"/>
          </w:tcPr>
          <w:p>
            <w:pPr>
              <w:spacing w:after="0"/>
            </w:pPr>
            <w:r/>
            <w:r>
              <w:rPr>
                <w:rFonts w:ascii="맑은 고딕" w:hAnsi="맑은 고딕" w:eastAsia="맑은 고딕" w:cs="맑은 고딕"/>
                <w:b w:val="0"/>
                <w:sz w:val="18"/>
              </w:rPr>
              <w:t>22초</w:t>
            </w:r>
          </w:p>
        </w:tc>
      </w:tr>
      <w:tr>
        <w:tc>
          <w:tcPr>
            <w:tcW w:type="dxa" w:w="907"/>
            <w:shd w:val="clear" w:color="auto" w:fill="F4F7FB"/>
          </w:tcPr>
          <w:p>
            <w:pPr>
              <w:spacing w:after="0"/>
            </w:pPr>
            <w:r/>
            <w:r>
              <w:rPr>
                <w:rFonts w:ascii="맑은 고딕" w:hAnsi="맑은 고딕" w:eastAsia="맑은 고딕" w:cs="맑은 고딕"/>
                <w:b/>
                <w:sz w:val="18"/>
              </w:rPr>
              <w:t>42</w:t>
            </w:r>
          </w:p>
        </w:tc>
        <w:tc>
          <w:tcPr>
            <w:tcW w:type="dxa" w:w="6009"/>
            <w:shd w:val="clear" w:color="auto" w:fill="F4F7FB"/>
          </w:tcPr>
          <w:p>
            <w:pPr>
              <w:spacing w:after="0"/>
            </w:pPr>
            <w:r/>
            <w:r>
              <w:rPr>
                <w:rFonts w:ascii="맑은 고딕" w:hAnsi="맑은 고딕" w:eastAsia="맑은 고딕" w:cs="맑은 고딕"/>
                <w:b w:val="0"/>
                <w:sz w:val="18"/>
              </w:rPr>
              <w:t>Q&amp;A</w:t>
            </w:r>
          </w:p>
        </w:tc>
        <w:tc>
          <w:tcPr>
            <w:tcW w:type="dxa" w:w="1247"/>
            <w:shd w:val="clear" w:color="auto" w:fill="F4F7FB"/>
          </w:tcPr>
          <w:p>
            <w:pPr>
              <w:spacing w:after="0"/>
            </w:pPr>
            <w:r/>
            <w:r>
              <w:rPr>
                <w:rFonts w:ascii="맑은 고딕" w:hAnsi="맑은 고딕" w:eastAsia="맑은 고딕" w:cs="맑은 고딕"/>
                <w:b w:val="0"/>
                <w:sz w:val="18"/>
              </w:rPr>
              <w:t>29'23</w:t>
            </w:r>
          </w:p>
        </w:tc>
        <w:tc>
          <w:tcPr>
            <w:tcW w:type="dxa" w:w="1247"/>
            <w:shd w:val="clear" w:color="auto" w:fill="F4F7FB"/>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크게 두 단계로 나뉩니다. 웨이퍼 위에 트랜지스터를 만드는 전공정, 그리고 완성된 웨이퍼를 잘라 조립하고 패키징하는 후공정입니다. 전공정은 종합반도체기업과 파운드리의 팹에서, 후공정은 조립·테스트 전문업체에서 맡는 분업이 반세기 넘게 유지되어 왔습니다. 이 분업이 가능했던 것은 두 단계 사이의 인터페이스가 안정적이었기 때문입니다. 그런데 회로 선폭을 줄이는 미세화가 한계에 부딪히자, 산업은 다이를 나누고 쌓아 연결하는 첨단 패키징에서 새로운 성능 향상의 기회를 찾기 시작했고,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2'44</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가운데 그림처럼 기존의 범프 접합이 두 다이를 솔더라는 접착제로 붙이는 방식이라면, 하이브리드 본딩은 두 표면을 거울처럼 평평하게 갈아 그대로 맞붙이는 방식입니다. 덕분에 오른쪽의 후공정 목표, 즉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간격과 웨이퍼와 다이의 직접 적층을 구현합니다. 그런데 이 목표를 위해 필요한 왼쪽의 역량, 화학적 기계연마를 이용한 평탄화, 표면 활성화, 파티클 제어, 정밀 정렬은 후공정이 쌓아 온 역량이 아니라 전공정의 팹에서 다루어 온 제조공정 역량입니다. 후공정 기술의 성패를 전공정 역량이 좌우하게 된 것입니다. 반세기 동안 안정적이던 두 공정 단계의 경계가 흔들리고 있다는 뜻입니다.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3'41</w:t>
      </w:r>
    </w:p>
    <w:p>
      <w:pPr>
        <w:spacing w:after="120"/>
        <w:ind w:left="170"/>
      </w:pPr>
      <w:r>
        <w:rPr>
          <w:rFonts w:ascii="맑은 고딕" w:hAnsi="맑은 고딕" w:eastAsia="맑은 고딕" w:cs="맑은 고딕"/>
          <w:b w:val="0"/>
          <w:sz w:val="21"/>
        </w:rPr>
        <w:t>그래서 이 현상을 기술융합 연구에서 찾아보았습니다. 기술융합 연구는 오랫동안 축적되어 왔지만, 아쉬운 점이 세 가지 있었습니다. 첫째, 대부분 정보통신과 가전, 식품과 제약처럼 서로 다른 산업 사이의 융합을 다루었고, 한 산업 안에서 공정 단계를 가로지르는 융합은 드물었습니다. 둘째, 융합을 분야 수준의 지수로 측정하다 보니 어떤 발명이 융합을 담고 있는지는 설명하기 어려웠습니다. 셋째, 이론은 융합을 단계적 과정으로 보지만, 실증 연구는 융합의 정도가 늘었는지를 확인하는 데 머물렀습니다. 그래서 저는 한 산업의 공정 단계 사이에서 일어나는 융합을 개별 특허 수준에서, 시간의 흐름에 따라 분석하였습니다.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2.1 기술융합의 개념</w:t>
      </w:r>
      <w:r>
        <w:rPr>
          <w:rFonts w:ascii="맑은 고딕" w:hAnsi="맑은 고딕" w:eastAsia="맑은 고딕" w:cs="맑은 고딕"/>
          <w:b/>
          <w:color w:val="C9A227"/>
          <w:sz w:val="20"/>
        </w:rPr>
        <w:t xml:space="preserve">   4'32</w:t>
      </w:r>
    </w:p>
    <w:p>
      <w:pPr>
        <w:spacing w:after="120"/>
        <w:ind w:left="170"/>
      </w:pPr>
      <w:r>
        <w:rPr>
          <w:rFonts w:ascii="맑은 고딕" w:hAnsi="맑은 고딕" w:eastAsia="맑은 고딕" w:cs="맑은 고딕"/>
          <w:b w:val="0"/>
          <w:sz w:val="21"/>
        </w:rPr>
        <w:t xml:space="preserve">먼저 기술융합의 개념입니다. Rosenberg는 </w:t>
      </w:r>
      <w:r>
        <w:rPr>
          <w:rFonts w:ascii="맑은 고딕" w:hAnsi="맑은 고딕" w:eastAsia="맑은 고딕" w:cs="맑은 고딕"/>
          <w:b/>
          <w:sz w:val="21"/>
        </w:rPr>
        <w:t>19</w:t>
      </w:r>
      <w:r>
        <w:rPr>
          <w:rFonts w:ascii="맑은 고딕" w:hAnsi="맑은 고딕" w:eastAsia="맑은 고딕" w:cs="맑은 고딕"/>
          <w:b w:val="0"/>
          <w:sz w:val="21"/>
        </w:rPr>
        <w:t xml:space="preserve">세기 총기와 재봉틀을 위해 개발된 가공 기술이 공통의 생산공정을 통해 다른 산업으로 퍼져 나가고, 그 공정 지식을 축적한 공작기계 산업이 독립된 산업으로 등장한 과정을 기술적 수렴이라고 불렀습니다. Kodama는 분리된 기술 분야가 결합하여 어느 한쪽만으로는 갖지 못한 역량을 만드는 과정을 기술융합으로 정의했습니다. Hacklin 등은 융합이 단계적으로 진행된다는 단계 모형을 제시했습니다. 하이브리드 본딩에서도 두 공정 단계가 증착, 식각, 도금, 연마라는 공통의 공정과 장비를 공유하기 시작했고,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간격은 두 영역이 결합해야만 달성됩니다. 즉, 공정 단계 간 융합은 기술융합의 고전적 개념을 한 산업 내부의 공정 경계에 적용한 것입니다.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2.1 융합의 단계 모형과 하이브리드 본딩</w:t>
      </w:r>
      <w:r>
        <w:rPr>
          <w:rFonts w:ascii="맑은 고딕" w:hAnsi="맑은 고딕" w:eastAsia="맑은 고딕" w:cs="맑은 고딕"/>
          <w:b/>
          <w:color w:val="C9A227"/>
          <w:sz w:val="20"/>
        </w:rPr>
        <w:t xml:space="preserve">   5'33</w:t>
      </w:r>
    </w:p>
    <w:p>
      <w:pPr>
        <w:spacing w:after="120"/>
        <w:ind w:left="170"/>
      </w:pPr>
      <w:r>
        <w:rPr>
          <w:rFonts w:ascii="맑은 고딕" w:hAnsi="맑은 고딕" w:eastAsia="맑은 고딕" w:cs="맑은 고딕"/>
          <w:b w:val="0"/>
          <w:sz w:val="21"/>
        </w:rPr>
        <w:t>Hacklin 등은 융합이 지식 융합, 기술 융합, 응용 융합, 산업 융합의 네 단계로 진행된다고 보았습니다. 하이브리드 본딩에 대입해 보면, 평탄화나 표면 활성화 같은 제조공정 지식이 칩 연결 문제에 쓰이기 시작하는 것이 지식 융합, 그 지식이 접합 구조와 하나의 발명 안에서 결합되는 것이 기술 융합, 결합된 기술이 이미지센서나 HBM 같은 제품으로 구현되는 것이 응용 융합, 그리고 파운드리가 첨단 패키징을 내재화하는 것처럼 분업 구조가 바뀌는 것이 산업 융합입니다. 이 가운데 특허의 공동분류로 직접 관찰할 수 있는 것은 기술 융합 단계입니다. 응용 융합은 세 번째 연구 질문에서 간접적으로만 다루고, 산업 융합은 분석 범위 밖입니다.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6'25</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분리되면서 팹리스, 파운드리, 조립·테스트 전문업체가 등장한 대표적인 산업입니다. 그런데 Kapoor와 Adner는 </w:t>
      </w:r>
      <w:r>
        <w:rPr>
          <w:rFonts w:ascii="맑은 고딕" w:hAnsi="맑은 고딕" w:eastAsia="맑은 고딕" w:cs="맑은 고딕"/>
          <w:b/>
          <w:sz w:val="21"/>
        </w:rPr>
        <w:t>1974</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2005</w:t>
      </w:r>
      <w:r>
        <w:rPr>
          <w:rFonts w:ascii="맑은 고딕" w:hAnsi="맑은 고딕" w:eastAsia="맑은 고딕" w:cs="맑은 고딕"/>
          <w:b w:val="0"/>
          <w:sz w:val="21"/>
        </w:rPr>
        <w:t xml:space="preserve">년까지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분석하여, 외주화한 부품의 지식까지 보유한 비통합 기업이 기술 전환에서 성과 우위를 얻었음을 보였습니다. Brusoni 등도 구성요소 사이의 상호의존을 예측하기 어려울 때 기업은 직접 생산하는 범위보다 넓은 지식을 가져야 한다고 설명합니다. 즉, 생산의 경계와 지식의 경계는 다릅니다. 하이브리드 본딩처럼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7'24</w:t>
      </w:r>
    </w:p>
    <w:p>
      <w:pPr>
        <w:spacing w:after="120"/>
        <w:ind w:left="170"/>
      </w:pPr>
      <w:r>
        <w:rPr>
          <w:rFonts w:ascii="맑은 고딕" w:hAnsi="맑은 고딕" w:eastAsia="맑은 고딕" w:cs="맑은 고딕"/>
          <w:b w:val="0"/>
          <w:sz w:val="21"/>
        </w:rPr>
        <w:t>세 번째는 기술 순환 모형과 핵심–주변 구조입니다. Anderson과 Tushman에 따르면 새로운 기술은 여러 설계가 경쟁하는 격동기를 거쳐 하나의 지배적 설계로 수렴하고, 그 뒤에는 정해진 설계를 다듬는 점진적 변화가 이어집니다. Murmann과 Frenken은 지배적 설계를, 다른 요소와 안정된 인터페이스 역할을 하는 핵심 요소의 설계로 보았습니다. 핵심 설계가 안정되면 이후의 기술 변화는 그 인터페이스를 전제로 주변 요소에서 이어집니다. 도로에 비유하면, 규격이 정해지기 전에는 설계자와 시공자가 한 몸처럼 움직여야 하지만, 규격이 정해진 뒤에는 각자 그 규격을 전제로 일하게 되는 것과 같습니다.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Chapter 2  Summary</w:t>
      </w:r>
      <w:r>
        <w:rPr>
          <w:rFonts w:ascii="맑은 고딕" w:hAnsi="맑은 고딕" w:eastAsia="맑은 고딕" w:cs="맑은 고딕"/>
          <w:b/>
          <w:color w:val="C9A227"/>
          <w:sz w:val="20"/>
        </w:rPr>
        <w:t xml:space="preserve">   8'15</w:t>
      </w:r>
    </w:p>
    <w:p>
      <w:pPr>
        <w:spacing w:after="120"/>
        <w:ind w:left="170"/>
      </w:pPr>
      <w:r>
        <w:rPr>
          <w:rFonts w:ascii="맑은 고딕" w:hAnsi="맑은 고딕" w:eastAsia="맑은 고딕" w:cs="맑은 고딕"/>
          <w:b w:val="0"/>
          <w:sz w:val="21"/>
        </w:rPr>
        <w:t>이론을 요약해 보면, 첫째, 공정 단계 간 융합은 기술융합의 개념을 한 산업 내부에 적용한 것이며, 특허로는 기술 융합 단계를 관찰할 수 있습니다. 둘째, 생산의 경계와 지식의 경계는 다르기 때문에, 인터페이스가 불안정해지면 경계를 넘는 발명이 나타납니다. 셋째, 지배적 설계가 고착화되면 융합의 중심은 핵심에서 주변으로 이동할 수 있습니다. 이 세 가지를 기억해 주시면 감사하겠습니다.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3.1 RQ1) 공정 단계 간 융합의 수준과 유형</w:t>
      </w:r>
      <w:r>
        <w:rPr>
          <w:rFonts w:ascii="맑은 고딕" w:hAnsi="맑은 고딕" w:eastAsia="맑은 고딕" w:cs="맑은 고딕"/>
          <w:b/>
          <w:color w:val="C9A227"/>
          <w:sz w:val="20"/>
        </w:rPr>
        <w:t xml:space="preserve">   8'48</w:t>
      </w:r>
    </w:p>
    <w:p>
      <w:pPr>
        <w:spacing w:after="120"/>
        <w:ind w:left="170"/>
      </w:pPr>
      <w:r>
        <w:rPr>
          <w:rFonts w:ascii="맑은 고딕" w:hAnsi="맑은 고딕" w:eastAsia="맑은 고딕" w:cs="맑은 고딕"/>
          <w:b w:val="0"/>
          <w:sz w:val="21"/>
        </w:rPr>
        <w:t>이제 연구 질문입니다. 첫 번째 연구 질문은 융합의 수준과 유형에 관한 것입니다. 앞에서 말씀드린 지식 경계의 논리에 따르면, 하이브리드 본딩으로 전공정과 후공정 사이의 인터페이스가 불안정해졌다면 두 영역의 기술을 함께 담은 발명이 예외적이지 않은 비중으로 나타나야 합니다. 그리고 발명을 기술 요소의 새로운 조합으로 보는 Fleming의 관점에 따르면, 두 영역에 걸친 발명은 한 영역에 머무는 발명보다 더 다양한 세부 기술을 포함하고 있을 것입니다. 그래서 첫 번째 연구 질문은 "하이브리드 본딩 기술에서 제조공정과 접합 기술 간의 융합이 어느 정도로, 어떠한 형태로 나타나는가"입니다.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3.1 RQ2) 공정 단계 간 융합의 시간적 변화</w:t>
      </w:r>
      <w:r>
        <w:rPr>
          <w:rFonts w:ascii="맑은 고딕" w:hAnsi="맑은 고딕" w:eastAsia="맑은 고딕" w:cs="맑은 고딕"/>
          <w:b/>
          <w:color w:val="C9A227"/>
          <w:sz w:val="20"/>
        </w:rPr>
        <w:t xml:space="preserve">   9'37</w:t>
      </w:r>
    </w:p>
    <w:p>
      <w:pPr>
        <w:spacing w:after="120"/>
        <w:ind w:left="170"/>
      </w:pPr>
      <w:r>
        <w:rPr>
          <w:rFonts w:ascii="맑은 고딕" w:hAnsi="맑은 고딕" w:eastAsia="맑은 고딕" w:cs="맑은 고딕"/>
          <w:b w:val="0"/>
          <w:sz w:val="21"/>
        </w:rPr>
        <w:t xml:space="preserve">두 번째는 시간적 변화입니다. 단계 모형과 기술 순환 모형을 결합하면, 기술이 형성되는 시기에는 직접 접합을 가능하게 하는 공정 발명이 주를 이루고, 확산되는 시기에는 공정 지식과 접합 발명의 결합이 늘며, 지배적 설계가 자리 잡은 뒤에는 결합이 응용에 필요한 주변 공정으로 옮겨 갈 것으로 기대할 수 있습니다. 실제로 하이브리드 본딩은 이미지센서와 </w:t>
      </w:r>
      <w:r>
        <w:rPr>
          <w:rFonts w:ascii="맑은 고딕" w:hAnsi="맑은 고딕" w:eastAsia="맑은 고딕" w:cs="맑은 고딕"/>
          <w:b/>
          <w:sz w:val="21"/>
        </w:rPr>
        <w:t>3</w:t>
      </w:r>
      <w:r>
        <w:rPr>
          <w:rFonts w:ascii="맑은 고딕" w:hAnsi="맑은 고딕" w:eastAsia="맑은 고딕" w:cs="맑은 고딕"/>
          <w:b w:val="0"/>
          <w:sz w:val="21"/>
        </w:rPr>
        <w:t>D NAND의 웨이퍼 단위 접합에서 시작해 HBM과 로직의 다이 단위 접합으로 확대되었고, 발명의 중심도 표면 준비나 평탄화 같은 공정에서 접합 구조와 적층으로 옮겨 갔습니다. 따라서 융합의 수준은 꾸준히 늘기보다 단계에 따라 오르내릴 수 있습니다. 그래서 두 번째 연구 질문은 "공정 단계 간 기술융합은 시간에 따라 어떻게 변화해 왔는가"입니다.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3.1 RQ3) 공정 단계 간 융합의 구조적 중심 변화</w:t>
      </w:r>
      <w:r>
        <w:rPr>
          <w:rFonts w:ascii="맑은 고딕" w:hAnsi="맑은 고딕" w:eastAsia="맑은 고딕" w:cs="맑은 고딕"/>
          <w:b/>
          <w:color w:val="C9A227"/>
          <w:sz w:val="20"/>
        </w:rPr>
        <w:t xml:space="preserve">   10'34</w:t>
      </w:r>
    </w:p>
    <w:p>
      <w:pPr>
        <w:spacing w:after="120"/>
        <w:ind w:left="170"/>
      </w:pPr>
      <w:r>
        <w:rPr>
          <w:rFonts w:ascii="맑은 고딕" w:hAnsi="맑은 고딕" w:eastAsia="맑은 고딕" w:cs="맑은 고딕"/>
          <w:b w:val="0"/>
          <w:sz w:val="21"/>
        </w:rPr>
        <w:t>세 번째는 융합의 중심 변화입니다. 하이브리드 본딩의 핵심은 범프 없이 접합 패드끼리 직접 연결하는 방식입니다. 이 인터페이스가 확정되기 전에는 핵심 기술을 발명하려면 평탄화나 웨이퍼 접합 같은 제조공정 지식을 함께 다루어야 합니다. 그러나 설계가 고착화되면 그 지식은 주어진 조건이 되고, 새로운 결합은 다이를 다루고 패키지로 완성하는 주변 공정에서 일어날 것입니다. 그래서 세 번째 연구 질문은 "공정 단계 간 기술융합의 중심이 핵심 기술과 주변 기술 사이에서 시기에 따라 어떻게 재편되는가"입니다.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11'16</w:t>
      </w:r>
    </w:p>
    <w:p>
      <w:pPr>
        <w:spacing w:after="120"/>
        <w:ind w:left="170"/>
      </w:pPr>
      <w:r>
        <w:rPr>
          <w:rFonts w:ascii="맑은 고딕" w:hAnsi="맑은 고딕" w:eastAsia="맑은 고딕" w:cs="맑은 고딕"/>
          <w:b w:val="0"/>
          <w:sz w:val="21"/>
        </w:rPr>
        <w:t>세 질문과 각 질문의 이론적 기대를 한 장으로 정리하면 이렇습니다. 오른쪽의 이론적 기대는 통계적 가설로 검정하는 것이 아니라, 결과를 해석하는 기준으로 사용했습니다. 이 세 질문에 답하기 위해 분석 대상과 자료를 선정하였습니다.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11'36</w:t>
      </w:r>
    </w:p>
    <w:p>
      <w:pPr>
        <w:spacing w:after="120"/>
        <w:ind w:left="170"/>
      </w:pPr>
      <w:r>
        <w:rPr>
          <w:rFonts w:ascii="맑은 고딕" w:hAnsi="맑은 고딕" w:eastAsia="맑은 고딕" w:cs="맑은 고딕"/>
          <w:b w:val="0"/>
          <w:sz w:val="21"/>
        </w:rPr>
        <w:t>분석 대상인 하이브리드 본딩을 조금 더 들여다보겠습니다. 왼쪽처럼 하이브리드 본딩은 기반 공정, 접합 형태, 소자 구조, 적용 제품의 네 층위로 정리할 수 있는데, 기반 공정은 CPC의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오른쪽은 다이-투-웨이퍼 하이브리드 본딩의 실제 공정 흐름입니다. 다이를 자르기 전까지 절연막 증착, 다마신 식각, 구리 증착과 도금, 화학적 기계연마가 이어지는데, 모두 전공정에서 쓰이던 공정과 장비입니다. 특허 활동을 주도하는 출원인에도 TSMC, Adeia, YMTC, Intel, Samsung처럼 라이선싱 기업, 파운드리, 메모리 기업이 함께 들어 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12'32</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3.2 검색 전략과 자료의 특성</w:t>
      </w:r>
      <w:r>
        <w:rPr>
          <w:rFonts w:ascii="맑은 고딕" w:hAnsi="맑은 고딕" w:eastAsia="맑은 고딕" w:cs="맑은 고딕"/>
          <w:b/>
          <w:color w:val="C9A227"/>
          <w:sz w:val="20"/>
        </w:rPr>
        <w:t xml:space="preserve">   13'20</w:t>
      </w:r>
    </w:p>
    <w:p>
      <w:pPr>
        <w:spacing w:after="120"/>
        <w:ind w:left="170"/>
      </w:pPr>
      <w:r>
        <w:rPr>
          <w:rFonts w:ascii="맑은 고딕" w:hAnsi="맑은 고딕" w:eastAsia="맑은 고딕" w:cs="맑은 고딕"/>
          <w:b w:val="0"/>
          <w:sz w:val="21"/>
        </w:rPr>
        <w:t xml:space="preserve">검색 조건과 표본의 특성을 조금 더 자세히 보겠습니다. 위의 표처럼 </w:t>
      </w:r>
      <w:r>
        <w:rPr>
          <w:rFonts w:ascii="맑은 고딕" w:hAnsi="맑은 고딕" w:eastAsia="맑은 고딕" w:cs="맑은 고딕"/>
          <w:b/>
          <w:sz w:val="21"/>
        </w:rPr>
        <w:t>1</w:t>
      </w:r>
      <w:r>
        <w:rPr>
          <w:rFonts w:ascii="맑은 고딕" w:hAnsi="맑은 고딕" w:eastAsia="맑은 고딕" w:cs="맑은 고딕"/>
          <w:b w:val="0"/>
          <w:sz w:val="21"/>
        </w:rPr>
        <w:t>차로 제조공정 분류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과 접합 분류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w:t>
      </w:r>
      <w:r>
        <w:rPr>
          <w:rFonts w:ascii="맑은 고딕" w:hAnsi="맑은 고딕" w:eastAsia="맑은 고딕" w:cs="맑은 고딕"/>
          <w:b/>
          <w:sz w:val="21"/>
        </w:rPr>
        <w:t>2</w:t>
      </w:r>
      <w:r>
        <w:rPr>
          <w:rFonts w:ascii="맑은 고딕" w:hAnsi="맑은 고딕" w:eastAsia="맑은 고딕" w:cs="맑은 고딕"/>
          <w:b w:val="0"/>
          <w:sz w:val="21"/>
        </w:rPr>
        <w:t xml:space="preserve">차로 제목 키워드를 적용했습니다. 표본에는 서브그룹 기호 </w:t>
      </w:r>
      <w:r>
        <w:rPr>
          <w:rFonts w:ascii="맑은 고딕" w:hAnsi="맑은 고딕" w:eastAsia="맑은 고딕" w:cs="맑은 고딕"/>
          <w:b/>
          <w:sz w:val="21"/>
        </w:rPr>
        <w:t>262</w:t>
      </w:r>
      <w:r>
        <w:rPr>
          <w:rFonts w:ascii="맑은 고딕" w:hAnsi="맑은 고딕" w:eastAsia="맑은 고딕" w:cs="맑은 고딕"/>
          <w:b w:val="0"/>
          <w:sz w:val="21"/>
        </w:rPr>
        <w:t xml:space="preserve">개가 나타나며, 그중 제조공정 기호가 </w:t>
      </w:r>
      <w:r>
        <w:rPr>
          <w:rFonts w:ascii="맑은 고딕" w:hAnsi="맑은 고딕" w:eastAsia="맑은 고딕" w:cs="맑은 고딕"/>
          <w:b/>
          <w:sz w:val="21"/>
        </w:rPr>
        <w:t>202</w:t>
      </w:r>
      <w:r>
        <w:rPr>
          <w:rFonts w:ascii="맑은 고딕" w:hAnsi="맑은 고딕" w:eastAsia="맑은 고딕" w:cs="맑은 고딕"/>
          <w:b w:val="0"/>
          <w:sz w:val="21"/>
        </w:rPr>
        <w:t xml:space="preserve">개, 접합 기호가 </w:t>
      </w:r>
      <w:r>
        <w:rPr>
          <w:rFonts w:ascii="맑은 고딕" w:hAnsi="맑은 고딕" w:eastAsia="맑은 고딕" w:cs="맑은 고딕"/>
          <w:b/>
          <w:sz w:val="21"/>
        </w:rPr>
        <w:t>60</w:t>
      </w:r>
      <w:r>
        <w:rPr>
          <w:rFonts w:ascii="맑은 고딕" w:hAnsi="맑은 고딕" w:eastAsia="맑은 고딕" w:cs="맑은 고딕"/>
          <w:b w:val="0"/>
          <w:sz w:val="21"/>
        </w:rPr>
        <w:t xml:space="preserve">개입니다.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관련 없는 용법으로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 같은 제목으로 여러 출원청에 출원된 경우는 강건성 검증에서 따로 다루었습니다. 출원청별로는 미국이 </w:t>
      </w:r>
      <w:r>
        <w:rPr>
          <w:rFonts w:ascii="맑은 고딕" w:hAnsi="맑은 고딕" w:eastAsia="맑은 고딕" w:cs="맑은 고딕"/>
          <w:b/>
          <w:sz w:val="21"/>
        </w:rPr>
        <w:t>382건</w:t>
      </w:r>
      <w:r>
        <w:rPr>
          <w:rFonts w:ascii="맑은 고딕" w:hAnsi="맑은 고딕" w:eastAsia="맑은 고딕" w:cs="맑은 고딕"/>
          <w:b w:val="0"/>
          <w:sz w:val="21"/>
        </w:rPr>
        <w:t xml:space="preserve">으로 가장 많고, 중국 </w:t>
      </w:r>
      <w:r>
        <w:rPr>
          <w:rFonts w:ascii="맑은 고딕" w:hAnsi="맑은 고딕" w:eastAsia="맑은 고딕" w:cs="맑은 고딕"/>
          <w:b/>
          <w:sz w:val="21"/>
        </w:rPr>
        <w:t>175건</w:t>
      </w:r>
      <w:r>
        <w:rPr>
          <w:rFonts w:ascii="맑은 고딕" w:hAnsi="맑은 고딕" w:eastAsia="맑은 고딕" w:cs="맑은 고딕"/>
          <w:b w:val="0"/>
          <w:sz w:val="21"/>
        </w:rPr>
        <w:t xml:space="preserve">, PCT 국제출원 </w:t>
      </w:r>
      <w:r>
        <w:rPr>
          <w:rFonts w:ascii="맑은 고딕" w:hAnsi="맑은 고딕" w:eastAsia="맑은 고딕" w:cs="맑은 고딕"/>
          <w:b/>
          <w:sz w:val="21"/>
        </w:rPr>
        <w:t>113건</w:t>
      </w:r>
      <w:r>
        <w:rPr>
          <w:rFonts w:ascii="맑은 고딕" w:hAnsi="맑은 고딕" w:eastAsia="맑은 고딕" w:cs="맑은 고딕"/>
          <w:b w:val="0"/>
          <w:sz w:val="21"/>
        </w:rPr>
        <w:t xml:space="preserve"> 순입니다.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14'05</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3.3 측정: 실제 출원의 CPC 기호</w:t>
      </w:r>
      <w:r>
        <w:rPr>
          <w:rFonts w:ascii="맑은 고딕" w:hAnsi="맑은 고딕" w:eastAsia="맑은 고딕" w:cs="맑은 고딕"/>
          <w:b/>
          <w:color w:val="C9A227"/>
          <w:sz w:val="20"/>
        </w:rPr>
        <w:t xml:space="preserve">   14'39</w:t>
      </w:r>
    </w:p>
    <w:p>
      <w:pPr>
        <w:spacing w:after="120"/>
        <w:ind w:left="170"/>
      </w:pPr>
      <w:r>
        <w:rPr>
          <w:rFonts w:ascii="맑은 고딕" w:hAnsi="맑은 고딕" w:eastAsia="맑은 고딕" w:cs="맑은 고딕"/>
          <w:b w:val="0"/>
          <w:sz w:val="21"/>
        </w:rPr>
        <w:t>실제 출원 세 건으로 보면 이렇습니다. 왼쪽 대만 출원은 제조공정 기호만 가진 공정 단독형, 가운데 미국 출원은 제조공정 기호와 접합 기호를 함께 가진 통합형, 오른쪽 미국 출원은 접합 기호만 가진 접합 단독형입니다. 가운데의 통합형이 공정 단계의 경계를 넘는 특허입니다. 아래처럼 공정 단계 간 기술융합이라는 이론적 개념을, 두 기술이 한 출원에 함께 포함되는 현상으로 관찰하고, 이를 공동분류라는 지표로 측정했습니다.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15'20</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16'01</w:t>
      </w:r>
    </w:p>
    <w:p>
      <w:pPr>
        <w:spacing w:after="120"/>
        <w:ind w:left="170"/>
      </w:pPr>
      <w:r>
        <w:rPr>
          <w:rFonts w:ascii="맑은 고딕" w:hAnsi="맑은 고딕" w:eastAsia="맑은 고딕" w:cs="맑은 고딕"/>
          <w:b w:val="0"/>
          <w:sz w:val="21"/>
        </w:rPr>
        <w:t xml:space="preserve">분석 방법은 세 가지 회귀모형입니다. 첫 번째 주모형은 다항 로짓으로, 출원이 세 유형 가운데 어디에 속하는지를 기술범위와 출원연도로 설명합니다. 기술범위는 두 클래스 안에서 출원이 가진 세부 분류 기호의 수입니다. 두 번째는 제조공정 분류를 가졌는지를 보는 이항 로짓으로, 보완분석입니다. 세 번째는 세 번째 연구 질문을 위한 이항 로짓으로,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 보유와 출원 시기의 상호작용을 봅니다. 출원 시기는 출원이 드물었던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이전과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년의 세 시기로 나누었습니다. 여기에 제조공정 영역별 결합 강도인 Jaccard 계수와 기술 네트워크의 매개 중심성을 보조 지표로 사용했습니다.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4.1 RQ1) 융합의 수준</w:t>
      </w:r>
      <w:r>
        <w:rPr>
          <w:rFonts w:ascii="맑은 고딕" w:hAnsi="맑은 고딕" w:eastAsia="맑은 고딕" w:cs="맑은 고딕"/>
          <w:b/>
          <w:color w:val="C9A227"/>
          <w:sz w:val="20"/>
        </w:rPr>
        <w:t xml:space="preserve">   16'56</w:t>
      </w:r>
    </w:p>
    <w:p>
      <w:pPr>
        <w:spacing w:after="120"/>
        <w:ind w:left="170"/>
      </w:pPr>
      <w:r>
        <w:rPr>
          <w:rFonts w:ascii="맑은 고딕" w:hAnsi="맑은 고딕" w:eastAsia="맑은 고딕" w:cs="맑은 고딕"/>
          <w:b w:val="0"/>
          <w:sz w:val="21"/>
        </w:rPr>
        <w:t xml:space="preserve">이제 연구 결과를 말씀드리겠습니다. 첫 번째 연구 질문의 결과입니다.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두 영역의 기호를 모두 가진 통합형으로, </w:t>
      </w:r>
      <w:r>
        <w:rPr>
          <w:rFonts w:ascii="맑은 고딕" w:hAnsi="맑은 고딕" w:eastAsia="맑은 고딕" w:cs="맑은 고딕"/>
          <w:b/>
          <w:sz w:val="21"/>
        </w:rPr>
        <w:t>425건</w:t>
      </w:r>
      <w:r>
        <w:rPr>
          <w:rFonts w:ascii="맑은 고딕" w:hAnsi="맑은 고딕" w:eastAsia="맑은 고딕" w:cs="맑은 고딕"/>
          <w:b w:val="0"/>
          <w:sz w:val="21"/>
        </w:rPr>
        <w:t xml:space="preserve">, </w:t>
      </w:r>
      <w:r>
        <w:rPr>
          <w:rFonts w:ascii="맑은 고딕" w:hAnsi="맑은 고딕" w:eastAsia="맑은 고딕" w:cs="맑은 고딕"/>
          <w:b/>
          <w:sz w:val="21"/>
        </w:rPr>
        <w:t>45.8%</w:t>
      </w:r>
      <w:r>
        <w:rPr>
          <w:rFonts w:ascii="맑은 고딕" w:hAnsi="맑은 고딕" w:eastAsia="맑은 고딕" w:cs="맑은 고딕"/>
          <w:b w:val="0"/>
          <w:sz w:val="21"/>
        </w:rPr>
        <w:t xml:space="preserve">였습니다. 접합 단독형이 </w:t>
      </w:r>
      <w:r>
        <w:rPr>
          <w:rFonts w:ascii="맑은 고딕" w:hAnsi="맑은 고딕" w:eastAsia="맑은 고딕" w:cs="맑은 고딕"/>
          <w:b/>
          <w:sz w:val="21"/>
        </w:rPr>
        <w:t>36.4%</w:t>
      </w:r>
      <w:r>
        <w:rPr>
          <w:rFonts w:ascii="맑은 고딕" w:hAnsi="맑은 고딕" w:eastAsia="맑은 고딕" w:cs="맑은 고딕"/>
          <w:b w:val="0"/>
          <w:sz w:val="21"/>
        </w:rPr>
        <w:t xml:space="preserve">, 공정 단독형이 </w:t>
      </w:r>
      <w:r>
        <w:rPr>
          <w:rFonts w:ascii="맑은 고딕" w:hAnsi="맑은 고딕" w:eastAsia="맑은 고딕" w:cs="맑은 고딕"/>
          <w:b/>
          <w:sz w:val="21"/>
        </w:rPr>
        <w:t>17.8%</w:t>
      </w:r>
      <w:r>
        <w:rPr>
          <w:rFonts w:ascii="맑은 고딕" w:hAnsi="맑은 고딕" w:eastAsia="맑은 고딕" w:cs="맑은 고딕"/>
          <w:b w:val="0"/>
          <w:sz w:val="21"/>
        </w:rPr>
        <w:t xml:space="preserve">였습니다. 제조공정 분류에 패키징 단계의 공정도 들어 있다는 점을 고려해 이를 제외한 좁은 정의를 적용해도 통합형은 </w:t>
      </w:r>
      <w:r>
        <w:rPr>
          <w:rFonts w:ascii="맑은 고딕" w:hAnsi="맑은 고딕" w:eastAsia="맑은 고딕" w:cs="맑은 고딕"/>
          <w:b/>
          <w:sz w:val="21"/>
        </w:rPr>
        <w:t>37.2%</w:t>
      </w:r>
      <w:r>
        <w:rPr>
          <w:rFonts w:ascii="맑은 고딕" w:hAnsi="맑은 고딕" w:eastAsia="맑은 고딕" w:cs="맑은 고딕"/>
          <w:b w:val="0"/>
          <w:sz w:val="21"/>
        </w:rPr>
        <w:t>였습니다. 하이브리드 본딩에서 공정 단계 간 융합은 예외적인 현상이 아니었습니다.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4.1 RQ1) 융합의 형태: 기술범위와 통합형</w:t>
      </w:r>
      <w:r>
        <w:rPr>
          <w:rFonts w:ascii="맑은 고딕" w:hAnsi="맑은 고딕" w:eastAsia="맑은 고딕" w:cs="맑은 고딕"/>
          <w:b/>
          <w:color w:val="C9A227"/>
          <w:sz w:val="20"/>
        </w:rPr>
        <w:t xml:space="preserve">   17'33</w:t>
      </w:r>
    </w:p>
    <w:p>
      <w:pPr>
        <w:spacing w:after="120"/>
        <w:ind w:left="170"/>
      </w:pPr>
      <w:r>
        <w:rPr>
          <w:rFonts w:ascii="맑은 고딕" w:hAnsi="맑은 고딕" w:eastAsia="맑은 고딕" w:cs="맑은 고딕"/>
          <w:b w:val="0"/>
          <w:sz w:val="21"/>
        </w:rPr>
        <w:t xml:space="preserve">그렇다면 어떤 특허가 경계를 넘었을까요? 다항 로짓 결과, 세부 분류가 하나 늘 때마다 접합 단독형 대비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높아졌습니다. 그래프로 보면, 기술범위가 </w:t>
      </w:r>
      <w:r>
        <w:rPr>
          <w:rFonts w:ascii="맑은 고딕" w:hAnsi="맑은 고딕" w:eastAsia="맑은 고딕" w:cs="맑은 고딕"/>
          <w:b/>
          <w:sz w:val="21"/>
        </w:rPr>
        <w:t>3</w:t>
      </w:r>
      <w:r>
        <w:rPr>
          <w:rFonts w:ascii="맑은 고딕" w:hAnsi="맑은 고딕" w:eastAsia="맑은 고딕" w:cs="맑은 고딕"/>
          <w:b w:val="0"/>
          <w:sz w:val="21"/>
        </w:rPr>
        <w:t xml:space="preserve">인 출원은 통합형일 확률이 </w:t>
      </w:r>
      <w:r>
        <w:rPr>
          <w:rFonts w:ascii="맑은 고딕" w:hAnsi="맑은 고딕" w:eastAsia="맑은 고딕" w:cs="맑은 고딕"/>
          <w:b/>
          <w:sz w:val="21"/>
        </w:rPr>
        <w:t>0.26</w:t>
      </w:r>
      <w:r>
        <w:rPr>
          <w:rFonts w:ascii="맑은 고딕" w:hAnsi="맑은 고딕" w:eastAsia="맑은 고딕" w:cs="맑은 고딕"/>
          <w:b w:val="0"/>
          <w:sz w:val="21"/>
        </w:rPr>
        <w:t xml:space="preserve">이지만 </w:t>
      </w:r>
      <w:r>
        <w:rPr>
          <w:rFonts w:ascii="맑은 고딕" w:hAnsi="맑은 고딕" w:eastAsia="맑은 고딕" w:cs="맑은 고딕"/>
          <w:b/>
          <w:sz w:val="21"/>
        </w:rPr>
        <w:t>8</w:t>
      </w:r>
      <w:r>
        <w:rPr>
          <w:rFonts w:ascii="맑은 고딕" w:hAnsi="맑은 고딕" w:eastAsia="맑은 고딕" w:cs="맑은 고딕"/>
          <w:b w:val="0"/>
          <w:sz w:val="21"/>
        </w:rPr>
        <w:t xml:space="preserve">인 출원은 </w:t>
      </w:r>
      <w:r>
        <w:rPr>
          <w:rFonts w:ascii="맑은 고딕" w:hAnsi="맑은 고딕" w:eastAsia="맑은 고딕" w:cs="맑은 고딕"/>
          <w:b/>
          <w:sz w:val="21"/>
        </w:rPr>
        <w:t>0.68</w:t>
      </w:r>
      <w:r>
        <w:rPr>
          <w:rFonts w:ascii="맑은 고딕" w:hAnsi="맑은 고딕" w:eastAsia="맑은 고딕" w:cs="맑은 고딕"/>
          <w:b w:val="0"/>
          <w:sz w:val="21"/>
        </w:rPr>
        <w:t xml:space="preserve">입니다. 즉, 경계를 넘는 특허는 더 다양한 세부 기술을 포함하고 있었습니다. 다만 통합형은 정의상 기호가 두 개 이상이라는 기계적인 측면이 있어, 유형의 최소 기호 수를 뺀 지표로도 확인했는데 상대위험비는 </w:t>
      </w:r>
      <w:r>
        <w:rPr>
          <w:rFonts w:ascii="맑은 고딕" w:hAnsi="맑은 고딕" w:eastAsia="맑은 고딕" w:cs="맑은 고딕"/>
          <w:b/>
          <w:sz w:val="21"/>
        </w:rPr>
        <w:t>1.262</w:t>
      </w:r>
      <w:r>
        <w:rPr>
          <w:rFonts w:ascii="맑은 고딕" w:hAnsi="맑은 고딕" w:eastAsia="맑은 고딕" w:cs="맑은 고딕"/>
          <w:b w:val="0"/>
          <w:sz w:val="21"/>
        </w:rPr>
        <w:t>로 방향이 유지되었습니다.</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18'14</w:t>
      </w:r>
    </w:p>
    <w:p>
      <w:pPr>
        <w:spacing w:after="120"/>
        <w:ind w:left="170"/>
      </w:pPr>
      <w:r>
        <w:rPr>
          <w:rFonts w:ascii="맑은 고딕" w:hAnsi="맑은 고딕" w:eastAsia="맑은 고딕" w:cs="맑은 고딕"/>
          <w:b w:val="0"/>
          <w:sz w:val="21"/>
        </w:rPr>
        <w:t xml:space="preserve">두 번째 연구 질문의 결과입니다. 출원을 세 시기로 나누어 보았습니다.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출원이 </w:t>
      </w:r>
      <w:r>
        <w:rPr>
          <w:rFonts w:ascii="맑은 고딕" w:hAnsi="맑은 고딕" w:eastAsia="맑은 고딕" w:cs="맑은 고딕"/>
          <w:b/>
          <w:sz w:val="21"/>
        </w:rPr>
        <w:t>179건</w:t>
      </w:r>
      <w:r>
        <w:rPr>
          <w:rFonts w:ascii="맑은 고딕" w:hAnsi="맑은 고딕" w:eastAsia="맑은 고딕" w:cs="맑은 고딕"/>
          <w:b w:val="0"/>
          <w:sz w:val="21"/>
        </w:rPr>
        <w:t xml:space="preserve">으로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년간의 </w:t>
      </w:r>
      <w:r>
        <w:rPr>
          <w:rFonts w:ascii="맑은 고딕" w:hAnsi="맑은 고딕" w:eastAsia="맑은 고딕" w:cs="맑은 고딕"/>
          <w:b/>
          <w:sz w:val="21"/>
        </w:rPr>
        <w:t>209건</w:t>
      </w:r>
      <w:r>
        <w:rPr>
          <w:rFonts w:ascii="맑은 고딕" w:hAnsi="맑은 고딕" w:eastAsia="맑은 고딕" w:cs="맑은 고딕"/>
          <w:b w:val="0"/>
          <w:sz w:val="21"/>
        </w:rPr>
        <w:t xml:space="preserve">보다 적을 만큼 드물었기 때문에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까지 늘었습니다. 저는 이 세 국면을 형성기, 확산기, 재편기라고 이름 붙였습니다. 융합은 계속 늘어난 것이 아니라 오르내렸습니다.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4.2 RQ2) 출원의 무게중심 이동</w:t>
      </w:r>
      <w:r>
        <w:rPr>
          <w:rFonts w:ascii="맑은 고딕" w:hAnsi="맑은 고딕" w:eastAsia="맑은 고딕" w:cs="맑은 고딕"/>
          <w:b/>
          <w:color w:val="C9A227"/>
          <w:sz w:val="20"/>
        </w:rPr>
        <w:t xml:space="preserve">   19'00</w:t>
      </w:r>
    </w:p>
    <w:p>
      <w:pPr>
        <w:spacing w:after="120"/>
        <w:ind w:left="170"/>
      </w:pPr>
      <w:r>
        <w:rPr>
          <w:rFonts w:ascii="맑은 고딕" w:hAnsi="맑은 고딕" w:eastAsia="맑은 고딕" w:cs="맑은 고딕"/>
          <w:b w:val="0"/>
          <w:sz w:val="21"/>
        </w:rPr>
        <w:t xml:space="preserve">회귀분석에서도 같은 흐름이 확인되었습니다. 출원연도가 </w:t>
      </w:r>
      <w:r>
        <w:rPr>
          <w:rFonts w:ascii="맑은 고딕" w:hAnsi="맑은 고딕" w:eastAsia="맑은 고딕" w:cs="맑은 고딕"/>
          <w:b/>
          <w:sz w:val="21"/>
        </w:rPr>
        <w:t>1</w:t>
      </w:r>
      <w:r>
        <w:rPr>
          <w:rFonts w:ascii="맑은 고딕" w:hAnsi="맑은 고딕" w:eastAsia="맑은 고딕" w:cs="맑은 고딕"/>
          <w:b w:val="0"/>
          <w:sz w:val="21"/>
        </w:rPr>
        <w:t xml:space="preserve">년 늦어질 때마다 접합 단독형 대비 공정 단독형의 상대위험은 약 </w:t>
      </w:r>
      <w:r>
        <w:rPr>
          <w:rFonts w:ascii="맑은 고딕" w:hAnsi="맑은 고딕" w:eastAsia="맑은 고딕" w:cs="맑은 고딕"/>
          <w:b/>
          <w:sz w:val="21"/>
        </w:rPr>
        <w:t>8.7%</w:t>
      </w:r>
      <w:r>
        <w:rPr>
          <w:rFonts w:ascii="맑은 고딕" w:hAnsi="맑은 고딕" w:eastAsia="맑은 고딕" w:cs="맑은 고딕"/>
          <w:b w:val="0"/>
          <w:sz w:val="21"/>
        </w:rPr>
        <w:t xml:space="preserve">씩 감소했습니다. </w:t>
      </w:r>
      <w:r>
        <w:rPr>
          <w:rFonts w:ascii="맑은 고딕" w:hAnsi="맑은 고딕" w:eastAsia="맑은 고딕" w:cs="맑은 고딕"/>
          <w:b/>
          <w:sz w:val="21"/>
        </w:rPr>
        <w:t>2010</w:t>
      </w:r>
      <w:r>
        <w:rPr>
          <w:rFonts w:ascii="맑은 고딕" w:hAnsi="맑은 고딕" w:eastAsia="맑은 고딕" w:cs="맑은 고딕"/>
          <w:b w:val="0"/>
          <w:sz w:val="21"/>
        </w:rPr>
        <w:t xml:space="preserve">년 출원과 </w:t>
      </w:r>
      <w:r>
        <w:rPr>
          <w:rFonts w:ascii="맑은 고딕" w:hAnsi="맑은 고딕" w:eastAsia="맑은 고딕" w:cs="맑은 고딕"/>
          <w:b/>
          <w:sz w:val="21"/>
        </w:rPr>
        <w:t>2022</w:t>
      </w:r>
      <w:r>
        <w:rPr>
          <w:rFonts w:ascii="맑은 고딕" w:hAnsi="맑은 고딕" w:eastAsia="맑은 고딕" w:cs="맑은 고딕"/>
          <w:b w:val="0"/>
          <w:sz w:val="21"/>
        </w:rPr>
        <w:t xml:space="preserve">년 출원을 비교하면 공정 단독형 예측확률은 </w:t>
      </w:r>
      <w:r>
        <w:rPr>
          <w:rFonts w:ascii="맑은 고딕" w:hAnsi="맑은 고딕" w:eastAsia="맑은 고딕" w:cs="맑은 고딕"/>
          <w:b/>
          <w:sz w:val="21"/>
        </w:rPr>
        <w:t>0.27</w:t>
      </w:r>
      <w:r>
        <w:rPr>
          <w:rFonts w:ascii="맑은 고딕" w:hAnsi="맑은 고딕" w:eastAsia="맑은 고딕" w:cs="맑은 고딕"/>
          <w:b w:val="0"/>
          <w:sz w:val="21"/>
        </w:rPr>
        <w:t xml:space="preserve">에서 </w:t>
      </w:r>
      <w:r>
        <w:rPr>
          <w:rFonts w:ascii="맑은 고딕" w:hAnsi="맑은 고딕" w:eastAsia="맑은 고딕" w:cs="맑은 고딕"/>
          <w:b/>
          <w:sz w:val="21"/>
        </w:rPr>
        <w:t>0.12</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0.31</w:t>
      </w:r>
      <w:r>
        <w:rPr>
          <w:rFonts w:ascii="맑은 고딕" w:hAnsi="맑은 고딕" w:eastAsia="맑은 고딕" w:cs="맑은 고딕"/>
          <w:b w:val="0"/>
          <w:sz w:val="21"/>
        </w:rPr>
        <w:t xml:space="preserve">에서 </w:t>
      </w:r>
      <w:r>
        <w:rPr>
          <w:rFonts w:ascii="맑은 고딕" w:hAnsi="맑은 고딕" w:eastAsia="맑은 고딕" w:cs="맑은 고딕"/>
          <w:b/>
          <w:sz w:val="21"/>
        </w:rPr>
        <w:t>0.40</w:t>
      </w:r>
      <w:r>
        <w:rPr>
          <w:rFonts w:ascii="맑은 고딕" w:hAnsi="맑은 고딕" w:eastAsia="맑은 고딕" w:cs="맑은 고딕"/>
          <w:b w:val="0"/>
          <w:sz w:val="21"/>
        </w:rPr>
        <w:t>으로 늘었습니다. 출원의 무게중심이 제조공정에서 접합 쪽으로 이동한 것입니다. 한편 기술범위가 넓을수록 통합형이 되는 경향은 세 국면 모두에서 유지되었습니다. 이제 각 국면을 하나씩 들여다보겠습니다.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19'42</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20'26</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21'05</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로 늘어 두 유형이 비슷해졌습니다. 기술이 가장 활발히 발명된 시기에 경계를 넘는 발명의 비중은 오히려 줄어든 것입니다. 이 변화가 어디에서 비롯되었는지 핵심 기술 모형으로 확인해 보겠습니다.</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21'34</w:t>
      </w:r>
    </w:p>
    <w:p>
      <w:pPr>
        <w:spacing w:after="120"/>
        <w:ind w:left="170"/>
      </w:pPr>
      <w:r>
        <w:rPr>
          <w:rFonts w:ascii="맑은 고딕" w:hAnsi="맑은 고딕" w:eastAsia="맑은 고딕" w:cs="맑은 고딕"/>
          <w:b w:val="0"/>
          <w:sz w:val="21"/>
        </w:rPr>
        <w:t xml:space="preserve">세 번째 연구 질문의 핵심 기술 모형입니다. 핵심 기술의 승산비는 형성기 </w:t>
      </w:r>
      <w:r>
        <w:rPr>
          <w:rFonts w:ascii="맑은 고딕" w:hAnsi="맑은 고딕" w:eastAsia="맑은 고딕" w:cs="맑은 고딕"/>
          <w:b/>
          <w:sz w:val="21"/>
        </w:rPr>
        <w:t>11.1</w:t>
      </w:r>
      <w:r>
        <w:rPr>
          <w:rFonts w:ascii="맑은 고딕" w:hAnsi="맑은 고딕" w:eastAsia="맑은 고딕" w:cs="맑은 고딕"/>
          <w:b w:val="0"/>
          <w:sz w:val="21"/>
        </w:rPr>
        <w:t xml:space="preserve">에서 확산기 </w:t>
      </w:r>
      <w:r>
        <w:rPr>
          <w:rFonts w:ascii="맑은 고딕" w:hAnsi="맑은 고딕" w:eastAsia="맑은 고딕" w:cs="맑은 고딕"/>
          <w:b/>
          <w:sz w:val="21"/>
        </w:rPr>
        <w:t>2.5</w:t>
      </w:r>
      <w:r>
        <w:rPr>
          <w:rFonts w:ascii="맑은 고딕" w:hAnsi="맑은 고딕" w:eastAsia="맑은 고딕" w:cs="맑은 고딕"/>
          <w:b w:val="0"/>
          <w:sz w:val="21"/>
        </w:rPr>
        <w:t xml:space="preserve">로 줄었고, 재편기에는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않았습니다. 두 상호작용을 함께 본 Wald 검정도 유의했습니다. 흥미로운 점은 변화가 핵심 기술을 포함한 출원에서 비롯되었다는 것입니다. 핵심 기술을 포함한 출원의 통합형 비중은 </w:t>
      </w:r>
      <w:r>
        <w:rPr>
          <w:rFonts w:ascii="맑은 고딕" w:hAnsi="맑은 고딕" w:eastAsia="맑은 고딕" w:cs="맑은 고딕"/>
          <w:b/>
          <w:sz w:val="21"/>
        </w:rPr>
        <w:t>79.6%</w:t>
      </w:r>
      <w:r>
        <w:rPr>
          <w:rFonts w:ascii="맑은 고딕" w:hAnsi="맑은 고딕" w:eastAsia="맑은 고딕" w:cs="맑은 고딕"/>
          <w:b w:val="0"/>
          <w:sz w:val="21"/>
        </w:rPr>
        <w:t xml:space="preserve">, </w:t>
      </w:r>
      <w:r>
        <w:rPr>
          <w:rFonts w:ascii="맑은 고딕" w:hAnsi="맑은 고딕" w:eastAsia="맑은 고딕" w:cs="맑은 고딕"/>
          <w:b/>
          <w:sz w:val="21"/>
        </w:rPr>
        <w:t>77.1%</w:t>
      </w:r>
      <w:r>
        <w:rPr>
          <w:rFonts w:ascii="맑은 고딕" w:hAnsi="맑은 고딕" w:eastAsia="맑은 고딕" w:cs="맑은 고딕"/>
          <w:b w:val="0"/>
          <w:sz w:val="21"/>
        </w:rPr>
        <w:t xml:space="preserve">에서 </w:t>
      </w:r>
      <w:r>
        <w:rPr>
          <w:rFonts w:ascii="맑은 고딕" w:hAnsi="맑은 고딕" w:eastAsia="맑은 고딕" w:cs="맑은 고딕"/>
          <w:b/>
          <w:sz w:val="21"/>
        </w:rPr>
        <w:t>48.4%</w:t>
      </w:r>
      <w:r>
        <w:rPr>
          <w:rFonts w:ascii="맑은 고딕" w:hAnsi="맑은 고딕" w:eastAsia="맑은 고딕" w:cs="맑은 고딕"/>
          <w:b w:val="0"/>
          <w:sz w:val="21"/>
        </w:rPr>
        <w:t xml:space="preserve">로 낮아졌지만,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에서 </w:t>
      </w:r>
      <w:r>
        <w:rPr>
          <w:rFonts w:ascii="맑은 고딕" w:hAnsi="맑은 고딕" w:eastAsia="맑은 고딕" w:cs="맑은 고딕"/>
          <w:b/>
          <w:sz w:val="21"/>
        </w:rPr>
        <w:t>56.9%</w:t>
      </w:r>
      <w:r>
        <w:rPr>
          <w:rFonts w:ascii="맑은 고딕" w:hAnsi="맑은 고딕" w:eastAsia="맑은 고딕" w:cs="맑은 고딕"/>
          <w:b w:val="0"/>
          <w:sz w:val="21"/>
        </w:rPr>
        <w:t xml:space="preserve">로 오히려 높아졌습니다. 그사이 접합 출원 가운데 핵심 기술을 포함한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높아졌습니다. 그렇다면 왜 핵심 기술의 경계 넘기 우위는 사라졌을까요?</w:t>
      </w:r>
    </w:p>
    <w:p>
      <w:pPr>
        <w:keepNext/>
        <w:spacing w:after="20" w:before="0"/>
      </w:pPr>
      <w:r>
        <w:rPr>
          <w:rFonts w:ascii="맑은 고딕" w:hAnsi="맑은 고딕" w:eastAsia="맑은 고딕" w:cs="맑은 고딕"/>
          <w:b/>
          <w:color w:val="5B6475"/>
          <w:sz w:val="20"/>
        </w:rPr>
        <w:t xml:space="preserve">[32]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22'27</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[33]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23'10</w:t>
      </w:r>
    </w:p>
    <w:p>
      <w:pPr>
        <w:spacing w:after="120"/>
        <w:ind w:left="170"/>
      </w:pPr>
      <w:r>
        <w:rPr>
          <w:rFonts w:ascii="맑은 고딕" w:hAnsi="맑은 고딕" w:eastAsia="맑은 고딕" w:cs="맑은 고딕"/>
          <w:b w:val="0"/>
          <w:sz w:val="21"/>
        </w:rPr>
        <w:t>그렇다면 융합은 어디로 옮겨 갔을까요? 선의 굵기는 접합 기호와 함께 부여되는 정도, 원의 크기는 매개 중심성입니다. 세 시기를 나란히 놓으면, 웨이퍼 제조공정은 확산기까지 굵은 선으로 연결되었지만 재편기에는 선이 가늘어지고 원도 작아졌습니다.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[34] </w:t>
      </w:r>
      <w:r>
        <w:rPr>
          <w:rFonts w:ascii="맑은 고딕" w:hAnsi="맑은 고딕" w:eastAsia="맑은 고딕" w:cs="맑은 고딕"/>
          <w:b/>
          <w:color w:val="13294B"/>
          <w:sz w:val="21"/>
        </w:rPr>
        <w:t>4.5 RQ3) 결합 강도와 매개 중심성</w:t>
      </w:r>
      <w:r>
        <w:rPr>
          <w:rFonts w:ascii="맑은 고딕" w:hAnsi="맑은 고딕" w:eastAsia="맑은 고딕" w:cs="맑은 고딕"/>
          <w:b/>
          <w:color w:val="C9A227"/>
          <w:sz w:val="20"/>
        </w:rPr>
        <w:t xml:space="preserve">   23'49</w:t>
      </w:r>
    </w:p>
    <w:p>
      <w:pPr>
        <w:spacing w:after="120"/>
        <w:ind w:left="170"/>
      </w:pPr>
      <w:r>
        <w:rPr>
          <w:rFonts w:ascii="맑은 고딕" w:hAnsi="맑은 고딕" w:eastAsia="맑은 고딕" w:cs="맑은 고딕"/>
          <w:b w:val="0"/>
          <w:sz w:val="21"/>
        </w:rPr>
        <w:t xml:space="preserve">이를 수치로 확인해 보겠습니다. 왼쪽 그래프는 제조공정 영역별로 접합 기호와 함께 부여되는 정도입니다. 웨이퍼 제조공정은 </w:t>
      </w:r>
      <w:r>
        <w:rPr>
          <w:rFonts w:ascii="맑은 고딕" w:hAnsi="맑은 고딕" w:eastAsia="맑은 고딕" w:cs="맑은 고딕"/>
          <w:b/>
          <w:sz w:val="21"/>
        </w:rPr>
        <w:t xml:space="preserve">0.306, </w:t>
      </w:r>
      <w:r>
        <w:rPr>
          <w:rFonts w:ascii="맑은 고딕" w:hAnsi="맑은 고딕" w:eastAsia="맑은 고딕" w:cs="맑은 고딕"/>
          <w:b/>
          <w:sz w:val="21"/>
        </w:rPr>
        <w:t xml:space="preserve">0.598, </w:t>
      </w:r>
      <w:r>
        <w:rPr>
          <w:rFonts w:ascii="맑은 고딕" w:hAnsi="맑은 고딕" w:eastAsia="맑은 고딕" w:cs="맑은 고딕"/>
          <w:b/>
          <w:sz w:val="21"/>
        </w:rPr>
        <w:t>0.159</w:t>
      </w:r>
      <w:r>
        <w:rPr>
          <w:rFonts w:ascii="맑은 고딕" w:hAnsi="맑은 고딕" w:eastAsia="맑은 고딕" w:cs="맑은 고딕"/>
          <w:b w:val="0"/>
          <w:sz w:val="21"/>
        </w:rPr>
        <w:t xml:space="preserve">로 오르내렸지만, 공정 장치는 </w:t>
      </w:r>
      <w:r>
        <w:rPr>
          <w:rFonts w:ascii="맑은 고딕" w:hAnsi="맑은 고딕" w:eastAsia="맑은 고딕" w:cs="맑은 고딕"/>
          <w:b/>
          <w:sz w:val="21"/>
        </w:rPr>
        <w:t>0.046</w:t>
      </w:r>
      <w:r>
        <w:rPr>
          <w:rFonts w:ascii="맑은 고딕" w:hAnsi="맑은 고딕" w:eastAsia="맑은 고딕" w:cs="맑은 고딕"/>
          <w:b w:val="0"/>
          <w:sz w:val="21"/>
        </w:rPr>
        <w:t xml:space="preserve">에서 </w:t>
      </w:r>
      <w:r>
        <w:rPr>
          <w:rFonts w:ascii="맑은 고딕" w:hAnsi="맑은 고딕" w:eastAsia="맑은 고딕" w:cs="맑은 고딕"/>
          <w:b/>
          <w:sz w:val="21"/>
        </w:rPr>
        <w:t>0.176</w:t>
      </w:r>
      <w:r>
        <w:rPr>
          <w:rFonts w:ascii="맑은 고딕" w:hAnsi="맑은 고딕" w:eastAsia="맑은 고딕" w:cs="맑은 고딕"/>
          <w:b w:val="0"/>
          <w:sz w:val="21"/>
        </w:rPr>
        <w:t xml:space="preserve">으로, 패키징 단계 공정은 </w:t>
      </w:r>
      <w:r>
        <w:rPr>
          <w:rFonts w:ascii="맑은 고딕" w:hAnsi="맑은 고딕" w:eastAsia="맑은 고딕" w:cs="맑은 고딕"/>
          <w:b/>
          <w:sz w:val="21"/>
        </w:rPr>
        <w:t>0.194</w:t>
      </w:r>
      <w:r>
        <w:rPr>
          <w:rFonts w:ascii="맑은 고딕" w:hAnsi="맑은 고딕" w:eastAsia="맑은 고딕" w:cs="맑은 고딕"/>
          <w:b w:val="0"/>
          <w:sz w:val="21"/>
        </w:rPr>
        <w:t xml:space="preserve">에서 </w:t>
      </w:r>
      <w:r>
        <w:rPr>
          <w:rFonts w:ascii="맑은 고딕" w:hAnsi="맑은 고딕" w:eastAsia="맑은 고딕" w:cs="맑은 고딕"/>
          <w:b/>
          <w:sz w:val="21"/>
        </w:rPr>
        <w:t>0.268</w:t>
      </w:r>
      <w:r>
        <w:rPr>
          <w:rFonts w:ascii="맑은 고딕" w:hAnsi="맑은 고딕" w:eastAsia="맑은 고딕" w:cs="맑은 고딕"/>
          <w:b w:val="0"/>
          <w:sz w:val="21"/>
        </w:rPr>
        <w:t xml:space="preserve">로 꾸준히 높아졌습니다. 아래 표의 매개 중심성을 보면, 웨이퍼 제조공정은 </w:t>
      </w:r>
      <w:r>
        <w:rPr>
          <w:rFonts w:ascii="맑은 고딕" w:hAnsi="맑은 고딕" w:eastAsia="맑은 고딕" w:cs="맑은 고딕"/>
          <w:b/>
          <w:sz w:val="21"/>
        </w:rPr>
        <w:t>53.6%</w:t>
      </w:r>
      <w:r>
        <w:rPr>
          <w:rFonts w:ascii="맑은 고딕" w:hAnsi="맑은 고딕" w:eastAsia="맑은 고딕" w:cs="맑은 고딕"/>
          <w:b w:val="0"/>
          <w:sz w:val="21"/>
        </w:rPr>
        <w:t xml:space="preserve">에서 </w:t>
      </w:r>
      <w:r>
        <w:rPr>
          <w:rFonts w:ascii="맑은 고딕" w:hAnsi="맑은 고딕" w:eastAsia="맑은 고딕" w:cs="맑은 고딕"/>
          <w:b/>
          <w:sz w:val="21"/>
        </w:rPr>
        <w:t>9.0%</w:t>
      </w:r>
      <w:r>
        <w:rPr>
          <w:rFonts w:ascii="맑은 고딕" w:hAnsi="맑은 고딕" w:eastAsia="맑은 고딕" w:cs="맑은 고딕"/>
          <w:b w:val="0"/>
          <w:sz w:val="21"/>
        </w:rPr>
        <w:t xml:space="preserve">로 낮아졌고 공정 장치는 </w:t>
      </w:r>
      <w:r>
        <w:rPr>
          <w:rFonts w:ascii="맑은 고딕" w:hAnsi="맑은 고딕" w:eastAsia="맑은 고딕" w:cs="맑은 고딕"/>
          <w:b/>
          <w:sz w:val="21"/>
        </w:rPr>
        <w:t>0.0%</w:t>
      </w:r>
      <w:r>
        <w:rPr>
          <w:rFonts w:ascii="맑은 고딕" w:hAnsi="맑은 고딕" w:eastAsia="맑은 고딕" w:cs="맑은 고딕"/>
          <w:b w:val="0"/>
          <w:sz w:val="21"/>
        </w:rPr>
        <w:t xml:space="preserve">에서 </w:t>
      </w:r>
      <w:r>
        <w:rPr>
          <w:rFonts w:ascii="맑은 고딕" w:hAnsi="맑은 고딕" w:eastAsia="맑은 고딕" w:cs="맑은 고딕"/>
          <w:b/>
          <w:sz w:val="21"/>
        </w:rPr>
        <w:t>26.1%</w:t>
      </w:r>
      <w:r>
        <w:rPr>
          <w:rFonts w:ascii="맑은 고딕" w:hAnsi="맑은 고딕" w:eastAsia="맑은 고딕" w:cs="맑은 고딕"/>
          <w:b w:val="0"/>
          <w:sz w:val="21"/>
        </w:rPr>
        <w:t>로 높아졌습니다. 접합과 제조공정을 잇는 연결 기호도 반도체 몸체끼리의 접합 기호에서 공정 장치 기호로 바뀌었습니다. 이것이 세 번째 연구 질문의 답입니다. 융합의 중심은 웨이퍼 제조공정에서 공정 장치와 패키징 단계 공정으로 옮겨 갔습니다.</w:t>
      </w:r>
    </w:p>
    <w:p>
      <w:pPr>
        <w:keepNext/>
        <w:spacing w:after="20" w:before="0"/>
      </w:pPr>
      <w:r>
        <w:rPr>
          <w:rFonts w:ascii="맑은 고딕" w:hAnsi="맑은 고딕" w:eastAsia="맑은 고딕" w:cs="맑은 고딕"/>
          <w:b/>
          <w:color w:val="5B6475"/>
          <w:sz w:val="20"/>
        </w:rPr>
        <w:t xml:space="preserve">[35]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24'44</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[36]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25'27</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[37]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26'00</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[38]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26'45</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[39]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27'23</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[40]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28'10</w:t>
      </w:r>
    </w:p>
    <w:p>
      <w:pPr>
        <w:spacing w:after="120"/>
        <w:ind w:left="170"/>
      </w:pPr>
      <w:r>
        <w:rPr>
          <w:rFonts w:ascii="맑은 고딕" w:hAnsi="맑은 고딕" w:eastAsia="맑은 고딕" w:cs="맑은 고딕"/>
          <w:b w:val="0"/>
          <w:sz w:val="21"/>
        </w:rPr>
        <w:t>이 연구에는 한계도 있습니다. 첫째, 공동분류는 융합의 대리측정치이고, CPC가 과거 출원까지 소급해 재분류될 수 있어 시간적 변화의 일부는 분류 체계의 변화를 반영했을 수 있습니다. 둘째, 제목 키워드로 검색했기 때문에 제목에 관련어가 없는 출원은 빠졌습니다. 셋째, 특허 패밀리 정보가 없어 같은 제목으로 중복을 근사했습니다. 넷째, 출원인이나 응용처 같은 변수가 없고, 결과는 인과관계가 아니라 조건부 연관입니다. 향후에는 출원인과 패밀리 정보를 결합하고, 디스플레이나 배터리처럼 하류 단계가 상류 역량에 의존하게 된 다른 공정기술과 비교하여 이 세 국면이 일반적인 현상인지 검증해 보고자 합니다.</w:t>
      </w:r>
    </w:p>
    <w:p>
      <w:pPr>
        <w:keepNext/>
        <w:spacing w:after="20" w:before="0"/>
      </w:pPr>
      <w:r>
        <w:rPr>
          <w:rFonts w:ascii="맑은 고딕" w:hAnsi="맑은 고딕" w:eastAsia="맑은 고딕" w:cs="맑은 고딕"/>
          <w:b/>
          <w:color w:val="5B6475"/>
          <w:sz w:val="20"/>
        </w:rPr>
        <w:t xml:space="preserve">[41]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29'01</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[42]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29'23</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[43] 부록 1 변수 정의와 기술통계</w:t>
      </w:r>
    </w:p>
    <w:p>
      <w:pPr>
        <w:pStyle w:val="ListBullet"/>
        <w:spacing w:after="40"/>
      </w:pPr>
      <w:r>
        <w:rPr>
          <w:rFonts w:ascii="맑은 고딕" w:hAnsi="맑은 고딕" w:eastAsia="맑은 고딕" w:cs="맑은 고딕"/>
          <w:b w:val="0"/>
          <w:sz w:val="20"/>
        </w:rPr>
        <w:t>[44] 부록 2 기술 클러스터와 기술 네트워크</w:t>
      </w:r>
    </w:p>
    <w:p>
      <w:pPr>
        <w:pStyle w:val="ListBullet"/>
        <w:spacing w:after="40"/>
      </w:pPr>
      <w:r>
        <w:rPr>
          <w:rFonts w:ascii="맑은 고딕" w:hAnsi="맑은 고딕" w:eastAsia="맑은 고딕" w:cs="맑은 고딕"/>
          <w:b w:val="0"/>
          <w:sz w:val="20"/>
        </w:rPr>
        <w:t>[45] 부록 3 이항 · 다항 로짓 추정 결과</w:t>
      </w:r>
    </w:p>
    <w:p>
      <w:pPr>
        <w:pStyle w:val="ListBullet"/>
        <w:spacing w:after="40"/>
      </w:pPr>
      <w:r>
        <w:rPr>
          <w:rFonts w:ascii="맑은 고딕" w:hAnsi="맑은 고딕" w:eastAsia="맑은 고딕" w:cs="맑은 고딕"/>
          <w:b w:val="0"/>
          <w:sz w:val="20"/>
        </w:rPr>
        <w:t>[46] 부록 4 핵심 기술 모형의 세부 결과</w:t>
      </w:r>
    </w:p>
    <w:p>
      <w:pPr>
        <w:pStyle w:val="ListBullet"/>
        <w:spacing w:after="40"/>
      </w:pPr>
      <w:r>
        <w:rPr>
          <w:rFonts w:ascii="맑은 고딕" w:hAnsi="맑은 고딕" w:eastAsia="맑은 고딕" w:cs="맑은 고딕"/>
          <w:b w:val="0"/>
          <w:sz w:val="20"/>
        </w:rPr>
        <w:t>[47] 부록 5 강건성: 다항 로짓 재추정</w:t>
      </w:r>
    </w:p>
    <w:p>
      <w:pPr>
        <w:pStyle w:val="ListBullet"/>
        <w:spacing w:after="40"/>
      </w:pPr>
      <w:r>
        <w:rPr>
          <w:rFonts w:ascii="맑은 고딕" w:hAnsi="맑은 고딕" w:eastAsia="맑은 고딕" w:cs="맑은 고딕"/>
          <w:b w:val="0"/>
          <w:sz w:val="20"/>
        </w:rPr>
        <w:t>[48] 부록 6 강건성: 핵심 기술 모형 재추정</w:t>
      </w:r>
    </w:p>
    <w:p>
      <w:r>
        <w:br w:type="page"/>
      </w:r>
    </w:p>
    <w:p>
      <w:pPr>
        <w:pStyle w:val="Heading1"/>
      </w:pPr>
      <w:r>
        <w:t>20분 발표 대본 (본 발표 31장)</w:t>
      </w:r>
    </w:p>
    <w:p>
      <w:pPr>
        <w:spacing w:after="80" w:before="0"/>
      </w:pPr>
      <w:r>
        <w:rPr>
          <w:rFonts w:ascii="맑은 고딕" w:hAnsi="맑은 고딕" w:eastAsia="맑은 고딕" w:cs="맑은 고딕"/>
          <w:b/>
          <w:color w:val="13294B"/>
          <w:sz w:val="21"/>
        </w:rPr>
        <w:t>예상 총 소요 시간: 19'14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2'36</w:t>
            </w:r>
          </w:p>
        </w:tc>
        <w:tc>
          <w:tcPr>
            <w:tcW w:type="dxa" w:w="1247"/>
            <w:shd w:val="clear" w:color="auto" w:fill="F4F7FB"/>
          </w:tcPr>
          <w:p>
            <w:pPr>
              <w:spacing w:after="0"/>
            </w:pPr>
            <w:r/>
            <w:r>
              <w:rPr>
                <w:rFonts w:ascii="맑은 고딕" w:hAnsi="맑은 고딕" w:eastAsia="맑은 고딕" w:cs="맑은 고딕"/>
                <w:b w:val="0"/>
                <w:sz w:val="18"/>
              </w:rPr>
              <w:t>36초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3'12</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3'52</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2.2 수직 전문화와 지식 경계</w:t>
            </w:r>
          </w:p>
        </w:tc>
        <w:tc>
          <w:tcPr>
            <w:tcW w:type="dxa" w:w="1247"/>
          </w:tcPr>
          <w:p>
            <w:pPr>
              <w:spacing w:after="0"/>
            </w:pPr>
            <w:r/>
            <w:r>
              <w:rPr>
                <w:rFonts w:ascii="맑은 고딕" w:hAnsi="맑은 고딕" w:eastAsia="맑은 고딕" w:cs="맑은 고딕"/>
                <w:b w:val="0"/>
                <w:sz w:val="18"/>
              </w:rPr>
              <w:t>4'47</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2.3 기술 순환 모형과 핵심–주변 구조</w:t>
            </w:r>
          </w:p>
        </w:tc>
        <w:tc>
          <w:tcPr>
            <w:tcW w:type="dxa" w:w="1247"/>
            <w:shd w:val="clear" w:color="auto" w:fill="F4F7FB"/>
          </w:tcPr>
          <w:p>
            <w:pPr>
              <w:spacing w:after="0"/>
            </w:pPr>
            <w:r/>
            <w:r>
              <w:rPr>
                <w:rFonts w:ascii="맑은 고딕" w:hAnsi="맑은 고딕" w:eastAsia="맑은 고딕" w:cs="맑은 고딕"/>
                <w:b w:val="0"/>
                <w:sz w:val="18"/>
              </w:rPr>
              <w:t>5'29</w:t>
            </w:r>
          </w:p>
        </w:tc>
        <w:tc>
          <w:tcPr>
            <w:tcW w:type="dxa" w:w="1247"/>
            <w:shd w:val="clear" w:color="auto" w:fill="F4F7FB"/>
          </w:tcPr>
          <w:p>
            <w:pPr>
              <w:spacing w:after="0"/>
            </w:pPr>
            <w:r/>
            <w:r>
              <w:rPr>
                <w:rFonts w:ascii="맑은 고딕" w:hAnsi="맑은 고딕" w:eastAsia="맑은 고딕" w:cs="맑은 고딕"/>
                <w:b w:val="0"/>
                <w:sz w:val="18"/>
              </w:rPr>
              <w:t>41초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3.1 연구 질문과 이론적 기대</w:t>
            </w:r>
          </w:p>
        </w:tc>
        <w:tc>
          <w:tcPr>
            <w:tcW w:type="dxa" w:w="1247"/>
          </w:tcPr>
          <w:p>
            <w:pPr>
              <w:spacing w:after="0"/>
            </w:pPr>
            <w:r/>
            <w:r>
              <w:rPr>
                <w:rFonts w:ascii="맑은 고딕" w:hAnsi="맑은 고딕" w:eastAsia="맑은 고딕" w:cs="맑은 고딕"/>
                <w:b w:val="0"/>
                <w:sz w:val="18"/>
              </w:rPr>
              <w:t>6'10</w:t>
            </w:r>
          </w:p>
        </w:tc>
        <w:tc>
          <w:tcPr>
            <w:tcW w:type="dxa" w:w="1247"/>
          </w:tcPr>
          <w:p>
            <w:pPr>
              <w:spacing w:after="0"/>
            </w:pPr>
            <w:r/>
            <w:r>
              <w:rPr>
                <w:rFonts w:ascii="맑은 고딕" w:hAnsi="맑은 고딕" w:eastAsia="맑은 고딕" w:cs="맑은 고딕"/>
                <w:b w:val="0"/>
                <w:sz w:val="18"/>
              </w:rPr>
              <w:t>29초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3.2 분석 대상: 하이브리드 본딩 기술과 산업</w:t>
            </w:r>
          </w:p>
        </w:tc>
        <w:tc>
          <w:tcPr>
            <w:tcW w:type="dxa" w:w="1247"/>
            <w:shd w:val="clear" w:color="auto" w:fill="F4F7FB"/>
          </w:tcPr>
          <w:p>
            <w:pPr>
              <w:spacing w:after="0"/>
            </w:pPr>
            <w:r/>
            <w:r>
              <w:rPr>
                <w:rFonts w:ascii="맑은 고딕" w:hAnsi="맑은 고딕" w:eastAsia="맑은 고딕" w:cs="맑은 고딕"/>
                <w:b w:val="0"/>
                <w:sz w:val="18"/>
              </w:rPr>
              <w:t>6'39</w:t>
            </w:r>
          </w:p>
        </w:tc>
        <w:tc>
          <w:tcPr>
            <w:tcW w:type="dxa" w:w="1247"/>
            <w:shd w:val="clear" w:color="auto" w:fill="F4F7FB"/>
          </w:tcPr>
          <w:p>
            <w:pPr>
              <w:spacing w:after="0"/>
            </w:pPr>
            <w:r/>
            <w:r>
              <w:rPr>
                <w:rFonts w:ascii="맑은 고딕" w:hAnsi="맑은 고딕" w:eastAsia="맑은 고딕" w:cs="맑은 고딕"/>
                <w:b w:val="0"/>
                <w:sz w:val="18"/>
              </w:rPr>
              <w:t>26초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7'05</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7'52</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8'34</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9'15</w:t>
            </w:r>
          </w:p>
        </w:tc>
        <w:tc>
          <w:tcPr>
            <w:tcW w:type="dxa" w:w="1247"/>
            <w:shd w:val="clear" w:color="auto" w:fill="F4F7FB"/>
          </w:tcPr>
          <w:p>
            <w:pPr>
              <w:spacing w:after="0"/>
            </w:pPr>
            <w:r/>
            <w:r>
              <w:rPr>
                <w:rFonts w:ascii="맑은 고딕" w:hAnsi="맑은 고딕" w:eastAsia="맑은 고딕" w:cs="맑은 고딕"/>
                <w:b w:val="0"/>
                <w:sz w:val="18"/>
              </w:rPr>
              <w:t>37초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4.1 RQ1) 융합의 수준과 형태</w:t>
            </w:r>
          </w:p>
        </w:tc>
        <w:tc>
          <w:tcPr>
            <w:tcW w:type="dxa" w:w="1247"/>
          </w:tcPr>
          <w:p>
            <w:pPr>
              <w:spacing w:after="0"/>
            </w:pPr>
            <w:r/>
            <w:r>
              <w:rPr>
                <w:rFonts w:ascii="맑은 고딕" w:hAnsi="맑은 고딕" w:eastAsia="맑은 고딕" w:cs="맑은 고딕"/>
                <w:b w:val="0"/>
                <w:sz w:val="18"/>
              </w:rPr>
              <w:t>9'52</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4.2 RQ2) 융합의 시간적 변화: 세 국면</w:t>
            </w:r>
          </w:p>
        </w:tc>
        <w:tc>
          <w:tcPr>
            <w:tcW w:type="dxa" w:w="1247"/>
            <w:shd w:val="clear" w:color="auto" w:fill="F4F7FB"/>
          </w:tcPr>
          <w:p>
            <w:pPr>
              <w:spacing w:after="0"/>
            </w:pPr>
            <w:r/>
            <w:r>
              <w:rPr>
                <w:rFonts w:ascii="맑은 고딕" w:hAnsi="맑은 고딕" w:eastAsia="맑은 고딕" w:cs="맑은 고딕"/>
                <w:b w:val="0"/>
                <w:sz w:val="18"/>
              </w:rPr>
              <w:t>10'35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4.3 형성기: 전공정 지식의 축적</w:t>
            </w:r>
          </w:p>
        </w:tc>
        <w:tc>
          <w:tcPr>
            <w:tcW w:type="dxa" w:w="1247"/>
          </w:tcPr>
          <w:p>
            <w:pPr>
              <w:spacing w:after="0"/>
            </w:pPr>
            <w:r/>
            <w:r>
              <w:rPr>
                <w:rFonts w:ascii="맑은 고딕" w:hAnsi="맑은 고딕" w:eastAsia="맑은 고딕" w:cs="맑은 고딕"/>
                <w:b w:val="0"/>
                <w:sz w:val="18"/>
              </w:rPr>
              <w:t>11'18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4.3 확산기: 두 지식의 결합</w:t>
            </w:r>
          </w:p>
        </w:tc>
        <w:tc>
          <w:tcPr>
            <w:tcW w:type="dxa" w:w="1247"/>
            <w:shd w:val="clear" w:color="auto" w:fill="F4F7FB"/>
          </w:tcPr>
          <w:p>
            <w:pPr>
              <w:spacing w:after="0"/>
            </w:pPr>
            <w:r/>
            <w:r>
              <w:rPr>
                <w:rFonts w:ascii="맑은 고딕" w:hAnsi="맑은 고딕" w:eastAsia="맑은 고딕" w:cs="맑은 고딕"/>
                <w:b w:val="0"/>
                <w:sz w:val="18"/>
              </w:rPr>
              <w:t>12'02</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4.3 재편기: 융합이 줄어든 역설</w:t>
            </w:r>
          </w:p>
        </w:tc>
        <w:tc>
          <w:tcPr>
            <w:tcW w:type="dxa" w:w="1247"/>
          </w:tcPr>
          <w:p>
            <w:pPr>
              <w:spacing w:after="0"/>
            </w:pPr>
            <w:r/>
            <w:r>
              <w:rPr>
                <w:rFonts w:ascii="맑은 고딕" w:hAnsi="맑은 고딕" w:eastAsia="맑은 고딕" w:cs="맑은 고딕"/>
                <w:b w:val="0"/>
                <w:sz w:val="18"/>
              </w:rPr>
              <w:t>12'41</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4.4 해석: 지배적 설계의 고착화와 인터페이스 안정화</w:t>
            </w:r>
          </w:p>
        </w:tc>
        <w:tc>
          <w:tcPr>
            <w:tcW w:type="dxa" w:w="1247"/>
            <w:shd w:val="clear" w:color="auto" w:fill="F4F7FB"/>
          </w:tcPr>
          <w:p>
            <w:pPr>
              <w:spacing w:after="0"/>
            </w:pPr>
            <w:r/>
            <w:r>
              <w:rPr>
                <w:rFonts w:ascii="맑은 고딕" w:hAnsi="맑은 고딕" w:eastAsia="맑은 고딕" w:cs="맑은 고딕"/>
                <w:b w:val="0"/>
                <w:sz w:val="18"/>
              </w:rPr>
              <w:t>13'15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4.5 RQ3) 결합 중심의 이동</w:t>
            </w:r>
          </w:p>
        </w:tc>
        <w:tc>
          <w:tcPr>
            <w:tcW w:type="dxa" w:w="1247"/>
          </w:tcPr>
          <w:p>
            <w:pPr>
              <w:spacing w:after="0"/>
            </w:pPr>
            <w:r/>
            <w:r>
              <w:rPr>
                <w:rFonts w:ascii="맑은 고딕" w:hAnsi="맑은 고딕" w:eastAsia="맑은 고딕" w:cs="맑은 고딕"/>
                <w:b w:val="0"/>
                <w:sz w:val="18"/>
              </w:rPr>
              <w:t>13'58</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4.6 강건성 검증</w:t>
            </w:r>
          </w:p>
        </w:tc>
        <w:tc>
          <w:tcPr>
            <w:tcW w:type="dxa" w:w="1247"/>
            <w:shd w:val="clear" w:color="auto" w:fill="F4F7FB"/>
          </w:tcPr>
          <w:p>
            <w:pPr>
              <w:spacing w:after="0"/>
            </w:pPr>
            <w:r/>
            <w:r>
              <w:rPr>
                <w:rFonts w:ascii="맑은 고딕" w:hAnsi="맑은 고딕" w:eastAsia="맑은 고딕" w:cs="맑은 고딕"/>
                <w:b w:val="0"/>
                <w:sz w:val="18"/>
              </w:rPr>
              <w:t>14'40</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15'22</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15'56</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5.2 산업적 함의: 흔들리는 분업의 인터페이스</w:t>
            </w:r>
          </w:p>
        </w:tc>
        <w:tc>
          <w:tcPr>
            <w:tcW w:type="dxa" w:w="1247"/>
          </w:tcPr>
          <w:p>
            <w:pPr>
              <w:spacing w:after="0"/>
            </w:pPr>
            <w:r/>
            <w:r>
              <w:rPr>
                <w:rFonts w:ascii="맑은 고딕" w:hAnsi="맑은 고딕" w:eastAsia="맑은 고딕" w:cs="맑은 고딕"/>
                <w:b w:val="0"/>
                <w:sz w:val="18"/>
              </w:rPr>
              <w:t>16'41</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5.3 실무적 시사점: 차세대 패키징을 준비하는 기업에</w:t>
            </w:r>
          </w:p>
        </w:tc>
        <w:tc>
          <w:tcPr>
            <w:tcW w:type="dxa" w:w="1247"/>
            <w:shd w:val="clear" w:color="auto" w:fill="F4F7FB"/>
          </w:tcPr>
          <w:p>
            <w:pPr>
              <w:spacing w:after="0"/>
            </w:pPr>
            <w:r/>
            <w:r>
              <w:rPr>
                <w:rFonts w:ascii="맑은 고딕" w:hAnsi="맑은 고딕" w:eastAsia="맑은 고딕" w:cs="맑은 고딕"/>
                <w:b w:val="0"/>
                <w:sz w:val="18"/>
              </w:rPr>
              <w:t>17'19</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5.4 한계점과 향후 연구 방향</w:t>
            </w:r>
          </w:p>
        </w:tc>
        <w:tc>
          <w:tcPr>
            <w:tcW w:type="dxa" w:w="1247"/>
          </w:tcPr>
          <w:p>
            <w:pPr>
              <w:spacing w:after="0"/>
            </w:pPr>
            <w:r/>
            <w:r>
              <w:rPr>
                <w:rFonts w:ascii="맑은 고딕" w:hAnsi="맑은 고딕" w:eastAsia="맑은 고딕" w:cs="맑은 고딕"/>
                <w:b w:val="0"/>
                <w:sz w:val="18"/>
              </w:rPr>
              <w:t>18'06</w:t>
            </w:r>
          </w:p>
        </w:tc>
        <w:tc>
          <w:tcPr>
            <w:tcW w:type="dxa" w:w="1247"/>
          </w:tcPr>
          <w:p>
            <w:pPr>
              <w:spacing w:after="0"/>
            </w:pPr>
            <w:r/>
            <w:r>
              <w:rPr>
                <w:rFonts w:ascii="맑은 고딕" w:hAnsi="맑은 고딕" w:eastAsia="맑은 고딕" w:cs="맑은 고딕"/>
                <w:b w:val="0"/>
                <w:sz w:val="18"/>
              </w:rPr>
              <w:t>36초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18'42</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19'04</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웨이퍼 위에 트랜지스터를 만드는 전공정과, 웨이퍼를 잘라 조립하고 패키징하는 후공정으로 나뉩니다. 전공정은 종합반도체기업과 파운드리가, 후공정은 조립·테스트 전문업체가 맡는 분업이 반세기 넘게 이어졌고, 이는 두 단계 사이의 인터페이스가 안정적이었기에 가능했습니다. 그런데 미세화가 한계에 부딪히자 산업은 다이를 나누고 쌓아 연결하는 첨단 패키징에서 성능 향상의 기회를 찾았고,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2'36</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범프 접합이 두 판을 납이라는 접착제로 붙이는 방식이라면, 하이브리드 본딩은 두 표면을 거울처럼 평평하게 갈아 그대로 맞붙이는 방식입니다. 덕분에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구현합니다. 그런데 이 기술의 성패를 좌우하는 평탄화, 표면 활성화, 파티클 제어, 정밀 정렬은 후공정이 쌓아 온 역량이 아니라 전공정의 제조공정 역량입니다.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3'12</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3'52</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4'47</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분리되며 팹리스, 파운드리, 조립·테스트 전문업체가 등장한 대표적인 산업입니다. 그런데 Kapoor와 Adner는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분석해, 외주화한 부품의 지식까지 보유한 기업이 기술 전환에서 성과 우위를 얻었음을 보였습니다. 즉, 생산의 경계와 지식의 경계는 다릅니다.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5'29</w:t>
      </w:r>
    </w:p>
    <w:p>
      <w:pPr>
        <w:spacing w:after="120"/>
        <w:ind w:left="170"/>
      </w:pPr>
      <w:r>
        <w:rPr>
          <w:rFonts w:ascii="맑은 고딕" w:hAnsi="맑은 고딕" w:eastAsia="맑은 고딕" w:cs="맑은 고딕"/>
          <w:b w:val="0"/>
          <w:sz w:val="21"/>
        </w:rPr>
        <w:t>세 번째는 기술 순환 모형과 핵심–주변 구조입니다. 새로운 기술은 여러 설계가 경쟁하는 격동기를 거쳐 지배적 설계로 수렴하고, 그 뒤에는 점진적 변화가 이어집니다. Murmann과 Frenken은 지배적 설계를 다른 요소와 안정된 인터페이스 역할을 하는 핵심 요소의 설계로 보았고, 핵심이 안정되면 이후의 변화는 주변 요소에서 일어납니다. 도로에 비유하면, 규격이 정해지기 전에는 설계와 시공이 한 몸처럼 움직이지만, 규격이 정해진 뒤에는 각자 그 규격을 전제로 일하는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6'10</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 둘째, 시간에 따라 어떻게 변화해 왔는가. 셋째, 융합의 중심이 핵심 기술과 주변 기술 사이에서 어떻게 재편되는가입니다. 오른쪽은 각 질문에 대한 이론적 기대인데, 통계적 가설로 검정하는 것이 아니라 결과를 해석하는 기준으로 사용했습니다.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6'39</w:t>
      </w:r>
    </w:p>
    <w:p>
      <w:pPr>
        <w:spacing w:after="120"/>
        <w:ind w:left="170"/>
      </w:pPr>
      <w:r>
        <w:rPr>
          <w:rFonts w:ascii="맑은 고딕" w:hAnsi="맑은 고딕" w:eastAsia="맑은 고딕" w:cs="맑은 고딕"/>
          <w:b w:val="0"/>
          <w:sz w:val="21"/>
        </w:rPr>
        <w:t>분석 대상인 하이브리드 본딩은 기반 공정, 접합 형태, 소자 구조, 적용 제품의 네 층위로 정리할 수 있습니다. 기반 공정은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 공정 흐름의 증착, 식각, 도금, 연마는 모두 전공정의 공정과 장비입니다.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7'05</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7'52</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 아래는 실제 출원의 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8'34</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9'15</w:t>
      </w:r>
    </w:p>
    <w:p>
      <w:pPr>
        <w:spacing w:after="120"/>
        <w:ind w:left="170"/>
      </w:pPr>
      <w:r>
        <w:rPr>
          <w:rFonts w:ascii="맑은 고딕" w:hAnsi="맑은 고딕" w:eastAsia="맑은 고딕" w:cs="맑은 고딕"/>
          <w:b w:val="0"/>
          <w:sz w:val="21"/>
        </w:rPr>
        <w:t xml:space="preserve">분석 방법은 세 가지 회귀모형입니다. 주모형은 다항 로짓으로, 출원이 세 유형 중 어디에 속하는지를 기술범위와 출원연도로 설명합니다. 기술범위는 두 클래스 안에서 출원이 가진 세부 분류 기호의 수입니다. 보완분석으로 제조공정 분류 보유 여부의 이항 로짓을, 세 번째 질문을 위해 접합 출원 </w:t>
      </w:r>
      <w:r>
        <w:rPr>
          <w:rFonts w:ascii="맑은 고딕" w:hAnsi="맑은 고딕" w:eastAsia="맑은 고딕" w:cs="맑은 고딕"/>
          <w:b/>
          <w:sz w:val="21"/>
        </w:rPr>
        <w:t>763건</w:t>
      </w:r>
      <w:r>
        <w:rPr>
          <w:rFonts w:ascii="맑은 고딕" w:hAnsi="맑은 고딕" w:eastAsia="맑은 고딕" w:cs="맑은 고딕"/>
          <w:b w:val="0"/>
          <w:sz w:val="21"/>
        </w:rPr>
        <w:t>에서 핵심 기술과 출원 시기의 상호작용을 보는 이항 로짓을 사용했습니다. 여기에 Jaccard 계수와 매개 중심성을 보조 지표로 썼습니다.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9'52</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10'35</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공정 단독형의 상대위험도 매년 </w:t>
      </w:r>
      <w:r>
        <w:rPr>
          <w:rFonts w:ascii="맑은 고딕" w:hAnsi="맑은 고딕" w:eastAsia="맑은 고딕" w:cs="맑은 고딕"/>
          <w:b/>
          <w:sz w:val="21"/>
        </w:rPr>
        <w:t>8.7%</w:t>
      </w:r>
      <w:r>
        <w:rPr>
          <w:rFonts w:ascii="맑은 고딕" w:hAnsi="맑은 고딕" w:eastAsia="맑은 고딕" w:cs="맑은 고딕"/>
          <w:b w:val="0"/>
          <w:sz w:val="21"/>
        </w:rPr>
        <w:t>씩 줄었습니다. 이제 각 국면을 하나씩 들여다보겠습니다.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11'18</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12'02</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12'41</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늘어 두 유형이 비슷해졌습니다. 핵심 기술의 승산비는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않았고, 접합 출원의 </w:t>
      </w:r>
      <w:r>
        <w:rPr>
          <w:rFonts w:ascii="맑은 고딕" w:hAnsi="맑은 고딕" w:eastAsia="맑은 고딕" w:cs="맑은 고딕"/>
          <w:b/>
          <w:sz w:val="21"/>
        </w:rPr>
        <w:t>88.0%</w:t>
      </w:r>
      <w:r>
        <w:rPr>
          <w:rFonts w:ascii="맑은 고딕" w:hAnsi="맑은 고딕" w:eastAsia="맑은 고딕" w:cs="맑은 고딕"/>
          <w:b w:val="0"/>
          <w:sz w:val="21"/>
        </w:rPr>
        <w:t>가 핵심 기술을 포함하게 되었습니다. 기술이 가장 활발히 발명된 시기에, 왜 경계를 넘는 발명의 비중은 오히려 줄었을까요?</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13'15</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13'58</w:t>
      </w:r>
    </w:p>
    <w:p>
      <w:pPr>
        <w:spacing w:after="120"/>
        <w:ind w:left="170"/>
      </w:pPr>
      <w:r>
        <w:rPr>
          <w:rFonts w:ascii="맑은 고딕" w:hAnsi="맑은 고딕" w:eastAsia="맑은 고딕" w:cs="맑은 고딕"/>
          <w:b w:val="0"/>
          <w:sz w:val="21"/>
        </w:rPr>
        <w:t xml:space="preserve">선의 굵기는 접합 기호와 함께 부여되는 정도, 원의 크기는 매개 중심성입니다. 웨이퍼 제조공정은 확산기까지 굵은 선으로 연결되었지만, 재편기에는 Jaccard 계수가 </w:t>
      </w:r>
      <w:r>
        <w:rPr>
          <w:rFonts w:ascii="맑은 고딕" w:hAnsi="맑은 고딕" w:eastAsia="맑은 고딕" w:cs="맑은 고딕"/>
          <w:b/>
          <w:sz w:val="21"/>
        </w:rPr>
        <w:t xml:space="preserve">0.159, </w:t>
      </w:r>
      <w:r>
        <w:rPr>
          <w:rFonts w:ascii="맑은 고딕" w:hAnsi="맑은 고딕" w:eastAsia="맑은 고딕" w:cs="맑은 고딕"/>
          <w:b w:val="0"/>
          <w:sz w:val="21"/>
        </w:rPr>
        <w:t xml:space="preserve">매개 중심성이 </w:t>
      </w:r>
      <w:r>
        <w:rPr>
          <w:rFonts w:ascii="맑은 고딕" w:hAnsi="맑은 고딕" w:eastAsia="맑은 고딕" w:cs="맑은 고딕"/>
          <w:b/>
          <w:sz w:val="21"/>
        </w:rPr>
        <w:t>9.0%</w:t>
      </w:r>
      <w:r>
        <w:rPr>
          <w:rFonts w:ascii="맑은 고딕" w:hAnsi="맑은 고딕" w:eastAsia="맑은 고딕" w:cs="맑은 고딕"/>
          <w:b w:val="0"/>
          <w:sz w:val="21"/>
        </w:rPr>
        <w:t xml:space="preserve">로 크게 줄었습니다. 그 자리를 공정 장치와 패키징 단계 공정이 채웠고, 공정 장치의 매개 중심성은 </w:t>
      </w:r>
      <w:r>
        <w:rPr>
          <w:rFonts w:ascii="맑은 고딕" w:hAnsi="맑은 고딕" w:eastAsia="맑은 고딕" w:cs="맑은 고딕"/>
          <w:b/>
          <w:sz w:val="21"/>
        </w:rPr>
        <w:t>26.1%</w:t>
      </w:r>
      <w:r>
        <w:rPr>
          <w:rFonts w:ascii="맑은 고딕" w:hAnsi="맑은 고딕" w:eastAsia="맑은 고딕" w:cs="맑은 고딕"/>
          <w:b w:val="0"/>
          <w:sz w:val="21"/>
        </w:rPr>
        <w:t>가 되었습니다.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14'40</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15'22</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15'56</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16'41</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17'19</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18'06</w:t>
      </w:r>
    </w:p>
    <w:p>
      <w:pPr>
        <w:spacing w:after="120"/>
        <w:ind w:left="170"/>
      </w:pPr>
      <w:r>
        <w:rPr>
          <w:rFonts w:ascii="맑은 고딕" w:hAnsi="맑은 고딕" w:eastAsia="맑은 고딕" w:cs="맑은 고딕"/>
          <w:b w:val="0"/>
          <w:sz w:val="21"/>
        </w:rPr>
        <w:t>한계도 있습니다. 첫째, 공동분류는 대리측정치이고 CPC가 소급 재분류될 수 있어 시간적 변화의 일부는 분류 체계의 변화를 반영했을 수 있습니다. 둘째, 제목 키워드 검색이라 관련어가 없는 출원은 빠졌습니다. 셋째, 패밀리 정보가 없어 같은 제목으로 중복을 근사했습니다. 넷째, 결과는 인과가 아닌 조건부 연관입니다. 향후에는 출원인과 패밀리 정보를 결합하고, 다른 공정기술과 비교하여 세 국면의 일반성을 검증하고자 합니다.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18'42</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19'04</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[32] 부록 1 Chapter 2  Summary</w:t>
      </w:r>
    </w:p>
    <w:p>
      <w:pPr>
        <w:pStyle w:val="ListBullet"/>
        <w:spacing w:after="40"/>
      </w:pPr>
      <w:r>
        <w:rPr>
          <w:rFonts w:ascii="맑은 고딕" w:hAnsi="맑은 고딕" w:eastAsia="맑은 고딕" w:cs="맑은 고딕"/>
          <w:b w:val="0"/>
          <w:sz w:val="20"/>
        </w:rPr>
        <w:t>[33] 부록 2 RQ3) 핵심 기술의 경계 넘기 우위</w:t>
      </w:r>
    </w:p>
    <w:p>
      <w:pPr>
        <w:pStyle w:val="ListBullet"/>
        <w:spacing w:after="40"/>
      </w:pPr>
      <w:r>
        <w:rPr>
          <w:rFonts w:ascii="맑은 고딕" w:hAnsi="맑은 고딕" w:eastAsia="맑은 고딕" w:cs="맑은 고딕"/>
          <w:b w:val="0"/>
          <w:sz w:val="20"/>
        </w:rPr>
        <w:t>[34] 부록 3 RQ3) 결합 중심의 이동</w:t>
      </w:r>
    </w:p>
    <w:p>
      <w:pPr>
        <w:pStyle w:val="ListBullet"/>
        <w:spacing w:after="40"/>
      </w:pPr>
      <w:r>
        <w:rPr>
          <w:rFonts w:ascii="맑은 고딕" w:hAnsi="맑은 고딕" w:eastAsia="맑은 고딕" w:cs="맑은 고딕"/>
          <w:b w:val="0"/>
          <w:sz w:val="20"/>
        </w:rPr>
        <w:t>[35] 부록 4 RQ2) 출원의 무게중심 이동</w:t>
      </w:r>
    </w:p>
    <w:p>
      <w:pPr>
        <w:pStyle w:val="ListBullet"/>
        <w:spacing w:after="40"/>
      </w:pPr>
      <w:r>
        <w:rPr>
          <w:rFonts w:ascii="맑은 고딕" w:hAnsi="맑은 고딕" w:eastAsia="맑은 고딕" w:cs="맑은 고딕"/>
          <w:b w:val="0"/>
          <w:sz w:val="20"/>
        </w:rPr>
        <w:t>[36] 부록 5 측정: 공동분류 유형</w:t>
      </w:r>
    </w:p>
    <w:p>
      <w:pPr>
        <w:pStyle w:val="ListBullet"/>
        <w:spacing w:after="40"/>
      </w:pPr>
      <w:r>
        <w:rPr>
          <w:rFonts w:ascii="맑은 고딕" w:hAnsi="맑은 고딕" w:eastAsia="맑은 고딕" w:cs="맑은 고딕"/>
          <w:b w:val="0"/>
          <w:sz w:val="20"/>
        </w:rPr>
        <w:t>[37] 부록 6 반도체 분업 구조와 첨단 패키징</w:t>
      </w:r>
    </w:p>
    <w:p>
      <w:pPr>
        <w:pStyle w:val="ListBullet"/>
        <w:spacing w:after="40"/>
      </w:pPr>
      <w:r>
        <w:rPr>
          <w:rFonts w:ascii="맑은 고딕" w:hAnsi="맑은 고딕" w:eastAsia="맑은 고딕" w:cs="맑은 고딕"/>
          <w:b w:val="0"/>
          <w:sz w:val="20"/>
        </w:rPr>
        <w:t>[38] 부록 7 검색 전략과 자료의 특성</w:t>
      </w:r>
    </w:p>
    <w:p>
      <w:pPr>
        <w:pStyle w:val="ListBullet"/>
        <w:spacing w:after="40"/>
      </w:pPr>
      <w:r>
        <w:rPr>
          <w:rFonts w:ascii="맑은 고딕" w:hAnsi="맑은 고딕" w:eastAsia="맑은 고딕" w:cs="맑은 고딕"/>
          <w:b w:val="0"/>
          <w:sz w:val="20"/>
        </w:rPr>
        <w:t>[39] 부록 8 변수 정의와 기술통계</w:t>
      </w:r>
    </w:p>
    <w:p>
      <w:pPr>
        <w:pStyle w:val="ListBullet"/>
        <w:spacing w:after="40"/>
      </w:pPr>
      <w:r>
        <w:rPr>
          <w:rFonts w:ascii="맑은 고딕" w:hAnsi="맑은 고딕" w:eastAsia="맑은 고딕" w:cs="맑은 고딕"/>
          <w:b w:val="0"/>
          <w:sz w:val="20"/>
        </w:rPr>
        <w:t>[40] 부록 9 기술 클러스터와 기술 네트워크</w:t>
      </w:r>
    </w:p>
    <w:p>
      <w:pPr>
        <w:pStyle w:val="ListBullet"/>
        <w:spacing w:after="40"/>
      </w:pPr>
      <w:r>
        <w:rPr>
          <w:rFonts w:ascii="맑은 고딕" w:hAnsi="맑은 고딕" w:eastAsia="맑은 고딕" w:cs="맑은 고딕"/>
          <w:b w:val="0"/>
          <w:sz w:val="20"/>
        </w:rPr>
        <w:t>[41] 부록 10 이항 · 다항 로짓 추정 결과</w:t>
      </w:r>
    </w:p>
    <w:p>
      <w:pPr>
        <w:pStyle w:val="ListBullet"/>
        <w:spacing w:after="40"/>
      </w:pPr>
      <w:r>
        <w:rPr>
          <w:rFonts w:ascii="맑은 고딕" w:hAnsi="맑은 고딕" w:eastAsia="맑은 고딕" w:cs="맑은 고딕"/>
          <w:b w:val="0"/>
          <w:sz w:val="20"/>
        </w:rPr>
        <w:t>[42] 부록 11 핵심 기술 모형의 세부 결과</w:t>
      </w:r>
    </w:p>
    <w:p>
      <w:pPr>
        <w:pStyle w:val="ListBullet"/>
        <w:spacing w:after="40"/>
      </w:pPr>
      <w:r>
        <w:rPr>
          <w:rFonts w:ascii="맑은 고딕" w:hAnsi="맑은 고딕" w:eastAsia="맑은 고딕" w:cs="맑은 고딕"/>
          <w:b w:val="0"/>
          <w:sz w:val="20"/>
        </w:rPr>
        <w:t>[43] 부록 12 강건성: 다항 로짓 재추정</w:t>
      </w:r>
    </w:p>
    <w:p>
      <w:pPr>
        <w:pStyle w:val="ListBullet"/>
        <w:spacing w:after="40"/>
      </w:pPr>
      <w:r>
        <w:rPr>
          <w:rFonts w:ascii="맑은 고딕" w:hAnsi="맑은 고딕" w:eastAsia="맑은 고딕" w:cs="맑은 고딕"/>
          <w:b w:val="0"/>
          <w:sz w:val="20"/>
        </w:rPr>
        <w:t>[44] 부록 13 강건성: 핵심 기술 모형 재추정</w:t>
      </w:r>
    </w:p>
    <w:p>
      <w:r>
        <w:br w:type="page"/>
      </w:r>
    </w:p>
    <w:p>
      <w:pPr>
        <w:pStyle w:val="Heading1"/>
      </w:pPr>
      <w:r>
        <w:t>15분 발표 대본 (본 발표 21장)</w:t>
      </w:r>
    </w:p>
    <w:p>
      <w:pPr>
        <w:spacing w:after="80" w:before="0"/>
      </w:pPr>
      <w:r>
        <w:rPr>
          <w:rFonts w:ascii="맑은 고딕" w:hAnsi="맑은 고딕" w:eastAsia="맑은 고딕" w:cs="맑은 고딕"/>
          <w:b/>
          <w:color w:val="13294B"/>
          <w:sz w:val="21"/>
        </w:rPr>
        <w:t>예상 총 소요 시간: 12'56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핵심 요약</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0'53</w:t>
            </w:r>
          </w:p>
        </w:tc>
        <w:tc>
          <w:tcPr>
            <w:tcW w:type="dxa" w:w="1247"/>
          </w:tcPr>
          <w:p>
            <w:pPr>
              <w:spacing w:after="0"/>
            </w:pPr>
            <w:r/>
            <w:r>
              <w:rPr>
                <w:rFonts w:ascii="맑은 고딕" w:hAnsi="맑은 고딕" w:eastAsia="맑은 고딕" w:cs="맑은 고딕"/>
                <w:b w:val="0"/>
                <w:sz w:val="18"/>
              </w:rPr>
              <w:t>35초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1'28</w:t>
            </w:r>
          </w:p>
        </w:tc>
        <w:tc>
          <w:tcPr>
            <w:tcW w:type="dxa" w:w="1247"/>
            <w:shd w:val="clear" w:color="auto" w:fill="F4F7FB"/>
          </w:tcPr>
          <w:p>
            <w:pPr>
              <w:spacing w:after="0"/>
            </w:pPr>
            <w:r/>
            <w:r>
              <w:rPr>
                <w:rFonts w:ascii="맑은 고딕" w:hAnsi="맑은 고딕" w:eastAsia="맑은 고딕" w:cs="맑은 고딕"/>
                <w:b w:val="0"/>
                <w:sz w:val="18"/>
              </w:rPr>
              <w:t>49초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2'17</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2'57</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2.2 지식 경계와 기술 순환: 이론적 틀</w:t>
            </w:r>
          </w:p>
        </w:tc>
        <w:tc>
          <w:tcPr>
            <w:tcW w:type="dxa" w:w="1247"/>
          </w:tcPr>
          <w:p>
            <w:pPr>
              <w:spacing w:after="0"/>
            </w:pPr>
            <w:r/>
            <w:r>
              <w:rPr>
                <w:rFonts w:ascii="맑은 고딕" w:hAnsi="맑은 고딕" w:eastAsia="맑은 고딕" w:cs="맑은 고딕"/>
                <w:b w:val="0"/>
                <w:sz w:val="18"/>
              </w:rPr>
              <w:t>3'51</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4'38</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5'20</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6'08</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3.4 분석 방법</w:t>
            </w:r>
          </w:p>
        </w:tc>
        <w:tc>
          <w:tcPr>
            <w:tcW w:type="dxa" w:w="1247"/>
          </w:tcPr>
          <w:p>
            <w:pPr>
              <w:spacing w:after="0"/>
            </w:pPr>
            <w:r/>
            <w:r>
              <w:rPr>
                <w:rFonts w:ascii="맑은 고딕" w:hAnsi="맑은 고딕" w:eastAsia="맑은 고딕" w:cs="맑은 고딕"/>
                <w:b w:val="0"/>
                <w:sz w:val="18"/>
              </w:rPr>
              <w:t>6'30</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4.1 RQ1) 융합의 수준과 형태</w:t>
            </w:r>
          </w:p>
        </w:tc>
        <w:tc>
          <w:tcPr>
            <w:tcW w:type="dxa" w:w="1247"/>
            <w:shd w:val="clear" w:color="auto" w:fill="F4F7FB"/>
          </w:tcPr>
          <w:p>
            <w:pPr>
              <w:spacing w:after="0"/>
            </w:pPr>
            <w:r/>
            <w:r>
              <w:rPr>
                <w:rFonts w:ascii="맑은 고딕" w:hAnsi="맑은 고딕" w:eastAsia="맑은 고딕" w:cs="맑은 고딕"/>
                <w:b w:val="0"/>
                <w:sz w:val="18"/>
              </w:rPr>
              <w:t>7'15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7'58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8'43</w:t>
            </w:r>
          </w:p>
        </w:tc>
        <w:tc>
          <w:tcPr>
            <w:tcW w:type="dxa" w:w="1247"/>
            <w:shd w:val="clear" w:color="auto" w:fill="F4F7FB"/>
          </w:tcPr>
          <w:p>
            <w:pPr>
              <w:spacing w:after="0"/>
            </w:pPr>
            <w:r/>
            <w:r>
              <w:rPr>
                <w:rFonts w:ascii="맑은 고딕" w:hAnsi="맑은 고딕" w:eastAsia="맑은 고딕" w:cs="맑은 고딕"/>
                <w:b w:val="0"/>
                <w:sz w:val="18"/>
              </w:rPr>
              <w:t>27초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4.4 해석: 지배적 설계의 고착화와 인터페이스 안정화</w:t>
            </w:r>
          </w:p>
        </w:tc>
        <w:tc>
          <w:tcPr>
            <w:tcW w:type="dxa" w:w="1247"/>
          </w:tcPr>
          <w:p>
            <w:pPr>
              <w:spacing w:after="0"/>
            </w:pPr>
            <w:r/>
            <w:r>
              <w:rPr>
                <w:rFonts w:ascii="맑은 고딕" w:hAnsi="맑은 고딕" w:eastAsia="맑은 고딕" w:cs="맑은 고딕"/>
                <w:b w:val="0"/>
                <w:sz w:val="18"/>
              </w:rPr>
              <w:t>9'09</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4.5 RQ3) 결합 중심의 이동</w:t>
            </w:r>
          </w:p>
        </w:tc>
        <w:tc>
          <w:tcPr>
            <w:tcW w:type="dxa" w:w="1247"/>
            <w:shd w:val="clear" w:color="auto" w:fill="F4F7FB"/>
          </w:tcPr>
          <w:p>
            <w:pPr>
              <w:spacing w:after="0"/>
            </w:pPr>
            <w:r/>
            <w:r>
              <w:rPr>
                <w:rFonts w:ascii="맑은 고딕" w:hAnsi="맑은 고딕" w:eastAsia="맑은 고딕" w:cs="맑은 고딕"/>
                <w:b w:val="0"/>
                <w:sz w:val="18"/>
              </w:rPr>
              <w:t>9'46</w:t>
            </w:r>
          </w:p>
        </w:tc>
        <w:tc>
          <w:tcPr>
            <w:tcW w:type="dxa" w:w="1247"/>
            <w:shd w:val="clear" w:color="auto" w:fill="F4F7FB"/>
          </w:tcPr>
          <w:p>
            <w:pPr>
              <w:spacing w:after="0"/>
            </w:pPr>
            <w:r/>
            <w:r>
              <w:rPr>
                <w:rFonts w:ascii="맑은 고딕" w:hAnsi="맑은 고딕" w:eastAsia="맑은 고딕" w:cs="맑은 고딕"/>
                <w:b w:val="0"/>
                <w:sz w:val="18"/>
              </w:rPr>
              <w:t>31초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4.6 결과 종합</w:t>
            </w:r>
          </w:p>
        </w:tc>
        <w:tc>
          <w:tcPr>
            <w:tcW w:type="dxa" w:w="1247"/>
          </w:tcPr>
          <w:p>
            <w:pPr>
              <w:spacing w:after="0"/>
            </w:pPr>
            <w:r/>
            <w:r>
              <w:rPr>
                <w:rFonts w:ascii="맑은 고딕" w:hAnsi="맑은 고딕" w:eastAsia="맑은 고딕" w:cs="맑은 고딕"/>
                <w:b w:val="0"/>
                <w:sz w:val="18"/>
              </w:rPr>
              <w:t>10'17</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10'55</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5.2 시사점과 한계</w:t>
            </w:r>
          </w:p>
        </w:tc>
        <w:tc>
          <w:tcPr>
            <w:tcW w:type="dxa" w:w="1247"/>
          </w:tcPr>
          <w:p>
            <w:pPr>
              <w:spacing w:after="0"/>
            </w:pPr>
            <w:r/>
            <w:r>
              <w:rPr>
                <w:rFonts w:ascii="맑은 고딕" w:hAnsi="맑은 고딕" w:eastAsia="맑은 고딕" w:cs="맑은 고딕"/>
                <w:b w:val="0"/>
                <w:sz w:val="18"/>
              </w:rPr>
              <w:t>11'40</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12'26</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12'46</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 좁은 정의에서도 </w:t>
      </w:r>
      <w:r>
        <w:rPr>
          <w:rFonts w:ascii="맑은 고딕" w:hAnsi="맑은 고딕" w:eastAsia="맑은 고딕" w:cs="맑은 고딕"/>
          <w:b/>
          <w:sz w:val="21"/>
        </w:rPr>
        <w:t>37.2%</w:t>
      </w:r>
      <w:r>
        <w:rPr>
          <w:rFonts w:ascii="맑은 고딕" w:hAnsi="맑은 고딕" w:eastAsia="맑은 고딕" w:cs="맑은 고딕"/>
          <w:b w:val="0"/>
          <w:sz w:val="21"/>
        </w:rPr>
        <w:t>로, 경계를 넘는 발명은 예외가 아니었습니다. 둘째, 융합은 형성기, 확산기, 재편기의 세 국면을 거쳤습니다. 셋째, 핵심 설계가 고착화되면서 융합의 중심이 주변 공정으로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0'53</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1'28</w:t>
      </w:r>
    </w:p>
    <w:p>
      <w:pPr>
        <w:spacing w:after="120"/>
        <w:ind w:left="170"/>
      </w:pPr>
      <w:r>
        <w:rPr>
          <w:rFonts w:ascii="맑은 고딕" w:hAnsi="맑은 고딕" w:eastAsia="맑은 고딕" w:cs="맑은 고딕"/>
          <w:b w:val="0"/>
          <w:sz w:val="21"/>
        </w:rPr>
        <w:t xml:space="preserve">반도체 제조는 웨이퍼 위에 소자를 만드는 전공정과, 이를 잘라 조립하는 후공정으로 반세기 넘게 나뉘어 왔고, 이 분업은 두 단계 사이의 인터페이스가 안정적이었기에 가능했습니다. 하이브리드 본딩은 솔더 범프 없이 구리 패드와 산화막을 직접 맞붙여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구현하는 후공정 기술입니다. 범프 접합이 접착제로 붙이는 방식이라면, 하이브리드 본딩은 거울처럼 평평한 두 면을 그대로 맞붙이는 방식입니다. 그런데 그 성패를 좌우하는 평탄화, 표면 활성화, 파티클 제어, 정밀 정렬은 전공정의 제조공정 역량입니다. 후공정 기술의 성패를 전공정 역량이 좌우하게 된 것입니다.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2'17</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2'57</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2.2 지식 경계와 기술 순환: 이론적 틀</w:t>
      </w:r>
      <w:r>
        <w:rPr>
          <w:rFonts w:ascii="맑은 고딕" w:hAnsi="맑은 고딕" w:eastAsia="맑은 고딕" w:cs="맑은 고딕"/>
          <w:b/>
          <w:color w:val="C9A227"/>
          <w:sz w:val="20"/>
        </w:rPr>
        <w:t xml:space="preserve">   3'51</w:t>
      </w:r>
    </w:p>
    <w:p>
      <w:pPr>
        <w:spacing w:after="120"/>
        <w:ind w:left="170"/>
      </w:pPr>
      <w:r>
        <w:rPr>
          <w:rFonts w:ascii="맑은 고딕" w:hAnsi="맑은 고딕" w:eastAsia="맑은 고딕" w:cs="맑은 고딕"/>
          <w:b w:val="0"/>
          <w:sz w:val="21"/>
        </w:rPr>
        <w:t>여기에 두 가지 이론을 더했습니다. 첫째, 수직 전문화와 지식 경계입니다. Kapoor와 Adner는 DRAM 산업에서 외주화한 부품의 지식까지 보유한 기업이 기술 전환에서 성과 우위를 얻었음을 보였습니다. 생산의 경계와 지식의 경계는 다르기 때문에, 인터페이스가 불안정해지면 그 징후는 조직보다 먼저 경계를 넘는 발명으로 나타날 것입니다. 둘째, 기술 순환 모형과 핵심–주변 구조입니다. 지배적 설계가 고착화되면 새로운 결합은 핵심이 아닌 주변에서 일어날 것입니다. 도로의 규격이 정해지면 새로운 일이 그 규격 위에서 이루어지는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4'38</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나타나는가입니다. 지식 경계의 논리에 따르면 두 영역을 함께 담은 발명은 예외가 아닐 것입니다. 둘째, 시간에 따라 어떻게 변화해 왔는가입니다. 융합은 꾸준히 늘기보다 발전 단계에 따라 달라질 것입니다. 셋째, 융합의 중심이 핵심 기술과 주변 기술 사이에서 어떻게 재편되는가입니다. 핵심 설계가 고착화되면 중심은 주변 공정으로 이동할 것입니다. 이 기대들은 통계적 가설이 아니라 결과를 해석하는 기준으로 사용했습니다.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5'20</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6'08</w:t>
      </w:r>
    </w:p>
    <w:p>
      <w:pPr>
        <w:spacing w:after="120"/>
        <w:ind w:left="170"/>
      </w:pPr>
      <w:r>
        <w:rPr>
          <w:rFonts w:ascii="맑은 고딕" w:hAnsi="맑은 고딕" w:eastAsia="맑은 고딕" w:cs="맑은 고딕"/>
          <w:b w:val="0"/>
          <w:sz w:val="21"/>
        </w:rPr>
        <w:t>융합은 CPC 공동분류로 측정했습니다. 실제 출원 세 건을 보시면, 제조공정 기호만 가지면 공정 단독형, 접합 기호만 가지면 접합 단독형, 둘을 함께 가지면 공정 단계의 경계를 넘는 통합형입니다. 다만 이것은 대리측정치이며 법적 청구범위를 뜻하지는 않습니다.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6'30</w:t>
      </w:r>
    </w:p>
    <w:p>
      <w:pPr>
        <w:spacing w:after="120"/>
        <w:ind w:left="170"/>
      </w:pPr>
      <w:r>
        <w:rPr>
          <w:rFonts w:ascii="맑은 고딕" w:hAnsi="맑은 고딕" w:eastAsia="맑은 고딕" w:cs="맑은 고딕"/>
          <w:b w:val="0"/>
          <w:sz w:val="21"/>
        </w:rPr>
        <w:t xml:space="preserve">분석은 세 유형을 설명하는 다항 로짓을 주모형으로 했습니다. 설명변수는 두 클래스 안에서 출원이 가진 세부 분류 기호의 수인 기술범위와 출원연도입니다. 제조공정 분류 보유 여부의 이항 로짓은 보완분석이고, 세 번째 질문은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기술과 출원 시기의 상호작용을 이항 로짓으로 보았습니다. 출원 시기는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년으로 나누었습니다. 핵심 기술은 기술 클러스터와 네트워크로 식별한 접합 패드 기호 네 개이며, 접합 출원의 </w:t>
      </w:r>
      <w:r>
        <w:rPr>
          <w:rFonts w:ascii="맑은 고딕" w:hAnsi="맑은 고딕" w:eastAsia="맑은 고딕" w:cs="맑은 고딕"/>
          <w:b/>
          <w:sz w:val="21"/>
        </w:rPr>
        <w:t>81.3%</w:t>
      </w:r>
      <w:r>
        <w:rPr>
          <w:rFonts w:ascii="맑은 고딕" w:hAnsi="맑은 고딕" w:eastAsia="맑은 고딕" w:cs="맑은 고딕"/>
          <w:b w:val="0"/>
          <w:sz w:val="21"/>
        </w:rPr>
        <w:t>가 이를 포함합니다.</w:t>
      </w:r>
    </w:p>
    <w:p>
      <w:pPr>
        <w:pStyle w:val="Heading2"/>
      </w:pPr>
      <w:r>
        <w:t>연구 결과</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7'15</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7'58</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회귀분석에서도 공정 단독형의 상대위험은 매년 </w:t>
      </w:r>
      <w:r>
        <w:rPr>
          <w:rFonts w:ascii="맑은 고딕" w:hAnsi="맑은 고딕" w:eastAsia="맑은 고딕" w:cs="맑은 고딕"/>
          <w:b/>
          <w:sz w:val="21"/>
        </w:rPr>
        <w:t>8.7%</w:t>
      </w:r>
      <w:r>
        <w:rPr>
          <w:rFonts w:ascii="맑은 고딕" w:hAnsi="맑은 고딕" w:eastAsia="맑은 고딕" w:cs="맑은 고딕"/>
          <w:b w:val="0"/>
          <w:sz w:val="21"/>
        </w:rPr>
        <w:t>씩 줄어, 출원의 무게중심이 제조공정에서 접합 쪽으로 이동했습니다.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8'43</w:t>
      </w:r>
    </w:p>
    <w:p>
      <w:pPr>
        <w:spacing w:after="120"/>
        <w:ind w:left="170"/>
      </w:pPr>
      <w:r>
        <w:rPr>
          <w:rFonts w:ascii="맑은 고딕" w:hAnsi="맑은 고딕" w:eastAsia="맑은 고딕" w:cs="맑은 고딕"/>
          <w:b w:val="0"/>
          <w:sz w:val="21"/>
        </w:rPr>
        <w:t xml:space="preserve">세 번째 결과입니다. 핵심 기술을 포함한 접합 출원이 통합형일 승산은 형성기에 </w:t>
      </w:r>
      <w:r>
        <w:rPr>
          <w:rFonts w:ascii="맑은 고딕" w:hAnsi="맑은 고딕" w:eastAsia="맑은 고딕" w:cs="맑은 고딕"/>
          <w:b/>
          <w:sz w:val="21"/>
        </w:rPr>
        <w:t>11.1배</w:t>
      </w:r>
      <w:r>
        <w:rPr>
          <w:rFonts w:ascii="맑은 고딕" w:hAnsi="맑은 고딕" w:eastAsia="맑은 고딕" w:cs="맑은 고딕"/>
          <w:b w:val="0"/>
          <w:sz w:val="21"/>
        </w:rPr>
        <w:t xml:space="preserve">였지만, 확산기에는 </w:t>
      </w:r>
      <w:r>
        <w:rPr>
          <w:rFonts w:ascii="맑은 고딕" w:hAnsi="맑은 고딕" w:eastAsia="맑은 고딕" w:cs="맑은 고딕"/>
          <w:b/>
          <w:sz w:val="21"/>
        </w:rPr>
        <w:t>2.5배</w:t>
      </w:r>
      <w:r>
        <w:rPr>
          <w:rFonts w:ascii="맑은 고딕" w:hAnsi="맑은 고딕" w:eastAsia="맑은 고딕" w:cs="맑은 고딕"/>
          <w:b w:val="0"/>
          <w:sz w:val="21"/>
        </w:rPr>
        <w:t xml:space="preserve">로 줄었고, 재편기에는 유의한 차이가 확인되지 않았습니다. 그사이 핵심 기술을 포함한 출원의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높아져, 발명이 하나의 핵심 설계로 수렴한 것으로 보입니다.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9'09</w:t>
      </w:r>
    </w:p>
    <w:p>
      <w:pPr>
        <w:spacing w:after="120"/>
        <w:ind w:left="170"/>
      </w:pPr>
      <w:r>
        <w:rPr>
          <w:rFonts w:ascii="맑은 고딕" w:hAnsi="맑은 고딕" w:eastAsia="맑은 고딕" w:cs="맑은 고딕"/>
          <w:b w:val="0"/>
          <w:sz w:val="21"/>
        </w:rPr>
        <w:t xml:space="preserve">재편기에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45.4%</w:t>
      </w:r>
      <w:r>
        <w:rPr>
          <w:rFonts w:ascii="맑은 고딕" w:hAnsi="맑은 고딕" w:eastAsia="맑은 고딕" w:cs="맑은 고딕"/>
          <w:b w:val="0"/>
          <w:sz w:val="21"/>
        </w:rPr>
        <w:t>로 늘었습니다. 출원이 가장 많아진 시기에 왜 경계를 넘는 발명의 비중이 줄었을까요? 저는 이를 지배적 설계로 해석했습니다. 인터페이스가 불안정한 시기에는 접합 패드를 발명할 때마다 제조공정 지식을 함께 다루어야 했지만, 직접 접합의 원리가 고착화되면 그 지식은 주어진 조건이 되고 새로운 결합은 주변 공정에서 일어납니다. 다만 이는 인과를 검정한 결과가 아닌 해석입니다.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9'46</w:t>
      </w:r>
    </w:p>
    <w:p>
      <w:pPr>
        <w:spacing w:after="120"/>
        <w:ind w:left="170"/>
      </w:pPr>
      <w:r>
        <w:rPr>
          <w:rFonts w:ascii="맑은 고딕" w:hAnsi="맑은 고딕" w:eastAsia="맑은 고딕" w:cs="맑은 고딕"/>
          <w:b w:val="0"/>
          <w:sz w:val="21"/>
        </w:rPr>
        <w:t xml:space="preserve">그렇다면 융합은 어디로 옮겨 갔을까요? 선의 굵기는 접합 기호와 함께 부여되는 정도, 원의 크기는 매개 중심성입니다. 웨이퍼 제조공정의 결합 강도는 확산기 </w:t>
      </w:r>
      <w:r>
        <w:rPr>
          <w:rFonts w:ascii="맑은 고딕" w:hAnsi="맑은 고딕" w:eastAsia="맑은 고딕" w:cs="맑은 고딕"/>
          <w:b/>
          <w:sz w:val="21"/>
        </w:rPr>
        <w:t>0.598</w:t>
      </w:r>
      <w:r>
        <w:rPr>
          <w:rFonts w:ascii="맑은 고딕" w:hAnsi="맑은 고딕" w:eastAsia="맑은 고딕" w:cs="맑은 고딕"/>
          <w:b w:val="0"/>
          <w:sz w:val="21"/>
        </w:rPr>
        <w:t xml:space="preserve">에서 재편기 </w:t>
      </w:r>
      <w:r>
        <w:rPr>
          <w:rFonts w:ascii="맑은 고딕" w:hAnsi="맑은 고딕" w:eastAsia="맑은 고딕" w:cs="맑은 고딕"/>
          <w:b/>
          <w:sz w:val="21"/>
        </w:rPr>
        <w:t>0.159</w:t>
      </w:r>
      <w:r>
        <w:rPr>
          <w:rFonts w:ascii="맑은 고딕" w:hAnsi="맑은 고딕" w:eastAsia="맑은 고딕" w:cs="맑은 고딕"/>
          <w:b w:val="0"/>
          <w:sz w:val="21"/>
        </w:rPr>
        <w:t>로 낮아졌고, 공정 장치와 패키징 단계 공정은 높아졌습니다. 핵심 기술은 허브로 남았지만, 함께 부여된 공정은 반도체 몸체끼리의 접합에서 다이 지지와 봉지 공정으로 바뀌었습니다.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4.6 결과 종합</w:t>
      </w:r>
      <w:r>
        <w:rPr>
          <w:rFonts w:ascii="맑은 고딕" w:hAnsi="맑은 고딕" w:eastAsia="맑은 고딕" w:cs="맑은 고딕"/>
          <w:b/>
          <w:color w:val="C9A227"/>
          <w:sz w:val="20"/>
        </w:rPr>
        <w:t xml:space="preserve">   10'17</w:t>
      </w:r>
    </w:p>
    <w:p>
      <w:pPr>
        <w:spacing w:after="120"/>
        <w:ind w:left="170"/>
      </w:pPr>
      <w:r>
        <w:rPr>
          <w:rFonts w:ascii="맑은 고딕" w:hAnsi="맑은 고딕" w:eastAsia="맑은 고딕" w:cs="맑은 고딕"/>
          <w:b w:val="0"/>
          <w:sz w:val="21"/>
        </w:rPr>
        <w:t xml:space="preserve">결과를 하나로 정리하면,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 결과는 여러 재추정에서도 유지되었고, 시간 추세만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표본에서 식별되지 않았습니다.</w:t>
      </w:r>
    </w:p>
    <w:p>
      <w:pPr>
        <w:pStyle w:val="Heading2"/>
      </w:pPr>
      <w:r>
        <w:t>결론</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10'55</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5.2 시사점과 한계</w:t>
      </w:r>
      <w:r>
        <w:rPr>
          <w:rFonts w:ascii="맑은 고딕" w:hAnsi="맑은 고딕" w:eastAsia="맑은 고딕" w:cs="맑은 고딕"/>
          <w:b/>
          <w:color w:val="C9A227"/>
          <w:sz w:val="20"/>
        </w:rPr>
        <w:t xml:space="preserve">   11'40</w:t>
      </w:r>
    </w:p>
    <w:p>
      <w:pPr>
        <w:spacing w:after="120"/>
        <w:ind w:left="170"/>
      </w:pPr>
      <w:r>
        <w:rPr>
          <w:rFonts w:ascii="맑은 고딕" w:hAnsi="맑은 고딕" w:eastAsia="맑은 고딕" w:cs="맑은 고딕"/>
          <w:b w:val="0"/>
          <w:sz w:val="21"/>
        </w:rPr>
        <w:t>실무적으로는 하이브리드 본딩의 경쟁력이 접합 원리 하나에 좌우되지 않을 수 있습니다. 차세대 HBM에 하이브리드 본딩을 도입하려는 한국 메모리 산업에는 평탄화, 표면 화학, 정렬 계측 같은 제조공정 역량과 함께 얇은 다이를 다루고 적층하는 공정 역량이 필요할 수 있습니다. 한계도 있습니다. 공동분류는 대리측정치이고, CPC 재분류의 영향을 배제할 수 없으며, 제목 검색과 패밀리 정보에도 한계가 있고, 결과는 인과가 아닌 조건부 연관입니다. 향후에는 출원인과 패밀리 정보를 결합하고, 다른 공정기술과 비교하여 이 세 국면의 일반성을 검증하고자 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12'26</w:t>
      </w:r>
    </w:p>
    <w:p>
      <w:pPr>
        <w:spacing w:after="120"/>
        <w:ind w:left="170"/>
      </w:pPr>
      <w:r>
        <w:rPr>
          <w:rFonts w:ascii="맑은 고딕" w:hAnsi="맑은 고딕" w:eastAsia="맑은 고딕" w:cs="맑은 고딕"/>
          <w:b w:val="0"/>
          <w:sz w:val="21"/>
        </w:rPr>
        <w:t>한 문장으로 정리하면, 공정 단계 간 기술융합은 한 번 결합하고 멈추는 사건이 아니라 핵심 설계의 고착화와 함께 그 중심이 핵심에서 주변으로 옮겨 가는 과정입니다.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12'46</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[22] 부록 1 반도체 분업 구조와 첨단 패키징</w:t>
      </w:r>
    </w:p>
    <w:p>
      <w:pPr>
        <w:pStyle w:val="ListBullet"/>
        <w:spacing w:after="40"/>
      </w:pPr>
      <w:r>
        <w:rPr>
          <w:rFonts w:ascii="맑은 고딕" w:hAnsi="맑은 고딕" w:eastAsia="맑은 고딕" w:cs="맑은 고딕"/>
          <w:b w:val="0"/>
          <w:sz w:val="20"/>
        </w:rPr>
        <w:t>[23] 부록 2 수직 전문화와 지식 경계</w:t>
      </w:r>
    </w:p>
    <w:p>
      <w:pPr>
        <w:pStyle w:val="ListBullet"/>
        <w:spacing w:after="40"/>
      </w:pPr>
      <w:r>
        <w:rPr>
          <w:rFonts w:ascii="맑은 고딕" w:hAnsi="맑은 고딕" w:eastAsia="맑은 고딕" w:cs="맑은 고딕"/>
          <w:b w:val="0"/>
          <w:sz w:val="20"/>
        </w:rPr>
        <w:t>[24] 부록 3 기술 순환 모형과 핵심–주변 구조</w:t>
      </w:r>
    </w:p>
    <w:p>
      <w:pPr>
        <w:pStyle w:val="ListBullet"/>
        <w:spacing w:after="40"/>
      </w:pPr>
      <w:r>
        <w:rPr>
          <w:rFonts w:ascii="맑은 고딕" w:hAnsi="맑은 고딕" w:eastAsia="맑은 고딕" w:cs="맑은 고딕"/>
          <w:b w:val="0"/>
          <w:sz w:val="20"/>
        </w:rPr>
        <w:t>[25] 부록 4 분석 대상: 하이브리드 본딩 기술과 산업</w:t>
      </w:r>
    </w:p>
    <w:p>
      <w:pPr>
        <w:pStyle w:val="ListBullet"/>
        <w:spacing w:after="40"/>
      </w:pPr>
      <w:r>
        <w:rPr>
          <w:rFonts w:ascii="맑은 고딕" w:hAnsi="맑은 고딕" w:eastAsia="맑은 고딕" w:cs="맑은 고딕"/>
          <w:b w:val="0"/>
          <w:sz w:val="20"/>
        </w:rPr>
        <w:t>[26] 부록 5 측정: 핵심 기술의 식별</w:t>
      </w:r>
    </w:p>
    <w:p>
      <w:pPr>
        <w:pStyle w:val="ListBullet"/>
        <w:spacing w:after="40"/>
      </w:pPr>
      <w:r>
        <w:rPr>
          <w:rFonts w:ascii="맑은 고딕" w:hAnsi="맑은 고딕" w:eastAsia="맑은 고딕" w:cs="맑은 고딕"/>
          <w:b w:val="0"/>
          <w:sz w:val="20"/>
        </w:rPr>
        <w:t>[27] 부록 6 형성기: 전공정 지식의 축적</w:t>
      </w:r>
    </w:p>
    <w:p>
      <w:pPr>
        <w:pStyle w:val="ListBullet"/>
        <w:spacing w:after="40"/>
      </w:pPr>
      <w:r>
        <w:rPr>
          <w:rFonts w:ascii="맑은 고딕" w:hAnsi="맑은 고딕" w:eastAsia="맑은 고딕" w:cs="맑은 고딕"/>
          <w:b w:val="0"/>
          <w:sz w:val="20"/>
        </w:rPr>
        <w:t>[28] 부록 7 확산기: 두 지식의 결합</w:t>
      </w:r>
    </w:p>
    <w:p>
      <w:pPr>
        <w:pStyle w:val="ListBullet"/>
        <w:spacing w:after="40"/>
      </w:pPr>
      <w:r>
        <w:rPr>
          <w:rFonts w:ascii="맑은 고딕" w:hAnsi="맑은 고딕" w:eastAsia="맑은 고딕" w:cs="맑은 고딕"/>
          <w:b w:val="0"/>
          <w:sz w:val="20"/>
        </w:rPr>
        <w:t>[29] 부록 8 재편기: 융합이 줄어든 역설</w:t>
      </w:r>
    </w:p>
    <w:p>
      <w:pPr>
        <w:pStyle w:val="ListBullet"/>
        <w:spacing w:after="40"/>
      </w:pPr>
      <w:r>
        <w:rPr>
          <w:rFonts w:ascii="맑은 고딕" w:hAnsi="맑은 고딕" w:eastAsia="맑은 고딕" w:cs="맑은 고딕"/>
          <w:b w:val="0"/>
          <w:sz w:val="20"/>
        </w:rPr>
        <w:t>[30] 부록 9 RQ3) 결합 중심의 이동</w:t>
      </w:r>
    </w:p>
    <w:p>
      <w:pPr>
        <w:pStyle w:val="ListBullet"/>
        <w:spacing w:after="40"/>
      </w:pPr>
      <w:r>
        <w:rPr>
          <w:rFonts w:ascii="맑은 고딕" w:hAnsi="맑은 고딕" w:eastAsia="맑은 고딕" w:cs="맑은 고딕"/>
          <w:b w:val="0"/>
          <w:sz w:val="20"/>
        </w:rPr>
        <w:t>[31] 부록 10 RQ2) 출원의 무게중심 이동</w:t>
      </w:r>
    </w:p>
    <w:p>
      <w:pPr>
        <w:pStyle w:val="ListBullet"/>
        <w:spacing w:after="40"/>
      </w:pPr>
      <w:r>
        <w:rPr>
          <w:rFonts w:ascii="맑은 고딕" w:hAnsi="맑은 고딕" w:eastAsia="맑은 고딕" w:cs="맑은 고딕"/>
          <w:b w:val="0"/>
          <w:sz w:val="20"/>
        </w:rPr>
        <w:t>[32] 부록 11 강건성 검증</w:t>
      </w:r>
    </w:p>
    <w:p>
      <w:pPr>
        <w:pStyle w:val="ListBullet"/>
        <w:spacing w:after="40"/>
      </w:pPr>
      <w:r>
        <w:rPr>
          <w:rFonts w:ascii="맑은 고딕" w:hAnsi="맑은 고딕" w:eastAsia="맑은 고딕" w:cs="맑은 고딕"/>
          <w:b w:val="0"/>
          <w:sz w:val="20"/>
        </w:rPr>
        <w:t>[33] 부록 12 산업적 함의: 흔들리는 분업의 인터페이스</w:t>
      </w:r>
    </w:p>
    <w:p>
      <w:pPr>
        <w:pStyle w:val="ListBullet"/>
        <w:spacing w:after="40"/>
      </w:pPr>
      <w:r>
        <w:rPr>
          <w:rFonts w:ascii="맑은 고딕" w:hAnsi="맑은 고딕" w:eastAsia="맑은 고딕" w:cs="맑은 고딕"/>
          <w:b w:val="0"/>
          <w:sz w:val="20"/>
        </w:rPr>
        <w:t>[34] 부록 13 실무적 시사점: 차세대 패키징을 준비하는 기업에</w:t>
      </w:r>
    </w:p>
    <w:p>
      <w:pPr>
        <w:pStyle w:val="ListBullet"/>
        <w:spacing w:after="40"/>
      </w:pPr>
      <w:r>
        <w:rPr>
          <w:rFonts w:ascii="맑은 고딕" w:hAnsi="맑은 고딕" w:eastAsia="맑은 고딕" w:cs="맑은 고딕"/>
          <w:b w:val="0"/>
          <w:sz w:val="20"/>
        </w:rPr>
        <w:t>[35] 부록 14 한계점과 향후 연구 방향</w:t>
      </w:r>
    </w:p>
    <w:p>
      <w:pPr>
        <w:pStyle w:val="ListBullet"/>
        <w:spacing w:after="40"/>
      </w:pPr>
      <w:r>
        <w:rPr>
          <w:rFonts w:ascii="맑은 고딕" w:hAnsi="맑은 고딕" w:eastAsia="맑은 고딕" w:cs="맑은 고딕"/>
          <w:b w:val="0"/>
          <w:sz w:val="20"/>
        </w:rPr>
        <w:t>[36] 부록 15 검색 전략과 자료의 특성</w:t>
      </w:r>
    </w:p>
    <w:p>
      <w:pPr>
        <w:pStyle w:val="ListBullet"/>
        <w:spacing w:after="40"/>
      </w:pPr>
      <w:r>
        <w:rPr>
          <w:rFonts w:ascii="맑은 고딕" w:hAnsi="맑은 고딕" w:eastAsia="맑은 고딕" w:cs="맑은 고딕"/>
          <w:b w:val="0"/>
          <w:sz w:val="20"/>
        </w:rPr>
        <w:t>[37] 부록 16 변수 정의와 기술통계</w:t>
      </w:r>
    </w:p>
    <w:p>
      <w:pPr>
        <w:pStyle w:val="ListBullet"/>
        <w:spacing w:after="40"/>
      </w:pPr>
      <w:r>
        <w:rPr>
          <w:rFonts w:ascii="맑은 고딕" w:hAnsi="맑은 고딕" w:eastAsia="맑은 고딕" w:cs="맑은 고딕"/>
          <w:b w:val="0"/>
          <w:sz w:val="20"/>
        </w:rPr>
        <w:t>[38] 부록 17 기술 클러스터와 기술 네트워크</w:t>
      </w:r>
    </w:p>
    <w:p>
      <w:pPr>
        <w:pStyle w:val="ListBullet"/>
        <w:spacing w:after="40"/>
      </w:pPr>
      <w:r>
        <w:rPr>
          <w:rFonts w:ascii="맑은 고딕" w:hAnsi="맑은 고딕" w:eastAsia="맑은 고딕" w:cs="맑은 고딕"/>
          <w:b w:val="0"/>
          <w:sz w:val="20"/>
        </w:rPr>
        <w:t>[39] 부록 18 이항 · 다항 로짓 추정 결과</w:t>
      </w:r>
    </w:p>
    <w:p>
      <w:pPr>
        <w:pStyle w:val="ListBullet"/>
        <w:spacing w:after="40"/>
      </w:pPr>
      <w:r>
        <w:rPr>
          <w:rFonts w:ascii="맑은 고딕" w:hAnsi="맑은 고딕" w:eastAsia="맑은 고딕" w:cs="맑은 고딕"/>
          <w:b w:val="0"/>
          <w:sz w:val="20"/>
        </w:rPr>
        <w:t>[40] 부록 19 핵심 기술 모형의 세부 결과</w:t>
      </w:r>
    </w:p>
    <w:p>
      <w:pPr>
        <w:pStyle w:val="ListBullet"/>
        <w:spacing w:after="40"/>
      </w:pPr>
      <w:r>
        <w:rPr>
          <w:rFonts w:ascii="맑은 고딕" w:hAnsi="맑은 고딕" w:eastAsia="맑은 고딕" w:cs="맑은 고딕"/>
          <w:b w:val="0"/>
          <w:sz w:val="20"/>
        </w:rPr>
        <w:t>[41] 부록 20 강건성: 다항 로짓 재추정</w:t>
      </w:r>
    </w:p>
    <w:p>
      <w:pPr>
        <w:pStyle w:val="ListBullet"/>
        <w:spacing w:after="40"/>
      </w:pPr>
      <w:r>
        <w:rPr>
          <w:rFonts w:ascii="맑은 고딕" w:hAnsi="맑은 고딕" w:eastAsia="맑은 고딕" w:cs="맑은 고딕"/>
          <w:b w:val="0"/>
          <w:sz w:val="20"/>
        </w:rPr>
        <w:t>[42] 부록 21 강건성: 핵심 기술 모형 재추정</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