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c568aa807c87545f8509b17765e18450ecaf04f"/>
    <w:p>
      <w:pPr>
        <w:pStyle w:val="Heading1"/>
      </w:pPr>
      <w:r>
        <w:t xml:space="preserve">반도체 하이브리드 본딩 특허에 나타난 공정단계 간 기술융합의 전개: 형성, 확산, 재편</w:t>
      </w:r>
    </w:p>
    <w:p>
      <w:pPr>
        <w:pStyle w:val="FirstParagraph"/>
      </w:pPr>
      <w:r>
        <w:rPr>
          <w:b/>
          <w:bCs/>
        </w:rPr>
        <w:t xml:space="preserve">How cross-stage technological convergence unfolds: Formation, diffusion and reconfiguration in semiconductor hybrid bonding patents</w:t>
      </w:r>
    </w:p>
    <w:p>
      <w:pPr>
        <w:pStyle w:val="BodyText"/>
      </w:pPr>
      <w:r>
        <w:rPr>
          <w:b/>
          <w:bCs/>
        </w:rPr>
        <w:t xml:space="preserve">이형규</w:t>
      </w:r>
      <w:r>
        <w:t xml:space="preserve"> </w:t>
      </w:r>
      <w:r>
        <w:t xml:space="preserve">(한양대학교 기술경영학과)</w:t>
      </w:r>
    </w:p>
    <w:p>
      <w:pPr>
        <w:pStyle w:val="BodyText"/>
      </w:pPr>
      <w:r>
        <w:t xml:space="preserve">HyungKyu Lee (Department of Management of Technology, Hanyang University)</w:t>
      </w:r>
    </w:p>
    <w:p>
      <w:r>
        <w:pict>
          <v:rect style="width:0;height:1.5pt" o:hralign="center" o:hrstd="t" o:hr="t"/>
        </w:pict>
      </w:r>
    </w:p>
    <w:bookmarkStart w:id="9" w:name="국문-초록"/>
    <w:p>
      <w:pPr>
        <w:pStyle w:val="Heading2"/>
      </w:pPr>
      <w:r>
        <w:t xml:space="preserve">국문 초록</w:t>
      </w:r>
    </w:p>
    <w:p>
      <w:pPr>
        <w:pStyle w:val="FirstParagraph"/>
      </w:pPr>
      <w:r>
        <w:t xml:space="preserve">웨이퍼 위에 소자를 만드는 전공정과 그 웨이퍼를 잘라 조립하는 후공정은 반도체 제조에서 오래 분리되어 온 두 영역이었다. 그러나 최근 주목받는 하이브리드 본딩은 후공정의 접합 기술인데도 표면 평탄화, 표면 처리 같은 전공정의 제조공정 기술 없이는 성능이 나오지 않는다. 이 논문은 두 공정의 기술이 실제로 한 특허 안에 함께 담기는지, 그리고 그 융합이 시간이 지나면서 어떤 양태로 전개되었는지를 유럽특허청 PATSTAT의 하이브리드 본딩 관련 특허출원 928건으로 살핀다. 출원마다 부여된 CPC 기호에 접합·인터커넥트 분류(H01L24)만 있으면 조립 단독형, 제조공정 기술 분류(H01L21)만 있으면 공정 단독형, 둘이 함께 있으면 통합형으로 나누었고, 두 클래스의 공동분류를 공정 간 융합의 대리측정치로 썼다. 통합형은 전체의 45.8%로 가장 많았고 보수적 정의에서도 37.2%였다. 융합의 전개는 세 국면으로 나타났다. 2014년 이전의 형성기에는 공정 단독형이 43.6%로 가장 많았고, 2015–2019년의 확산기에는 통합형이 62.2%로 정점에 이르렀으며, 2020–2024년의 재편기에는 통합형이 44.3%로 낮아지고 조립 단독형이 늘었다. 회귀분석에서 세부 기술을 더 다양하게 포함한 출원일수록 통합형일 가능성이 높았고(상대위험비 1.40), 이 연관은 세 국면 모두에서 유지되었다. 최근 출원일수록 공정 단독형으로 분류될 상대적 가능성은 낮아져 융합의 무게중심이 접합 쪽으로 옮겨 갔다. 기술 클러스터와 기술 네트워크 분석으로 찾은 하이브리드 본딩의 핵심 기술, 곧 접합 패드끼리 범프 없이 직접 연결하는 접합 기호 네 개를 담은 출원은 형성기에 제조공정 분류를 함께 가질 승산이 그렇지 않은 출원의 11.1배였지만, 그 차이는 확산기에 2.5배로 줄었고 재편기에는 사라졌다. 재편기의 융합은 핵심 기술이 아니라 임시 지지 기판, 봉지 같은 다이 취급 공정과의 결합에서 나타났다. 공정 단계 간 융합은 한 방향으로 쌓이기보다, 핵심 기술의 설계가 굳어 가면서 융합이 일어나는 자리가 핵심에서 주변으로 옮겨 가는 방식으로 전개되었다.</w:t>
      </w:r>
    </w:p>
    <w:p>
      <w:pPr>
        <w:pStyle w:val="BodyText"/>
      </w:pPr>
      <w:r>
        <w:rPr>
          <w:b/>
          <w:bCs/>
        </w:rPr>
        <w:t xml:space="preserve">주제어:</w:t>
      </w:r>
      <w:r>
        <w:t xml:space="preserve"> </w:t>
      </w:r>
      <w:r>
        <w:t xml:space="preserve">기술융합; 공정단계 간 융합; 하이브리드 본딩; 첨단 패키징; 기술 네트워크; 지배적 설계; 다항 로짓</w:t>
      </w:r>
    </w:p>
    <w:bookmarkEnd w:id="9"/>
    <w:bookmarkStart w:id="10" w:name="abstract"/>
    <w:p>
      <w:pPr>
        <w:pStyle w:val="Heading2"/>
      </w:pPr>
      <w:r>
        <w:t xml:space="preserve">Abstract</w:t>
      </w:r>
    </w:p>
    <w:p>
      <w:pPr>
        <w:pStyle w:val="FirstParagraph"/>
      </w:pPr>
      <w:r>
        <w:t xml:space="preserve">Wafer fabrication at the front end and assembly at the back end have been separate worlds in semiconductor manufacturing for decades. Hybrid bonding belongs to the back end, but it does not work without front-end capabilities, surface planarisation and surface treatment above all. This paper asks whether the two bodies of technology are combined within single patents and how that convergence has unfolded over time, using 928 hybrid-bonding-related applications drawn from EPO PATSTAT. Each application is labelled assembly-only when it carries only H01L24 symbols (bonding technology), process-only when it carries only H01L21 symbols (fabrication processes), and integrated when it carries both; co-classification in the two classes serves as a proxy for cross-stage convergence. Integrated applications are the largest group at 45.8%, and 37.2% under a narrower definition. Convergence unfolds in three phases. In the formation phase before 2015, process-only applications are the most common at 43.6%; in the diffusion phase of 2015–2019, the integrated share peaks at 62.2%; in the reconfiguration phase of 2020–2024, it falls to 44.3% while assembly-only applications grow. Applications spanning more diverse technical elements are more likely to be integrated (relative-risk ratio 1.40), in every phase, and process-only classification becomes relatively less likely for more recent filings, so the centre of gravity of convergence moves towards bonding. A technology cluster and network analysis identifies the core of hybrid bonding: four bonding symbols for connecting bonding areas directly, without bumps. Applications containing this core were 11.1 times as likely, in odds, to also carry fabrication-process symbols in the formation phase; the ratio fell to 2.5 in the diffusion phase and disappeared in the reconfiguration phase, when convergence appeared instead in combinations with die-handling processes such as temporary carriers and encapsulation. Cross-stage convergence did not simply accumulate: as the core design settled, the place where convergence occurs moved from the core of the technology to its periphery.</w:t>
      </w:r>
    </w:p>
    <w:p>
      <w:pPr>
        <w:pStyle w:val="BodyText"/>
      </w:pPr>
      <w:r>
        <w:rPr>
          <w:b/>
          <w:bCs/>
        </w:rPr>
        <w:t xml:space="preserve">Keywords:</w:t>
      </w:r>
      <w:r>
        <w:t xml:space="preserve"> </w:t>
      </w:r>
      <w:r>
        <w:t xml:space="preserve">technological convergence; cross-stage convergence; hybrid bonding; advanced packaging; technology network; dominant design; multinomial logit</w:t>
      </w:r>
    </w:p>
    <w:p>
      <w:r>
        <w:pict>
          <v:rect style="width:0;height:1.5pt" o:hralign="center" o:hrstd="t" o:hr="t"/>
        </w:pict>
      </w:r>
    </w:p>
    <w:bookmarkEnd w:id="10"/>
    <w:bookmarkStart w:id="14" w:name="서론"/>
    <w:p>
      <w:pPr>
        <w:pStyle w:val="Heading2"/>
      </w:pPr>
      <w:r>
        <w:t xml:space="preserve">1. 서론</w:t>
      </w:r>
    </w:p>
    <w:p>
      <w:pPr>
        <w:pStyle w:val="FirstParagraph"/>
      </w:pPr>
      <w:r>
        <w:t xml:space="preserve">반도체 산업의 분업 구조는 반세기 넘게 이어져 왔다. 트랜지스터를 웨이퍼 위에 만드는 일은 전공정(front end)의 몫이고, 다 만들어진 웨이퍼를 잘라 조립하고 포장하는 일은 후공정(back end)의 몫이었다. Kapoor(2013)가 기술하듯 전공정은 종합반도체기업(IDM)과 파운드리가 운영하는 대규모 팹에 집중되었고, 패키징과 테스트는 조립·테스트 전문업체(OSAT)로 외주화되는 길을 걸었다(Macher and Mowery, 2004; Brown and Linden, 2009). 이런 분업이 가능했던 것은 두 단계 사이의 인터페이스가 비교적 안정적으로 관리되었기 때문이다. 하지만 첨단 패키징의 등장으로 인해 이 인터페이스의 변화가 생기고 있다. 한 단계의 성능이 다른 단계의 공정 역량에 훨씬 직접적으로 기대게 된 것이다.</w:t>
      </w:r>
    </w:p>
    <w:p>
      <w:pPr>
        <w:pStyle w:val="BodyText"/>
      </w:pPr>
      <w:r>
        <w:t xml:space="preserve">회로를 더 작게 만드는 미세화는 집적도 향상이 둔해지고 비용이 빠르게 늘어나는 한계에 부딪혔다(그림 1). 그러자 산업은 다이를 나누고 쌓고 연결하는 방식에서 새 성능 향상의 여지를 찾기 시작했다(Arden et al., 2010; Khan et al., 2018). 그 중심에 하이브리드 본딩이 있다. 솔더 범프 없이 구리 패드와 주변 산화막을 직접 맞붙이는 이 기술은 종래 방식으로는 닿기 어려운 10 µm 이하의 연결 간격을 열어 준다고 Lau(2021, 2022)는 정리한다. 이 기술의 성패를 가르는 요소를 하나씩 짚어 보면 나노미터 수준의 표면 평탄화, 표면 활성화, 정밀 정렬인데, 어느 것도 후공정의 전통적 역량이 아니다. 모두 전공정의 제조공정 역량이다. 상호의존이 이렇게 커지자 선도 파운드리가 첨단 패키징 역량을 내부에 두려는 움직임이 나타난 것도 자연스럽다(Lau, 2022; KnowMade, 2024).</w:t>
      </w:r>
    </w:p>
    <w:p>
      <w:pPr>
        <w:pStyle w:val="BodyText"/>
        <w:keepNext/>
      </w:pPr>
      <w:r>
        <w:drawing>
          <wp:inline>
            <wp:extent cx="5334000" cy="1848595"/>
            <wp:effectExtent b="0" l="0" r="0" t="0"/>
            <wp:docPr descr="" title="" id="12" name="Picture"/>
            <a:graphic>
              <a:graphicData uri="http://schemas.openxmlformats.org/drawingml/2006/picture">
                <pic:pic>
                  <pic:nvPicPr>
                    <pic:cNvPr descr="figures/fig_scaling_cost_deca_ko.png" id="13" name="Picture"/>
                    <pic:cNvPicPr>
                      <a:picLocks noChangeArrowheads="1" noChangeAspect="1"/>
                    </pic:cNvPicPr>
                  </pic:nvPicPr>
                  <pic:blipFill>
                    <a:blip r:embed="rId11"/>
                    <a:stretch>
                      <a:fillRect/>
                    </a:stretch>
                  </pic:blipFill>
                  <pic:spPr bwMode="auto">
                    <a:xfrm>
                      <a:off x="0" y="0"/>
                      <a:ext cx="5334000" cy="1848595"/>
                    </a:xfrm>
                    <a:prstGeom prst="rect">
                      <a:avLst/>
                    </a:prstGeom>
                    <a:noFill/>
                    <a:ln w="9525">
                      <a:noFill/>
                      <a:headEnd/>
                      <a:tailEnd/>
                    </a:ln>
                  </pic:spPr>
                </pic:pic>
              </a:graphicData>
            </a:graphic>
          </wp:inline>
        </w:drawing>
      </w:r>
    </w:p>
    <w:p>
      <w:pPr>
        <w:pStyle w:val="BodyText"/>
      </w:pPr>
      <w:r>
        <w:rPr>
          <w:b/>
          <w:bCs/>
        </w:rPr>
        <w:t xml:space="preserve">그림 1.</w:t>
      </w:r>
      <w:r>
        <w:t xml:space="preserve"> </w:t>
      </w:r>
      <w:r>
        <w:t xml:space="preserve">공정 미세화에 따른 기능별 실리콘 면적 축소의 둔화(왼쪽)와 수율을 반영한 면적당 비용의 증가(오른쪽)(출처: Deca Technologies, 2023).</w:t>
      </w:r>
    </w:p>
    <w:p>
      <w:pPr>
        <w:pStyle w:val="BodyText"/>
      </w:pPr>
      <w:r>
        <w:t xml:space="preserve">이러한 기술경계의 융합을 개별특허의 수준에서 확인할 수 있는지, 그리고 시간이 지나면서 어떤 양태로 전개되는지가 이 논문의 질문이다. 기술융합 문헌은 서로 구분되던 기술 영역이 겹치고 결합하는 과정을 오랫동안 다루어 왔다(Rosenberg, 1963; Kodama, 1992; Curran and Leker, 2011; Sick and Bröring, 2022). 그러나 정보통신과 가전을 다룬 Hacklin et al.(2009), 식품과 제약을 다룬 Bröring et al.(2006), 나노기술과 바이오기술을 다룬 No와 Park(2010)에서 보듯 서로 다른 산업이나 기술 분야가 겹치는 경우에 관심을 두었지, 한 산업 안에서 가치사슬의 단계를 가로지르는 융합은 좀처럼 다루어지지 않았고, 융합을 단계적 과정으로 보는 이론(Hacklin et al., 2010)에 비해 융합의 내용이 시간에 따라 어떻게 바뀌는지를 본 실증도 적다. 가치사슬 상·하류 기업 간의 특허 인용을 분석한 Karvonen과 Kässi(2012)가 그나마 가까운 선례이지만, 하나의 기술이 공정 단계의 경계를 넘는지를 특허 단위에서 검정한 것은 아니었다. 누가 무엇을 만들고 가치를 가져가는가를 정하는 틀(Jacobides et al., 2006)에 변화를 가져오는 것은 바로 공정 단계의 경계를 허무는 이러한 발명이다.</w:t>
      </w:r>
    </w:p>
    <w:p>
      <w:pPr>
        <w:pStyle w:val="BodyText"/>
      </w:pPr>
      <w:r>
        <w:t xml:space="preserve">자료는 유럽특허청(EPO) PATSTAT에서 추출한 하이브리드 본딩 관련 특허출원 928건이고, 여기에 부여된 협력적 특허분류(CPC) 기호가 분석의 재료다. 접합·인터커넥트 분류(H01L24)의 기호와 제조공정 기술 분류(H01L21)의 기호가 한 출원에 함께 붙어 있으면 그 출원을 통합형, 곧 경계를 넘는 특허로 본다. 접합·인터커넥트 기호만 있으면 조립 단독형, 제조공정 기호만 있으면 공정 단독형이다. 공동분류로 융합을 포착하는 것 자체는 Curran과 Leker(2011), Kwon et al.(2020) 등이 써 온 표준적인 방법이다. 이 논문이 새로 하는 일은 그 방법을 두 산업 사이가 아니라 한 산업을 가로지르는 경계에 적용하고, 분야 수준의 지수로 집계하는 대신 개별 특허의 유형으로 재구성하는 것이다. 이 논문이 답하려는 질문은 세 가지다. 첫째, 하이브리드 본딩 특허에서 제조공정과 접합 기술의 융합은 얼마나 일반적이며 시기에 따라 어떻게 전개되었는가. 둘째, 어떤 특허가 두 공정의 경계를 넘으며, 융합의 무게중심은 시간에 따라 어느 쪽으로 옮겨 갔는가. 셋째, 융합이 일어나는 자리는 하이브리드 본딩의 핵심 기술과 주변 기술 사이에서 어떻게 옮겨 갔는가.</w:t>
      </w:r>
    </w:p>
    <w:p>
      <w:pPr>
        <w:pStyle w:val="BodyText"/>
      </w:pPr>
      <w:r>
        <w:t xml:space="preserve">결론부터 적으면 통합형은 출원의 45.8%로 가장 많은 유형이고 좁은 정의로도 37.2%다. 그리고 융합은 세 국면을 거쳐 전개되었다. 2014년 이전의 형성기에는 공정 단독형이 가장 많았고, 2015–2019년의 확산기에는 두 공정의 기술을 함께 담은 통합형이 정점에 이르렀으며, 2020–2024년의 재편기에는 통합형이 낮아지고 조립 단독형이 늘었다. 세 국면 모두에서 세부 기술을 더 다양하게 포함한 출원이 경계를 넘었고, 공정 단독형은 최근으로 올수록 드물어졌다. 기술 클러스터와 기술 네트워크로 찾은 핵심 기술, 곧 접합 패드끼리 직접 연결하는 기술을 담은 출원은 형성기에 통합형인 경우가 훨씬 많았지만 재편기에는 그 차이가 사라졌고, 제조공정과의 결합은 그 대신 다이 취급 공정에서 늘었다. 융합은 한 방향으로 쌓인 것이 아니라 핵심에서 주변으로 자리를 옮겨 간 것이다. 이 논문의 기여는 세 갈래로 나뉜다. 개념적으로는 산업 간 사례에 머물던 융합 이론을 산업 내 공정 단계 간 사례로 넓히고, 융합을 정도의 증감이 아니라 내용과 자리가 바뀌는 과정으로 기술한다. 이를 통해 Langlois와 Steinmueller(1999), Kapoor와 Adner(2012), Kapoor(2013)의 반도체 산업 아키텍처 문헌, 그리고 지배적 설계에 관한 기술 순환 문헌(Anderson and Tushman, 1990)의 논의를 개별 공정 영역의 특허 자료로 살핀다. 방법론적으로는 융합지수를 하나 더 만드는 대신 공동분류를 개별 특허의 유형으로 재구성함으로써, 분야 수준 지수가 평균 속에 묻어 버리는 특허 간 이질성과 그 시간 변화를 추정할 수 있게 하고, 기술 클러스터와 기술 네트워크로 찾은 핵심 기술을 그 추정에 연결한다. 그리고 이 설계는 CPC 클래스 둘, 분류 규칙 하나, 표준 추정량만으로 이루어져 있으므로, 하류 단계가 상류 역량에 기대기 시작한 다른 공정기술에도 그대로 옮겨 쓸 수 있다.</w:t>
      </w:r>
    </w:p>
    <w:p>
      <w:pPr>
        <w:pStyle w:val="BodyText"/>
      </w:pPr>
      <w:r>
        <w:t xml:space="preserve">논문의 구성은 다음과 같다. 제2절은 이론적 배경을 검토하고 가설을 세운다. 제3절은 하이브리드 본딩 기술과 산업 지형을 소개한다. 제4절은 자료와 측정, 방법을, 제5절은 결과를 제시한다. 제6절은 함의와 한계를 논의하고, 제7절은 결론을 맺는다.</w:t>
      </w:r>
    </w:p>
    <w:bookmarkEnd w:id="14"/>
    <w:bookmarkStart w:id="19" w:name="이론적-배경과-가설"/>
    <w:p>
      <w:pPr>
        <w:pStyle w:val="Heading2"/>
      </w:pPr>
      <w:r>
        <w:t xml:space="preserve">2. 이론적 배경과 가설</w:t>
      </w:r>
    </w:p>
    <w:bookmarkStart w:id="15" w:name="기술융합"/>
    <w:p>
      <w:pPr>
        <w:pStyle w:val="Heading3"/>
      </w:pPr>
      <w:r>
        <w:t xml:space="preserve">2.1 기술융합</w:t>
      </w:r>
    </w:p>
    <w:p>
      <w:pPr>
        <w:pStyle w:val="FirstParagraph"/>
      </w:pPr>
      <w:r>
        <w:t xml:space="preserve">한 영역에서 개발된 기술이 다른 영역으로 옮겨 간다는 생각은 오래되었다. Rosenberg(1963)는 19세기 공작기계 산업의 출현을 분석하면서, 총기나 재봉틀을 위해 개발된 가공 기술이 다른 제품에도 쓰일 수 있음을 기업들이 깨달아 가는 과정을 기술적 수렴이라 불렀다. Kodama(1992)는 분리되어 있던 기술 분야들을 결합해 어느 한쪽도 홀로 갖지 못한 역량을 만드는 과정을 기술융합이라 개념화했다. Hacklin et al.(2010)은 융합이 지식의 융합에서 기술과 응용의 융합을 거쳐 산업의 융합으로 단계적으로 진행된다는 단계 모형을 제시했고, 이 단계들이 서로 되먹임하며 공진화적 순환을 이룬다고 보았다(Hacklin et al., 2009). Curran과 Leker(2011)는 이 단계들을 특허 지표로 관찰하는 방법을 제시했다. 이후 이 문헌은 기술혁신경영의 독립된 연구 흐름으로 자리 잡았다(Geum et al., 2016; Sick and Bröring, 2022). 융합의 동인에 관한 실증도 쌓이기 시작했다. Caviggioli(2016)는 융합이 일어나기 쉬운 기술 분야의 특성을, Hwang(2020)은 한국 정보통신기업의 자료로 협력 유형과 융합의 관계를 살폈다.</w:t>
      </w:r>
    </w:p>
    <w:p>
      <w:pPr>
        <w:pStyle w:val="BodyText"/>
      </w:pPr>
      <w:r>
        <w:t xml:space="preserve">이 문헌의 세 가지 특징이 본 연구의 출발점이다. 첫째, 초점이 서로 다른 산업이나 기술 분야의 중첩에 있다. 통신과 컴퓨팅, 식품과 제약, 나노기술과 바이오기술 등 대표적 사례는 모두 다른 산업의 기업들이 지식 기반의 중첩을 발견하는 상황이다(Gambardella and Torrisi, 1998; Bröring et al., 2006; No and Park, 2010). 둘째, 융합은 보통 두 분야 사이의 공동분류나 인용을 집계한 분야 수준의 지표로 측정된다(Curran et al., 2010; Cho and Kim, 2014; Song et al., 2017). 이런 지표는 두 분야가 융합하는지, 언제 융합하는지를 알려 준다. 그러나 어떤 발명이 융합을 담고 있고 어떤 특성의 발명이 그러한지는 알려 주지 못한다. 개별 특허의 차이가 평균 속에 묻히기 때문이다. 셋째, 융합을 지식에서 기술과 응용, 산업으로 나아가는 단계적 과정으로 보는 이론에 비해(Hacklin et al., 2010), 실증은 대개 융합의 정도가 늘었는지를 추세로 보는 데 그쳤다. 융합이 진행되면서 무엇과 무엇이 결합하는지, 곧 융합의 내용과 자리가 어떻게 바뀌는지는 상대적으로 적게 다루어졌다.</w:t>
      </w:r>
    </w:p>
    <w:bookmarkEnd w:id="15"/>
    <w:bookmarkStart w:id="16" w:name="가치사슬-단계-사이의-융합-반도체의-경우"/>
    <w:p>
      <w:pPr>
        <w:pStyle w:val="Heading3"/>
      </w:pPr>
      <w:r>
        <w:t xml:space="preserve">2.2 가치사슬 단계 사이의 융합: 반도체의 경우</w:t>
      </w:r>
    </w:p>
    <w:p>
      <w:pPr>
        <w:pStyle w:val="FirstParagraph"/>
      </w:pPr>
      <w:r>
        <w:t xml:space="preserve">산업과 산업 사이의 경계 말고도 또 다른 경계가 있다. 한 산업 안에서 가치사슬의 단계를 가르는 경계다. 반도체 산업이 좋은 사례인 것은 이 경계가 수직 전문화 연구의 오랜 대상이었기 때문이다. Langlois와 Steinmueller(1999)는 산업 구조가 바뀌는 동안 경쟁우위가 기업과 국가 사이에서 어떻게 옮겨 다녔는지를 추적했고, Macher와 Mowery(2004)는 설계와 제조, 제조와 조립이 분리되어 팹리스, 파운드리, 조립·테스트 전문업체가 생겨난 과정을 기록했다. 이 구조가 여러 차례의 위기를 거치며 재협상되어 온 과정은 Brown과 Linden(2009)이 기술했다. 한편 Kapoor(2013)에 따르면 전문화가 진행되는 가운데서도 여러 단계에 걸친 역량을 유지한 기업이 있었고, 이들은 기술 전환에 다르게 대응했으며 그 선택이 산업 아키텍처를 만들어 왔다. Kapoor와 Adner(2012)는 DRAM 산업을 대상으로, 부품과 시스템이 서로 얽혀 있을 때 기업이 직접 만드는 범위보다 넓은 지식을 가질수록 유리하다는 점을 보였다.</w:t>
      </w:r>
    </w:p>
    <w:p>
      <w:pPr>
        <w:pStyle w:val="BodyText"/>
      </w:pPr>
      <w:r>
        <w:t xml:space="preserve">두 문헌을 잇는 논리는 다음과 같다. 산업 아키텍처는 누가 무엇을 하고 가치가 어떻게 나뉘는지를 정하는 틀이며(Jacobides et al., 2006), 공정 단계 사이의 인터페이스가 안정적일 때 전문화를 허용한다. 새로운 기술이 한 단계의 성능을 다른 단계의 지식에 의존하게 만들면 인터페이스가 불안정해지고, 기업은 경계 반대편의 지식을 획득하거나 통합해야 한다. 이때 지식의 결합은 먼저 발명 수준에서 나타난다. 한 발명이 두 단계의 기술을 함께 담기 시작하는 것이다. 특허의 공동분류는 이러한 지식 경계 확장의 흔적이다. 하이브리드 본딩은 이런 기술에 해당한다. 수율이 평탄화, 표면 화학, 정렬처럼 전공정에 자리한 제조공정 역량에 달려 있으므로 제조와 패키징 사이의 인터페이스는 더 이상 안정적이지 않다. 그 결과는 두 산업 사이가 아니라 한 산업의 두 단계 사이에서 일어나는 융합이다. 이 현상은 미세화의 한계에 관한 문헌이 예측하고(Arden et al., 2010; Iyer, 2016; Khan et al., 2018) 패키징 공학 문헌이 기술적으로 기록해 왔지만(Lau, 2021, 2022), 이를 발명의 기록에서 관찰하는 방법은 거의 제시되지 않았다.</w:t>
      </w:r>
    </w:p>
    <w:bookmarkEnd w:id="16"/>
    <w:bookmarkStart w:id="17" w:name="특허로-융합을-측정하기"/>
    <w:p>
      <w:pPr>
        <w:pStyle w:val="Heading3"/>
      </w:pPr>
      <w:r>
        <w:t xml:space="preserve">2.3 특허로 융합을 측정하기</w:t>
      </w:r>
    </w:p>
    <w:p>
      <w:pPr>
        <w:pStyle w:val="FirstParagraph"/>
      </w:pPr>
      <w:r>
        <w:t xml:space="preserve">융합 측정에 특허가 가장 널리 쓰이는 이유는 분류 기호가 각 발명을 하나 이상의 기술 분야에 배치해 주기 때문이다(Curran and Leker, 2011). 기존 연구는 대체로 두 분야의 기호가 함께 부여된 특허의 수를 세어 분야 수준의 지수로 집계해 왔다(Cho and Kim, 2014; Lee et al., 2015; Jeong et al., 2015; Kwon et al., 2020). 분류가 발명을 뒤늦게 따라간다는 문제를 피하려고 특허 텍스트를 이용하는 연구도 있다(Preschitschek et al., 2013; Zhu and Motohashi, 2022).</w:t>
      </w:r>
    </w:p>
    <w:p>
      <w:pPr>
        <w:pStyle w:val="BodyText"/>
      </w:pPr>
      <w:r>
        <w:t xml:space="preserve">공동분류를 신호로 쓴다는 점에서 본 연구는 첫째 흐름에 속한다. 다른 점은 분석 단위다. 공동분류를 분야 수준으로 집계하는 대신 개별 특허를 세 가지 공동분류 유형으로 나누는데, 접합·인터커넥트 기호(H01L24)만 부여된 조립 단독형, 제조공정 기호(H01L21)만 부여된 공정 단독형, 그리고 두 기호가 함께 부여된 통합형이 그것이다. 이 가운데 통합형이 경계를 넘는 특허다. 특허 하나하나에 대해 정의되는 구분이므로 표준 이산선택 모형으로 분석할 수 있고, 집계 지수가 평균해 버리는 특허 간 차이도 살아남는다. 한 가지 단서는 필요하다. CPC 기호는 심사관이 발명의 기술 내용에 부여하는 것이므로, 공동분류는 두 영역의 기술이 한 발명에 함께 담겼다는 사실의 대리측정치이지 법적 청구범위의 측정치는 아니다. 이 점은 제4.2절에서 다시 정리한다.</w:t>
      </w:r>
    </w:p>
    <w:p>
      <w:pPr>
        <w:pStyle w:val="BodyText"/>
      </w:pPr>
      <w:r>
        <w:t xml:space="preserve">설명변수와 핵심 기술의 식별은 두 갈래의 특허 연구에 기댄다. 하나는 특허 범위 연구다. Lerner(1994)는 특허가 걸치는 분류의 수로 범위를 재고 범위가 경제적 가치를 가짐을 보였으며, 반도체에서는 특허 시장이 잘게 나뉘어 있을수록 기업이 넓은 포트폴리오를 쌓는다는 점이 알려져 있다(Hall and Ziedonis, 2001; Ziedonis, 2004). 본 연구의 기술범위는 이 전통을 따르되 두 클래스 안의 세부 분류 수로 한정한 측정치다. 다른 하나는 기술 네트워크 연구다. 분류 기호를 노드로, 한 특허에 함께 부여된 기호의 쌍을 연결로 보면 기술 요소 사이의 결합 구조를 네트워크로 그릴 수 있다(Sternitzke et al., 2008). 두 기호가 함께 부여되는 빈도는 두 기술 사이의 지식 관련성을 나타내며(Breschi et al., 2003), 많은 특허가 공통으로 다루면서 서로 강하게 연결된 기호의 묶음, 곧 기술 클러스터는 그 기술의 핵심 요소를 드러낸다. 본 연구는 이 방법으로 하이브리드 본딩의 핵심 기술을 식별하고(제4.4절), 그 핵심 기술을 담은 특허가 경계를 넘는지를 가설로 검정한다.</w:t>
      </w:r>
    </w:p>
    <w:bookmarkEnd w:id="17"/>
    <w:bookmarkStart w:id="18" w:name="가설"/>
    <w:p>
      <w:pPr>
        <w:pStyle w:val="Heading3"/>
      </w:pPr>
      <w:r>
        <w:t xml:space="preserve">2.4 가설</w:t>
      </w:r>
    </w:p>
    <w:p>
      <w:pPr>
        <w:pStyle w:val="FirstParagraph"/>
      </w:pPr>
      <w:r>
        <w:t xml:space="preserve">융합은 한 번에 일어나는 사건이 아니라 단계를 밟는 과정이다(Hacklin et al., 2010). 여기에 새 기술이 여러 설계가 경쟁하는 격동기를 거쳐 지배적 설계로 수렴한다는 기술 순환 모형(Anderson and Tushman, 1990)을 겹치면, 공정 단계 사이의 융합도 시기에 따라 다른 양태를 보일 것으로 예상할 수 있다. 기술이 형성되는 시기에는 직접 접합을 가능하게 하는 공정 발명이 나오며, 기술이 확산되면 공정 지식이 접합 발명과 함께 융합되는 일이 늘어난다. 하나의 설계방식이 주류가 되면 두 공정의 결합은 응용에 필요한 주변 공정으로 옮겨 간다. 이 예상에서 세 가지 가설을 세운다. H1은 어떤 특허가 경계를 넘는가, H2는 융합의 무게중심이 제조공정 쪽에서 접합 쪽으로 옮겨 가는가, H3은 융합이 일어나는 자리가 핵심 기술에서 주변으로 옮겨 가는가를 묻는다.</w:t>
      </w:r>
    </w:p>
    <w:p>
      <w:pPr>
        <w:pStyle w:val="BodyText"/>
      </w:pPr>
      <w:r>
        <w:rPr>
          <w:b/>
          <w:bCs/>
        </w:rPr>
        <w:t xml:space="preserve">기술적 다양성.</w:t>
      </w:r>
      <w:r>
        <w:t xml:space="preserve"> </w:t>
      </w:r>
      <w:r>
        <w:t xml:space="preserve">Kodama(1992)의 융합도 Rosenberg(1963)의 수렴도 둘 이상의 기술 영역에 걸치는 발명을 뜻하며, 이는 두 클래스 안에서 더 다양한 세부 기술 요소를 포함하는 출원일수록 두 영역의 기호가 함께 부여될 가능성이 높아야 한다. 다만 이 관계에는 기계적인 부분이 있다. 기술범위와 공동분류 유형이 같은 CPC 집합에서 만들어지고, 통합형은 정의상 두 클래스의 기호를 하나씩은 가지므로 범위가 2 이상이기 때문이다. 정의에서 오는 최소 기호 수의 차이는 제5.4절에서 유형 최소치 조정 CPC 범위로 탐색적으로 살핀다.</w:t>
      </w:r>
    </w:p>
    <w:p>
      <w:pPr>
        <w:pStyle w:val="BlockText"/>
      </w:pPr>
      <w:r>
        <w:rPr>
          <w:b/>
          <w:bCs/>
        </w:rPr>
        <w:t xml:space="preserve">H1.</w:t>
      </w:r>
      <w:r>
        <w:t xml:space="preserve"> </w:t>
      </w:r>
      <w:r>
        <w:t xml:space="preserve">제조공정 및 접합 영역에서 더 다양한 세부 기술 요소를 포함하는 출원일수록 두 영역의 CPC 기호가 함께 부여될(통합형일) 가능성이 높다.</w:t>
      </w:r>
    </w:p>
    <w:p>
      <w:pPr>
        <w:pStyle w:val="FirstParagraph"/>
      </w:pPr>
      <w:r>
        <w:rPr>
          <w:b/>
          <w:bCs/>
        </w:rPr>
        <w:t xml:space="preserve">시간 변화.</w:t>
      </w:r>
      <w:r>
        <w:t xml:space="preserve"> </w:t>
      </w:r>
      <w:r>
        <w:t xml:space="preserve">융합의 단계 모형(Hacklin et al., 2010; Jeong et al., 2015)에 따르면 기술이 발전하면서 융합의 형태도 바뀐다. 하이브리드 본딩의 초기 발명은 표면 준비, 저온 어닐링, 평탄화처럼 직접 접합을 가능하게 한 공정 단계에 관한 것이었고, 그래서 공정 발명으로 분류되었다. 적용 범위가 이미지센서와 3D NAND의 웨이퍼 단위 접합에서 고대역폭 메모리와 로직을 위한 다이 단위 접합으로 넓어지자 발명의 중심은 접합된 구조와 적층 쪽으로 옮겨 갔다(Lau, 2021).</w:t>
      </w:r>
    </w:p>
    <w:p>
      <w:pPr>
        <w:pStyle w:val="BlockText"/>
      </w:pPr>
      <w:r>
        <w:rPr>
          <w:b/>
          <w:bCs/>
        </w:rPr>
        <w:t xml:space="preserve">H2.</w:t>
      </w:r>
      <w:r>
        <w:t xml:space="preserve"> </w:t>
      </w:r>
      <w:r>
        <w:t xml:space="preserve">출원연도가 최근일수록 특허가 공정 단독형보다 조립 단독형으로 분류될 상대적 가능성은 높다.</w:t>
      </w:r>
    </w:p>
    <w:p>
      <w:pPr>
        <w:pStyle w:val="FirstParagraph"/>
      </w:pPr>
      <w:r>
        <w:rPr>
          <w:b/>
          <w:bCs/>
        </w:rPr>
        <w:t xml:space="preserve">핵심 기술.</w:t>
      </w:r>
      <w:r>
        <w:t xml:space="preserve"> </w:t>
      </w:r>
      <w:r>
        <w:t xml:space="preserve">복합적인 기술은 다른 요소와 많이 얽힌 핵심 요소와 그렇지 않은 주변 요소로 이루어지며, 핵심 요소의 설계가 바뀌면 그와 얽힌 다른 요소도 함께 바뀌어야 한다(Murmann and Frenken, 2006). 하이브리드 본딩의 핵심은 범프나 솔더 없이 접합 패드끼리 직접 맞붙이는 연결이다(Lau, 2021). 그런데 핵심 요소를 다루는 발명이 경계 반대편의 지식을 얼마나 함께 담는지는 기술의 시기에 따라 다를 것이다. 기술 순환 모형에 따르면 새 기술이 등장한 직후의 격동기에는 여러 설계가 경쟁하고 핵심 요소와 다른 요소 사이의 인터페이스가 정해져 있지 않다. 지배적 설계가 자리 잡으면 인터페이스가 굳고, 이후의 발명은 정해진 설계를 다듬는 점진적 개선으로 바뀐다(Anderson and Tushman, 1990). 인터페이스가 정해지지 않은 동안 접합 패드의 직접 연결을 발명하려면 표면 평탄화와 웨이퍼 접합 같은 제조공정 지식을 함께 다루어야 한다. 반면 인터페이스가 굳고 나면 그 지식은 정해진 조건으로 전제되고, 핵심 기술의 발명은 접합 영역 안에서 이루어질 수 있다. Brusoni et al.(2001)은 기업이 직접 만드는 것보다 넓은 지식을 가져야 하는 이유를 구성요소 사이의 예측하기 어려운 상호의존에서 찾았다. 같은 논리로, 상호의존이 예측 가능해질수록 한 발명이 경계 반대편의 지식을 함께 담을 필요는 줄어든다. 하이브리드 본딩은 이미지센서와 3D NAND의 웨이퍼 단위 접합에서 먼저 상용화된 뒤 다이 단위 접합으로 적용이 넓어졌으므로(Lau, 2021, 2022), 출원 시기가 늦을수록 핵심 기술의 설계가 굳어 간 단계에 해당할 가능성이 크다. 핵심 기술이 무엇인지는 제4.4절의 기술 클러스터와 기술 네트워크 분석으로 식별한다.</w:t>
      </w:r>
    </w:p>
    <w:p>
      <w:pPr>
        <w:pStyle w:val="BlockText"/>
      </w:pPr>
      <w:r>
        <w:rPr>
          <w:b/>
          <w:bCs/>
        </w:rPr>
        <w:t xml:space="preserve">H3.</w:t>
      </w:r>
      <w:r>
        <w:t xml:space="preserve"> </w:t>
      </w:r>
      <w:r>
        <w:t xml:space="preserve">하이브리드 본딩의 핵심 기술을 담은 출원이 통합형일 가능성은 그렇지 않은 출원보다 높지만, 그 차이는 최근 출원일수록 줄어든다.</w:t>
      </w:r>
    </w:p>
    <w:bookmarkEnd w:id="18"/>
    <w:bookmarkEnd w:id="19"/>
    <w:bookmarkStart w:id="26" w:name="연구-맥락-하이브리드-본딩-기술과-산업-지형"/>
    <w:p>
      <w:pPr>
        <w:pStyle w:val="Heading2"/>
      </w:pPr>
      <w:r>
        <w:t xml:space="preserve">3. 연구 맥락: 하이브리드 본딩 기술과 산업 지형</w:t>
      </w:r>
    </w:p>
    <w:p>
      <w:pPr>
        <w:pStyle w:val="FirstParagraph"/>
      </w:pPr>
      <w:r>
        <w:t xml:space="preserve">하이브리드 본딩은 유전체 안에 구리 패드가 새겨진 두 평탄한 표면을 맞대어, 상온에서 유전체끼리 먼저 붙고 저온 어닐링 뒤 구리끼리 붙게 하여 영구적인 전기 연결을 만드는 기술이다. 솔더 범프가 없으므로 연결 간격은 마이크로범프 플립칩으로는 어려운 10 µm 이하로 내려가며, 연구 단계에서는 1 µm 이하에 이른다(Lau, 2021, 2022). 공정은 두 가지 형태로 쓰인다. 웨이퍼-투-웨이퍼(W2W) 접합은 웨이퍼 전체를 붙이는 방식으로 CMOS 이미지센서와 3D NAND에서 먼저 상용화되었다. 다이-투-웨이퍼(D2W) 접합은 개별 다이를 웨이퍼에 붙이는 방식으로 칩렛, 고대역폭 메모리(HBM), 3D 로직에 필요하다. 두 형태 모두에서 수율을 좌우하는 단계, 곧 나노미터 이하의 거칠기로 표면을 다듬는 화학적 기계연마(CMP), 플라즈마 표면 활성화, 파티클 제어, 정밀 정렬은 CPC 분류상 반도체 제조공정 클래스(H01L21)에 속한다(제4.1절, 표 1). 그림 2는 하이브리드 본딩을 기반 공정, 접합 형태, 소자 구조, 적용 제품의 네 층으로 정리한 것이다. 기반 공정은 주로 제조공정 클래스(H01L21)와, 접합 형태 및 인터커넥트 구성은 주로 접합·인터커넥트 클래스(H01L24)와 대응한다. 그림 3은 D2W 하이브리드 본딩의 공정 흐름이다. 다이를 잘라 붙이기 전까지 층간 절연막 증착, 다마신 식각, 구리 배리어·시드 증착, 구리 도금, 화학적 기계연마가 이어지며, 이는 모두 전공정에서 쓰던 공정과 장비다.</w:t>
      </w:r>
    </w:p>
    <w:p>
      <w:pPr>
        <w:pStyle w:val="BodyText"/>
        <w:keepNext/>
      </w:pPr>
      <w:r>
        <w:drawing>
          <wp:inline>
            <wp:extent cx="5334000" cy="4233333"/>
            <wp:effectExtent b="0" l="0" r="0" t="0"/>
            <wp:docPr descr="" title="" id="21" name="Picture"/>
            <a:graphic>
              <a:graphicData uri="http://schemas.openxmlformats.org/drawingml/2006/picture">
                <pic:pic>
                  <pic:nvPicPr>
                    <pic:cNvPr descr="figures/fig_framework_psp.png" id="22" name="Picture"/>
                    <pic:cNvPicPr>
                      <a:picLocks noChangeArrowheads="1" noChangeAspect="1"/>
                    </pic:cNvPicPr>
                  </pic:nvPicPr>
                  <pic:blipFill>
                    <a:blip r:embed="rId20"/>
                    <a:stretch>
                      <a:fillRect/>
                    </a:stretch>
                  </pic:blipFill>
                  <pic:spPr bwMode="auto">
                    <a:xfrm>
                      <a:off x="0" y="0"/>
                      <a:ext cx="5334000" cy="4233333"/>
                    </a:xfrm>
                    <a:prstGeom prst="rect">
                      <a:avLst/>
                    </a:prstGeom>
                    <a:noFill/>
                    <a:ln w="9525">
                      <a:noFill/>
                      <a:headEnd/>
                      <a:tailEnd/>
                    </a:ln>
                  </pic:spPr>
                </pic:pic>
              </a:graphicData>
            </a:graphic>
          </wp:inline>
        </w:drawing>
      </w:r>
    </w:p>
    <w:p>
      <w:pPr>
        <w:pStyle w:val="BodyText"/>
      </w:pPr>
      <w:r>
        <w:rPr>
          <w:b/>
          <w:bCs/>
        </w:rPr>
        <w:t xml:space="preserve">그림 2.</w:t>
      </w:r>
      <w:r>
        <w:t xml:space="preserve"> </w:t>
      </w:r>
      <w:r>
        <w:t xml:space="preserve">하이브리드 본딩의 기반 공정, 접합 형태, 소자 구조, 적용 제품(저자 작성; Lau(2021, 2022)의 기술 설명을 바탕으로 재구성).</w:t>
      </w:r>
    </w:p>
    <w:p>
      <w:pPr>
        <w:pStyle w:val="BodyText"/>
        <w:keepNext/>
      </w:pPr>
      <w:r>
        <w:drawing>
          <wp:inline>
            <wp:extent cx="5334000" cy="3412748"/>
            <wp:effectExtent b="0" l="0" r="0" t="0"/>
            <wp:docPr descr="" title="" id="24" name="Picture"/>
            <a:graphic>
              <a:graphicData uri="http://schemas.openxmlformats.org/drawingml/2006/picture">
                <pic:pic>
                  <pic:nvPicPr>
                    <pic:cNvPr descr="figures/fig_d2w_flow_amat_ko.png" id="25" name="Picture"/>
                    <pic:cNvPicPr>
                      <a:picLocks noChangeArrowheads="1" noChangeAspect="1"/>
                    </pic:cNvPicPr>
                  </pic:nvPicPr>
                  <pic:blipFill>
                    <a:blip r:embed="rId23"/>
                    <a:stretch>
                      <a:fillRect/>
                    </a:stretch>
                  </pic:blipFill>
                  <pic:spPr bwMode="auto">
                    <a:xfrm>
                      <a:off x="0" y="0"/>
                      <a:ext cx="5334000" cy="3412748"/>
                    </a:xfrm>
                    <a:prstGeom prst="rect">
                      <a:avLst/>
                    </a:prstGeom>
                    <a:noFill/>
                    <a:ln w="9525">
                      <a:noFill/>
                      <a:headEnd/>
                      <a:tailEnd/>
                    </a:ln>
                  </pic:spPr>
                </pic:pic>
              </a:graphicData>
            </a:graphic>
          </wp:inline>
        </w:drawing>
      </w:r>
    </w:p>
    <w:p>
      <w:pPr>
        <w:pStyle w:val="BodyText"/>
      </w:pPr>
      <w:r>
        <w:rPr>
          <w:b/>
          <w:bCs/>
        </w:rPr>
        <w:t xml:space="preserve">그림 3.</w:t>
      </w:r>
      <w:r>
        <w:t xml:space="preserve"> </w:t>
      </w:r>
      <w:r>
        <w:t xml:space="preserve">다이-투-웨이퍼(D2W) 하이브리드 본딩의 공정 흐름과 단계별 장비(출처: Applied Materials, 2025).</w:t>
      </w:r>
    </w:p>
    <w:p>
      <w:pPr>
        <w:pStyle w:val="BodyText"/>
      </w:pPr>
      <w:r>
        <w:t xml:space="preserve">산업 지형도 같은 방향을 가리킨다. 하이브리드 본딩 특허에 대한 독립적 산업 분석은 TSMC, Adeia, YMTC, Intel, Samsung을 특허 활동을 주도하는 출원인으로 꼽는다(KnowMade, 2024). 원천기술을 가진 라이선싱 기업, 첨단 패키징을 직접 운영하는 파운드리, 메모리 제조사가 나란히 앞서 있다는 사실은 접합 기술이 더 이상 후공정 전문기업만의 영역이 아님을 보여준다.</w:t>
      </w:r>
    </w:p>
    <w:bookmarkEnd w:id="26"/>
    <w:bookmarkStart w:id="38" w:name="자료와-방법"/>
    <w:p>
      <w:pPr>
        <w:pStyle w:val="Heading2"/>
      </w:pPr>
      <w:r>
        <w:t xml:space="preserve">4. 자료와 방법</w:t>
      </w:r>
    </w:p>
    <w:bookmarkStart w:id="27" w:name="자료"/>
    <w:p>
      <w:pPr>
        <w:pStyle w:val="Heading3"/>
      </w:pPr>
      <w:r>
        <w:t xml:space="preserve">4.1 자료</w:t>
      </w:r>
    </w:p>
    <w:p>
      <w:pPr>
        <w:pStyle w:val="FirstParagraph"/>
      </w:pPr>
      <w:r>
        <w:t xml:space="preserve">자료는 유럽특허청의 PATSTAT Global 2025년판에서 가져왔다(European Patent Office, 2025). 먼저 CPC 분류 H01L21(반도체 제조공정)과 H01L24(반도체 접합·연결 기술)로 후보를 검색한 뒤, 제목에 하이브리드 본딩 관련 키워드(</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 가운데 하나 이상이 들어 있는 출원만 남겼다(표 1). 절차는 다음과 같다. 후보 출원은 H01L21 또는 H01L24 계열 CPC 기호를 하나 이상 가진 출원으로 한정하였다. 그 결과 출원–CPC 쌍 5,277건, 출원 단위로 1968–2024년에 출원된 928건이 된다. 따라서 표본은 하이브리드 본딩 특허 전체가 아니라 이 검색식으로 식별된 관련 출원이며, 제목에 관련어가 없는 출원은 포함되지 않는다. 또한 이 광의의 표본은 현대의 하이브리드 본딩뿐 아니라 그 기술적 기반이 된 초기 직접 접합(direct bonding) 전구 기술을 함께 포착하도록 설계되었다. 추출 단계에서 두 클래스 밖의 기호는 보존되지 않았으므로, 모든 기호는 H01L21 계열(202개)과 H01L24 계열(60개)의 서브그룹 기호(사선 뒤의 세부 번호까지 포함한 전체 기호, 예: H01L 21/603) 262개로 이루어진다. 다만 제4.4절의 기술 클러스터와 기술 네트워크 표는 같은 928건에 부여된 전체 CPC 기호(접합의 인덱싱 코드 H01L2224와 소자 조립체 클래스 H01L25 포함)를 저자가 따로 집계한 결과이며, 회귀분석에는 쓰지 않는다. 본 연구의 분석단위는 PATSTAT의 개별 특허출원이다. 같은 발명이 여러 출원청에 제출된 경우 각 출원은 별도의 관측치로 포함되며, 계량분석의 관측단위는 특허출원이다.</w:t>
      </w:r>
    </w:p>
    <w:p>
      <w:pPr>
        <w:pStyle w:val="BodyText"/>
        <w:keepNext/>
      </w:pPr>
      <w:r>
        <w:rPr>
          <w:b/>
          <w:bCs/>
        </w:rPr>
        <w:t xml:space="preserve">표 1.</w:t>
      </w:r>
      <w:r>
        <w:t xml:space="preserve"> </w:t>
      </w:r>
      <w:r>
        <w:t xml:space="preserve">하이브리드 본딩 관련 특허의 검색 전략.</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217"/>
        <w:gridCol w:w="1209"/>
        <w:gridCol w:w="5643"/>
      </w:tblGrid>
      <w:tr>
        <w:trPr>
          <w:tblHeader w:val="on"/>
          <w:cantSplit/>
        </w:trPr>
        <w:tc>
          <w:tcPr>
            <w:tcW w:type="dxa" w:w="2217"/>
            <w:tcBorders>
              <w:bottom w:val="single" w:sz="4" w:space="0" w:color="000000"/>
            </w:tcBorders>
          </w:tcPr>
          <w:p>
            <w:pPr>
              <w:pStyle w:val="Compact"/>
              <w:spacing w:before="20" w:after="20" w:line="240" w:lineRule="auto"/>
              <w:keepNext/>
            </w:pPr>
            <w:r>
              <w:rPr>
                <w:sz w:val="18"/>
                <w:szCs w:val="18"/>
              </w:rPr>
              <w:t xml:space="preserve">단계</w:t>
            </w:r>
          </w:p>
        </w:tc>
        <w:tc>
          <w:tcPr>
            <w:tcW w:type="dxa" w:w="1209"/>
            <w:tcBorders>
              <w:bottom w:val="single" w:sz="4" w:space="0" w:color="000000"/>
            </w:tcBorders>
          </w:tcPr>
          <w:p>
            <w:pPr>
              <w:pStyle w:val="Compact"/>
              <w:spacing w:before="20" w:after="20" w:line="240" w:lineRule="auto"/>
              <w:keepNext/>
            </w:pPr>
            <w:r>
              <w:rPr>
                <w:sz w:val="18"/>
                <w:szCs w:val="18"/>
              </w:rPr>
              <w:t xml:space="preserve">조건</w:t>
            </w:r>
          </w:p>
        </w:tc>
        <w:tc>
          <w:tcPr>
            <w:tcW w:type="dxa" w:w="5643"/>
            <w:tcBorders>
              <w:bottom w:val="single" w:sz="4" w:space="0" w:color="000000"/>
            </w:tcBorders>
          </w:tcPr>
          <w:p>
            <w:pPr>
              <w:pStyle w:val="Compact"/>
              <w:spacing w:before="20" w:after="20" w:line="240" w:lineRule="auto"/>
              <w:keepNext/>
            </w:pPr>
            <w:r>
              <w:rPr>
                <w:sz w:val="18"/>
                <w:szCs w:val="18"/>
              </w:rPr>
              <w:t xml:space="preserve">내용</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H01L21</w:t>
            </w:r>
          </w:p>
        </w:tc>
        <w:tc>
          <w:tcPr>
            <w:tcW w:type="dxa" w:w="5643"/>
          </w:tcPr>
          <w:p>
            <w:pPr>
              <w:pStyle w:val="Compact"/>
              <w:spacing w:before="20" w:after="20" w:line="240" w:lineRule="auto"/>
              <w:keepNext/>
            </w:pPr>
            <w:r>
              <w:rPr>
                <w:sz w:val="18"/>
                <w:szCs w:val="18"/>
              </w:rPr>
              <w:t xml:space="preserve">반도체 제조공정 기술. 웨이퍼 직접 접합(21/18, 21/20), 소자 분리·배선·TSV(21/76), 기판·절연층 처리(21/02), 화학적 기계연마(21/30–21/32) 등. 조립 단계의 제조공정(21/48, 21/50–21/58, 21/60, 21/78)과 공정 장치(21/67–21/68)도 포함</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H01L24</w:t>
            </w:r>
          </w:p>
        </w:tc>
        <w:tc>
          <w:tcPr>
            <w:tcW w:type="dxa" w:w="5643"/>
          </w:tcPr>
          <w:p>
            <w:pPr>
              <w:pStyle w:val="Compact"/>
              <w:spacing w:before="20" w:after="20" w:line="240" w:lineRule="auto"/>
              <w:keepNext/>
            </w:pPr>
            <w:r>
              <w:rPr>
                <w:sz w:val="18"/>
                <w:szCs w:val="18"/>
              </w:rPr>
              <w:t xml:space="preserve">반도체 또는 고체소자의 연결·분리를 위한 커넥터 구조, 범프·레이어·와이어 연결, 관련 연결 방법 및 장치 등</w:t>
            </w:r>
          </w:p>
        </w:tc>
      </w:tr>
      <w:tr>
        <w:trPr>
          <w:cantSplit/>
        </w:trPr>
        <w:tc>
          <w:tcPr>
            <w:tcW w:type="dxa" w:w="2217"/>
          </w:tcPr>
          <w:p>
            <w:pPr>
              <w:pStyle w:val="Compact"/>
              <w:spacing w:before="20" w:after="20" w:line="240" w:lineRule="auto"/>
              <w:keepNext/>
            </w:pPr>
            <w:r>
              <w:rPr>
                <w:sz w:val="18"/>
                <w:szCs w:val="18"/>
              </w:rPr>
              <w:t xml:space="preserve">2차: 키워드</w:t>
            </w:r>
          </w:p>
        </w:tc>
        <w:tc>
          <w:tcPr>
            <w:tcW w:type="dxa" w:w="1209"/>
          </w:tcPr>
          <w:p>
            <w:pPr>
              <w:pStyle w:val="Compact"/>
              <w:spacing w:before="20" w:after="20" w:line="240" w:lineRule="auto"/>
              <w:keepNext/>
            </w:pPr>
            <w:r>
              <w:rPr>
                <w:sz w:val="18"/>
                <w:szCs w:val="18"/>
              </w:rPr>
              <w:t xml:space="preserve">제목</w:t>
            </w:r>
          </w:p>
        </w:tc>
        <w:tc>
          <w:tcPr>
            <w:tcW w:type="dxa" w:w="5643"/>
          </w:tcPr>
          <w:p>
            <w:pPr>
              <w:pStyle w:val="Compact"/>
              <w:spacing w:before="20" w:after="20" w:line="240" w:lineRule="auto"/>
              <w:keepNext/>
            </w:pPr>
            <w:r>
              <w:rPr>
                <w:i/>
                <w:iCs/>
                <w:sz w:val="18"/>
                <w:szCs w:val="18"/>
              </w:rPr>
              <w:t xml:space="preserve">hybrid bonding</w:t>
            </w:r>
            <w:r>
              <w:rPr>
                <w:sz w:val="18"/>
                <w:szCs w:val="18"/>
              </w:rPr>
              <w:t xml:space="preserve">,</w:t>
            </w:r>
            <w:r>
              <w:rPr>
                <w:sz w:val="18"/>
                <w:szCs w:val="18"/>
              </w:rPr>
              <w:t xml:space="preserve"> </w:t>
            </w:r>
            <w:r>
              <w:rPr>
                <w:i/>
                <w:iCs/>
                <w:sz w:val="18"/>
                <w:szCs w:val="18"/>
              </w:rPr>
              <w:t xml:space="preserve">direct bonding</w:t>
            </w:r>
            <w:r>
              <w:rPr>
                <w:sz w:val="18"/>
                <w:szCs w:val="18"/>
              </w:rPr>
              <w:t xml:space="preserve">,</w:t>
            </w:r>
            <w:r>
              <w:rPr>
                <w:sz w:val="18"/>
                <w:szCs w:val="18"/>
              </w:rPr>
              <w:t xml:space="preserve"> </w:t>
            </w:r>
            <w:r>
              <w:rPr>
                <w:i/>
                <w:iCs/>
                <w:sz w:val="18"/>
                <w:szCs w:val="18"/>
              </w:rPr>
              <w:t xml:space="preserve">Cu–Cu</w:t>
            </w:r>
            <w:r>
              <w:rPr>
                <w:sz w:val="18"/>
                <w:szCs w:val="18"/>
              </w:rPr>
              <w:t xml:space="preserve">,</w:t>
            </w:r>
            <w:r>
              <w:rPr>
                <w:sz w:val="18"/>
                <w:szCs w:val="18"/>
              </w:rPr>
              <w:t xml:space="preserve"> </w:t>
            </w:r>
            <w:r>
              <w:rPr>
                <w:i/>
                <w:iCs/>
                <w:sz w:val="18"/>
                <w:szCs w:val="18"/>
              </w:rPr>
              <w:t xml:space="preserve">copper to copper</w:t>
            </w:r>
            <w:r>
              <w:rPr>
                <w:sz w:val="18"/>
                <w:szCs w:val="18"/>
              </w:rPr>
              <w:t xml:space="preserve">,</w:t>
            </w:r>
            <w:r>
              <w:rPr>
                <w:sz w:val="18"/>
                <w:szCs w:val="18"/>
              </w:rPr>
              <w:t xml:space="preserve"> </w:t>
            </w:r>
            <w:r>
              <w:rPr>
                <w:i/>
                <w:iCs/>
                <w:sz w:val="18"/>
                <w:szCs w:val="18"/>
              </w:rPr>
              <w:t xml:space="preserve">metal-oxide bond</w:t>
            </w:r>
            <w:r>
              <w:rPr>
                <w:sz w:val="18"/>
                <w:szCs w:val="18"/>
              </w:rPr>
              <w:t xml:space="preserve"> </w:t>
            </w:r>
            <w:r>
              <w:rPr>
                <w:sz w:val="18"/>
                <w:szCs w:val="18"/>
              </w:rPr>
              <w:t xml:space="preserve">가운데 하나 이상</w:t>
            </w:r>
          </w:p>
        </w:tc>
      </w:tr>
    </w:tbl>
    <w:p>
      <w:pPr>
        <w:pStyle w:val="BodyText"/>
      </w:pPr>
      <w:r>
        <w:rPr>
          <w:i/>
          <w:iCs/>
        </w:rPr>
        <w:t xml:space="preserve">주:</w:t>
      </w:r>
      <w:r>
        <w:t xml:space="preserve"> </w:t>
      </w:r>
      <w:r>
        <w:t xml:space="preserve">1차 조건은 두 클래스 가운데 하나 이상, 2차 조건은 키워드 가운데 하나 이상이며, 두 조건을 모두 만족해야 한다. 검색에는 두 클래스의 인덱싱 코드(예: H01L2224)도 썼으나, 추출된 레코드에는 본 클래스의 기호만 보존되었으므로 인덱싱 코드는 기술범위 계산에 들어가지 않는다.</w:t>
      </w:r>
    </w:p>
    <w:p>
      <w:pPr>
        <w:pStyle w:val="BodyText"/>
      </w:pPr>
      <w:r>
        <w:t xml:space="preserve">자료의 세 가지 특성을 미리 밝혀 둔다. 첫째,</w:t>
      </w:r>
      <w:r>
        <w:t xml:space="preserve"> </w:t>
      </w:r>
      <w:r>
        <w:rPr>
          <w:i/>
          <w:iCs/>
        </w:rPr>
        <w:t xml:space="preserve">hybrid bonding</w:t>
      </w:r>
      <w:r>
        <w:t xml:space="preserve">은 비교적 정밀한 검색어이지만</w:t>
      </w:r>
      <w:r>
        <w:t xml:space="preserve"> </w:t>
      </w:r>
      <w:r>
        <w:rPr>
          <w:i/>
          <w:iCs/>
        </w:rPr>
        <w:t xml:space="preserve">direct bonding</w:t>
      </w:r>
      <w:r>
        <w:t xml:space="preserve">은 뜻이 넓다. 제목에</w:t>
      </w:r>
      <w:r>
        <w:t xml:space="preserve"> </w:t>
      </w:r>
      <w:r>
        <w:rPr>
          <w:i/>
          <w:iCs/>
        </w:rPr>
        <w:t xml:space="preserve">hybrid bonding</w:t>
      </w:r>
      <w:r>
        <w:t xml:space="preserve">이 들어 있는 출원은 467건이며, 이 핵심 표본으로 다시 추정한 결과를 제5.4절에 보고한다. 둘째, 키워드 필터는 직접 접합(direct bonding)이라는 말의 무관한 용법도 걸러내지 못한다. 세라믹 기판에 구리를 붙이는 DBC 기판, 구리 합금, 전력 모듈 등이 그 예다. 제목으로 식별한 이러한 출원은 68건이며, 이를 뺀 재추정 결과도 제5.4절에 보고한다(판정 기준과 분포는 부록 B). 셋째, 원자료에는 공식 특허 패밀리 식별자가 없어 패밀리 단위의 중복을 직접 제거할 수 없다. 같은 발명이 여러 나라에 출원되면 여러 건으로 잡힌다. 이에 민감도 분석으로 같은 제목을 가진 출원을 하나의 근사 중복군으로 보고 각 제목군에서 가장 이른 출원 1건만 남긴 결과를 제5.4절에 보고한다. 928건은 473개의 고유 제목으로 이루어지며, 이 중 149개 제목은 둘 이상의 출원청에 출원되었다. 제목은 공식 패밀리 식별자가 아니므로 이 분석은 정확한 패밀리 제거가 아니라 다국가 중복 가능성에 대한 근사 조정이다.</w:t>
      </w:r>
    </w:p>
    <w:bookmarkEnd w:id="27"/>
    <w:bookmarkStart w:id="28" w:name="측정-개념과-지표의-대응"/>
    <w:p>
      <w:pPr>
        <w:pStyle w:val="Heading3"/>
      </w:pPr>
      <w:r>
        <w:t xml:space="preserve">4.2 측정: 개념과 지표의 대응</w:t>
      </w:r>
    </w:p>
    <w:p>
      <w:pPr>
        <w:pStyle w:val="FirstParagraph"/>
      </w:pPr>
      <w:r>
        <w:t xml:space="preserve">이론적 개념, 관찰 현상, 조작적 지표를 구분해 두는 것이 이 절의 목적이다(표 2). 이론적 개념은 공정 단계 사이의 기술융합이고, 관찰하는 현상은 제조공정 기술과 접합·인터커넥트 기술이 한 출원에 함께 담기는 것이며, 조작적 지표는 H01L21과 H01L24의 공동분류다. 이때 H01L21을 전공정 그 자체로, H01L24를 후공정 그 자체로 보지는 않는다. H01L21 안에는 웨이퍼 제조공정 외에도 패키지 부품 제조, 실장·봉지, 리드 부착, 다이싱 같은 조립 단계의 제조공정과 공정 장치가 함께 들어 있고, H01L24가 조직적 의미의 후공정 산업 경계와 일치하는 것도 아니기 때문이다. 그런데도 두 클래스의 공동분류를 대리측정치로 쓸 수 있는 것은, 하이브리드 본딩의 성능을 좌우하는 웨이퍼 준비, 표면 처리, 평탄화 및 관련 제조공정이 H01L21에 다수 포함되고 접합·인터커넥트 기술은 H01L24에 모여 있기 때문이다. 표본에 있는 H01L21 계열 기호 1,636건의 내역은 웨이퍼 제조공정 905건(55.3%), 공정 장치 328건(20.0%), 조립 단계 공정 403건(24.6%)이다. 조립 단계 공정을 제조공정으로 세지 않는 좁은 정의로 다시 추정한 결과는 제5.4절에 있으며, 회귀분석의 결론은 그대로다.</w:t>
      </w:r>
    </w:p>
    <w:p>
      <w:pPr>
        <w:pStyle w:val="BodyText"/>
        <w:keepNext/>
      </w:pPr>
      <w:r>
        <w:rPr>
          <w:b/>
          <w:bCs/>
        </w:rPr>
        <w:t xml:space="preserve">표 2.</w:t>
      </w:r>
      <w:r>
        <w:t xml:space="preserve"> </w:t>
      </w:r>
      <w:r>
        <w:t xml:space="preserve">개념 수준별 정의와 본 연구에서의 위치.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35"/>
        <w:gridCol w:w="2871"/>
        <w:gridCol w:w="4763"/>
      </w:tblGrid>
      <w:tr>
        <w:trPr>
          <w:tblHeader w:val="on"/>
          <w:cantSplit/>
        </w:trPr>
        <w:tc>
          <w:tcPr>
            <w:tcW w:type="dxa" w:w="1435"/>
            <w:tcBorders>
              <w:bottom w:val="single" w:sz="4" w:space="0" w:color="000000"/>
            </w:tcBorders>
          </w:tcPr>
          <w:p>
            <w:pPr>
              <w:pStyle w:val="Compact"/>
              <w:spacing w:before="20" w:after="20" w:line="240" w:lineRule="auto"/>
              <w:keepNext/>
            </w:pPr>
            <w:r>
              <w:rPr>
                <w:sz w:val="18"/>
                <w:szCs w:val="18"/>
              </w:rPr>
              <w:t xml:space="preserve">수준</w:t>
            </w:r>
          </w:p>
        </w:tc>
        <w:tc>
          <w:tcPr>
            <w:tcW w:type="dxa" w:w="2871"/>
            <w:tcBorders>
              <w:bottom w:val="single" w:sz="4" w:space="0" w:color="000000"/>
            </w:tcBorders>
          </w:tcPr>
          <w:p>
            <w:pPr>
              <w:pStyle w:val="Compact"/>
              <w:spacing w:before="20" w:after="20" w:line="240" w:lineRule="auto"/>
              <w:keepNext/>
            </w:pPr>
            <w:r>
              <w:rPr>
                <w:sz w:val="18"/>
                <w:szCs w:val="18"/>
              </w:rPr>
              <w:t xml:space="preserve">개념</w:t>
            </w:r>
          </w:p>
        </w:tc>
        <w:tc>
          <w:tcPr>
            <w:tcW w:type="dxa" w:w="4763"/>
            <w:tcBorders>
              <w:bottom w:val="single" w:sz="4" w:space="0" w:color="000000"/>
            </w:tcBorders>
          </w:tcPr>
          <w:p>
            <w:pPr>
              <w:pStyle w:val="Compact"/>
              <w:spacing w:before="20" w:after="20" w:line="240" w:lineRule="auto"/>
              <w:keepNext/>
            </w:pPr>
            <w:r>
              <w:rPr>
                <w:sz w:val="18"/>
                <w:szCs w:val="18"/>
              </w:rPr>
              <w:t xml:space="preserve">본 연구에서의 위치</w:t>
            </w:r>
          </w:p>
        </w:tc>
      </w:tr>
      <w:tr>
        <w:trPr>
          <w:cantSplit/>
        </w:trPr>
        <w:tc>
          <w:tcPr>
            <w:tcW w:type="dxa" w:w="1435"/>
          </w:tcPr>
          <w:p>
            <w:pPr>
              <w:pStyle w:val="Compact"/>
              <w:spacing w:before="20" w:after="20" w:line="240" w:lineRule="auto"/>
              <w:keepNext/>
            </w:pPr>
            <w:r>
              <w:rPr>
                <w:sz w:val="18"/>
                <w:szCs w:val="18"/>
              </w:rPr>
              <w:t xml:space="preserve">기술 시스템</w:t>
            </w:r>
          </w:p>
        </w:tc>
        <w:tc>
          <w:tcPr>
            <w:tcW w:type="dxa" w:w="2871"/>
          </w:tcPr>
          <w:p>
            <w:pPr>
              <w:pStyle w:val="Compact"/>
              <w:spacing w:before="20" w:after="20" w:line="240" w:lineRule="auto"/>
              <w:keepNext/>
            </w:pPr>
            <w:r>
              <w:rPr>
                <w:sz w:val="18"/>
                <w:szCs w:val="18"/>
              </w:rPr>
              <w:t xml:space="preserve">공정 단계 간 기술융합</w:t>
            </w:r>
          </w:p>
        </w:tc>
        <w:tc>
          <w:tcPr>
            <w:tcW w:type="dxa" w:w="4763"/>
          </w:tcPr>
          <w:p>
            <w:pPr>
              <w:pStyle w:val="Compact"/>
              <w:spacing w:before="20" w:after="20" w:line="240" w:lineRule="auto"/>
              <w:keepNext/>
            </w:pPr>
            <w:r>
              <w:rPr>
                <w:sz w:val="18"/>
                <w:szCs w:val="18"/>
              </w:rPr>
              <w:t xml:space="preserve">핵심 이론적 현상</w:t>
            </w:r>
          </w:p>
        </w:tc>
      </w:tr>
      <w:tr>
        <w:trPr>
          <w:cantSplit/>
        </w:trPr>
        <w:tc>
          <w:tcPr>
            <w:tcW w:type="dxa" w:w="1435"/>
          </w:tcPr>
          <w:p>
            <w:pPr>
              <w:pStyle w:val="Compact"/>
              <w:spacing w:before="20" w:after="20" w:line="240" w:lineRule="auto"/>
              <w:keepNext/>
            </w:pPr>
            <w:r>
              <w:rPr>
                <w:sz w:val="18"/>
                <w:szCs w:val="18"/>
              </w:rPr>
              <w:t xml:space="preserve">발명</w:t>
            </w:r>
          </w:p>
        </w:tc>
        <w:tc>
          <w:tcPr>
            <w:tcW w:type="dxa" w:w="2871"/>
          </w:tcPr>
          <w:p>
            <w:pPr>
              <w:pStyle w:val="Compact"/>
              <w:spacing w:before="20" w:after="20" w:line="240" w:lineRule="auto"/>
              <w:keepNext/>
            </w:pPr>
            <w:r>
              <w:rPr>
                <w:sz w:val="18"/>
                <w:szCs w:val="18"/>
              </w:rPr>
              <w:t xml:space="preserve">경계를 넘는 발명</w:t>
            </w:r>
          </w:p>
        </w:tc>
        <w:tc>
          <w:tcPr>
            <w:tcW w:type="dxa" w:w="4763"/>
          </w:tcPr>
          <w:p>
            <w:pPr>
              <w:pStyle w:val="Compact"/>
              <w:spacing w:before="20" w:after="20" w:line="240" w:lineRule="auto"/>
              <w:keepNext/>
            </w:pPr>
            <w:r>
              <w:rPr>
                <w:sz w:val="18"/>
                <w:szCs w:val="18"/>
              </w:rPr>
              <w:t xml:space="preserve">분석 대상</w:t>
            </w:r>
          </w:p>
        </w:tc>
      </w:tr>
      <w:tr>
        <w:trPr>
          <w:cantSplit/>
        </w:trPr>
        <w:tc>
          <w:tcPr>
            <w:tcW w:type="dxa" w:w="1435"/>
          </w:tcPr>
          <w:p>
            <w:pPr>
              <w:pStyle w:val="Compact"/>
              <w:spacing w:before="20" w:after="20" w:line="240" w:lineRule="auto"/>
              <w:keepNext/>
            </w:pPr>
            <w:r>
              <w:rPr>
                <w:sz w:val="18"/>
                <w:szCs w:val="18"/>
              </w:rPr>
              <w:t xml:space="preserve">측정</w:t>
            </w:r>
          </w:p>
        </w:tc>
        <w:tc>
          <w:tcPr>
            <w:tcW w:type="dxa" w:w="2871"/>
          </w:tcPr>
          <w:p>
            <w:pPr>
              <w:pStyle w:val="Compact"/>
              <w:spacing w:before="20" w:after="20" w:line="240" w:lineRule="auto"/>
              <w:keepNext/>
            </w:pPr>
            <w:r>
              <w:rPr>
                <w:sz w:val="18"/>
                <w:szCs w:val="18"/>
              </w:rPr>
              <w:t xml:space="preserve">H01L21–H01L24 공동분류</w:t>
            </w:r>
          </w:p>
        </w:tc>
        <w:tc>
          <w:tcPr>
            <w:tcW w:type="dxa" w:w="4763"/>
          </w:tcPr>
          <w:p>
            <w:pPr>
              <w:pStyle w:val="Compact"/>
              <w:spacing w:before="20" w:after="20" w:line="240" w:lineRule="auto"/>
              <w:keepNext/>
            </w:pPr>
            <w:r>
              <w:rPr>
                <w:sz w:val="18"/>
                <w:szCs w:val="18"/>
              </w:rPr>
              <w:t xml:space="preserve">조작적 지표(대리측정치)</w:t>
            </w:r>
          </w:p>
        </w:tc>
      </w:tr>
      <w:tr>
        <w:trPr>
          <w:cantSplit/>
        </w:trPr>
        <w:tc>
          <w:tcPr>
            <w:tcW w:type="dxa" w:w="1435"/>
          </w:tcPr>
          <w:p>
            <w:pPr>
              <w:pStyle w:val="Compact"/>
              <w:spacing w:before="20" w:after="20" w:line="240" w:lineRule="auto"/>
              <w:keepNext/>
            </w:pPr>
            <w:r>
              <w:rPr>
                <w:sz w:val="18"/>
                <w:szCs w:val="18"/>
              </w:rPr>
              <w:t xml:space="preserve">특허 특성</w:t>
            </w:r>
          </w:p>
        </w:tc>
        <w:tc>
          <w:tcPr>
            <w:tcW w:type="dxa" w:w="2871"/>
          </w:tcPr>
          <w:p>
            <w:pPr>
              <w:pStyle w:val="Compact"/>
              <w:spacing w:before="20" w:after="20" w:line="240" w:lineRule="auto"/>
              <w:keepNext/>
            </w:pPr>
            <w:r>
              <w:rPr>
                <w:sz w:val="18"/>
                <w:szCs w:val="18"/>
              </w:rPr>
              <w:t xml:space="preserve">두 클래스 안의 CPC 서브그룹 수</w:t>
            </w:r>
          </w:p>
        </w:tc>
        <w:tc>
          <w:tcPr>
            <w:tcW w:type="dxa" w:w="4763"/>
          </w:tcPr>
          <w:p>
            <w:pPr>
              <w:pStyle w:val="Compact"/>
              <w:spacing w:before="20" w:after="20" w:line="240" w:lineRule="auto"/>
              <w:keepNext/>
            </w:pPr>
            <w:r>
              <w:rPr>
                <w:sz w:val="18"/>
                <w:szCs w:val="18"/>
              </w:rPr>
              <w:t xml:space="preserve">기술적 다양성(클래스 내 기술범위)</w:t>
            </w:r>
          </w:p>
        </w:tc>
      </w:tr>
      <w:tr>
        <w:trPr>
          <w:cantSplit/>
        </w:trPr>
        <w:tc>
          <w:tcPr>
            <w:tcW w:type="dxa" w:w="1435"/>
          </w:tcPr>
          <w:p>
            <w:pPr>
              <w:pStyle w:val="Compact"/>
              <w:spacing w:before="20" w:after="20" w:line="240" w:lineRule="auto"/>
              <w:keepNext/>
            </w:pPr>
            <w:r>
              <w:rPr>
                <w:sz w:val="18"/>
                <w:szCs w:val="18"/>
              </w:rPr>
              <w:t xml:space="preserve">기술 구조</w:t>
            </w:r>
          </w:p>
        </w:tc>
        <w:tc>
          <w:tcPr>
            <w:tcW w:type="dxa" w:w="2871"/>
          </w:tcPr>
          <w:p>
            <w:pPr>
              <w:pStyle w:val="Compact"/>
              <w:spacing w:before="20" w:after="20" w:line="240" w:lineRule="auto"/>
              <w:keepNext/>
            </w:pPr>
            <w:r>
              <w:rPr>
                <w:sz w:val="18"/>
                <w:szCs w:val="18"/>
              </w:rPr>
              <w:t xml:space="preserve">핵심 기술(출원 200건 이상에 부여된 접합 기호)</w:t>
            </w:r>
          </w:p>
        </w:tc>
        <w:tc>
          <w:tcPr>
            <w:tcW w:type="dxa" w:w="4763"/>
          </w:tcPr>
          <w:p>
            <w:pPr>
              <w:pStyle w:val="Compact"/>
              <w:spacing w:before="20" w:after="20" w:line="240" w:lineRule="auto"/>
              <w:keepNext/>
            </w:pPr>
            <w:r>
              <w:rPr>
                <w:sz w:val="18"/>
                <w:szCs w:val="18"/>
              </w:rPr>
              <w:t xml:space="preserve">기술 클러스터·네트워크로 식별(제4.4절)</w:t>
            </w:r>
          </w:p>
        </w:tc>
      </w:tr>
    </w:tbl>
    <w:p>
      <w:pPr>
        <w:pStyle w:val="BodyText"/>
      </w:pPr>
      <w:r>
        <w:t xml:space="preserve">CPC 기호는 심사관이 발명의 기술 내용에 부여하는 것으로, 청구항의 문구와 항상 일치하지는 않는다. 따라서 이하에서 어떤 출원이 어떤 기술을 ‘포함한다’ 또는 어떤 기술로 ’분류된다’는 말은 해당 클래스의 기호가 그 출원에 부여되어 있다는 뜻이며, 법적 청구범위에 관한 진술이 아니다.</w:t>
      </w:r>
    </w:p>
    <w:bookmarkEnd w:id="28"/>
    <w:bookmarkStart w:id="32" w:name="변수"/>
    <w:p>
      <w:pPr>
        <w:pStyle w:val="Heading3"/>
      </w:pPr>
      <w:r>
        <w:t xml:space="preserve">4.3 변수</w:t>
      </w:r>
    </w:p>
    <w:p>
      <w:pPr>
        <w:pStyle w:val="FirstParagraph"/>
      </w:pPr>
      <w:r>
        <w:t xml:space="preserve">표 3은 변수를 정의한다. 기술범위(breadth)는 출원에 부여된 H01L21·H01L24 계열의 서로 다른 서브그룹 기호의 수다. 이는 분류 기호의 수로 범위를 재는 Lerner(1994)의 방식을 두 클래스 안에 적용한 것으로, 두 클래스 안에서 출원에 부여된 세부 기술의 다양성을 뜻하며 반도체 밖의 분야로 뻗는 정도나 법적 청구범위는 재지 않는다. 다만 공동분류 유형과 기술범위는 같은 CPC 정보로 만들어지므로, 통합형은 정의상 H01L21과 H01L24 기호를 하나씩은 가져 최소 breadth가 2인 반면 단독형의 최소값은 1이다. 이 기계적 최소치 차이를 완화하기 위해 출원이 보유한 클래스마다 최소 1개 기호를 차감한 유형 최소치 조정 CPC 범위(breadth_adj = breadth − I[H01L21 보유] − I[H01L24 보유])를 따로 두었다. 예컨대 H01L21 기호 2개와 H01L24 기호 1개를 가진 통합형 출원은 breadth 3, breadth_adj 1이고, H01L24 기호 4개만 가진 조립 단독형 출원은 breadth 4, breadth_adj 3이다. breadth_adj는 유형을 성립시키는 최소 분류 정보를 뺀 뒤 남는 추가 CPC 다양성이며, 종속변수의 유형 정보를 반영하는 탐색적 강건성 지표로만 쓴다. 공동분류 유형(tech_cat)은 각 출원을 조립 단독형(H01L24 기호만), 통합형(둘 다), 공정 단독형(H01L21 기호만)으로 나누며, 두 클래스의 기호가 함께 부여된 출원을 이하 통합형 또는 공동분류형이라 부르고 이것이 경계 넘기의 측정치다. 제조공정 분류 여부(has_process)는 H01L21 기호를 하나라도 가지면 1인 지표로, 통합형과 공정 단독형을 합한 것이다. 핵심 기술 보유(core)는 제4.4절에서 식별한 핵심 접합 기호 네 개(24/03, 24/05, 24/08, 24/80) 가운데 하나 이상을 가지면 1이다. 출원연도(yc)는 표본의 첫 출원(1968년)부터 지난 햇수이고, 출원 시기(period)는 출원이 드문 1968–2014년을 한 시기로 묶고 이후를 2015–2019년과 2020–2024년으로 나눈 세 범주다. 출원청(ccode)은 출원이 제출된 특허청 또는 출원 경로로 8개 수준이다. 출원청마다 출원 시기와 기술 구성이 다르므로 모든 모형에 통제변수로 넣되, 출원청 사이의 차이는 이 논문의 질문이 아니므로 계수를 해석하지 않는다.</w:t>
      </w:r>
    </w:p>
    <w:p>
      <w:pPr>
        <w:pStyle w:val="BodyText"/>
        <w:keepNext/>
      </w:pPr>
      <w:r>
        <w:rPr>
          <w:b/>
          <w:bCs/>
        </w:rPr>
        <w:t xml:space="preserve">표 3.</w:t>
      </w:r>
      <w:r>
        <w:t xml:space="preserve"> </w:t>
      </w:r>
      <w:r>
        <w:t xml:space="preserve">변수 정의.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47"/>
        <w:gridCol w:w="3220"/>
        <w:gridCol w:w="1511"/>
        <w:gridCol w:w="2891"/>
      </w:tblGrid>
      <w:tr>
        <w:trPr>
          <w:tblHeader w:val="on"/>
          <w:cantSplit/>
        </w:trPr>
        <w:tc>
          <w:tcPr>
            <w:tcW w:type="dxa" w:w="1447"/>
            <w:tcBorders>
              <w:bottom w:val="single" w:sz="4" w:space="0" w:color="000000"/>
            </w:tcBorders>
          </w:tcPr>
          <w:p>
            <w:pPr>
              <w:pStyle w:val="Compact"/>
              <w:spacing w:before="20" w:after="20" w:line="240" w:lineRule="auto"/>
              <w:keepNext/>
            </w:pPr>
            <w:r>
              <w:rPr>
                <w:sz w:val="18"/>
                <w:szCs w:val="18"/>
              </w:rPr>
              <w:t xml:space="preserve">변수</w:t>
            </w:r>
          </w:p>
        </w:tc>
        <w:tc>
          <w:tcPr>
            <w:tcW w:type="dxa" w:w="3220"/>
            <w:tcBorders>
              <w:bottom w:val="single" w:sz="4" w:space="0" w:color="000000"/>
            </w:tcBorders>
          </w:tcPr>
          <w:p>
            <w:pPr>
              <w:pStyle w:val="Compact"/>
              <w:spacing w:before="20" w:after="20" w:line="240" w:lineRule="auto"/>
              <w:keepNext/>
            </w:pPr>
            <w:r>
              <w:rPr>
                <w:sz w:val="18"/>
                <w:szCs w:val="18"/>
              </w:rPr>
              <w:t xml:space="preserve">정의</w:t>
            </w:r>
          </w:p>
        </w:tc>
        <w:tc>
          <w:tcPr>
            <w:tcW w:type="dxa" w:w="1511"/>
            <w:tcBorders>
              <w:bottom w:val="single" w:sz="4" w:space="0" w:color="000000"/>
            </w:tcBorders>
          </w:tcPr>
          <w:p>
            <w:pPr>
              <w:pStyle w:val="Compact"/>
              <w:spacing w:before="20" w:after="20" w:line="240" w:lineRule="auto"/>
              <w:keepNext/>
            </w:pPr>
            <w:r>
              <w:rPr>
                <w:sz w:val="18"/>
                <w:szCs w:val="18"/>
              </w:rPr>
              <w:t xml:space="preserve">유형</w:t>
            </w:r>
          </w:p>
        </w:tc>
        <w:tc>
          <w:tcPr>
            <w:tcW w:type="dxa" w:w="2891"/>
            <w:tcBorders>
              <w:bottom w:val="single" w:sz="4" w:space="0" w:color="000000"/>
            </w:tcBorders>
          </w:tcPr>
          <w:p>
            <w:pPr>
              <w:pStyle w:val="Compact"/>
              <w:spacing w:before="20" w:after="20" w:line="240" w:lineRule="auto"/>
              <w:keepNext/>
            </w:pPr>
            <w:r>
              <w:rPr>
                <w:sz w:val="18"/>
                <w:szCs w:val="18"/>
              </w:rPr>
              <w:t xml:space="preserve">해석상 주의</w:t>
            </w:r>
          </w:p>
        </w:tc>
      </w:tr>
      <w:tr>
        <w:trPr>
          <w:cantSplit/>
        </w:trPr>
        <w:tc>
          <w:tcPr>
            <w:tcW w:type="dxa" w:w="1447"/>
          </w:tcPr>
          <w:p>
            <w:pPr>
              <w:pStyle w:val="Compact"/>
              <w:spacing w:before="20" w:after="20" w:line="240" w:lineRule="auto"/>
              <w:keepNext/>
            </w:pPr>
            <w:r>
              <w:rPr>
                <w:sz w:val="18"/>
                <w:szCs w:val="18"/>
              </w:rPr>
              <w:t xml:space="preserve">breadth</w:t>
            </w:r>
          </w:p>
        </w:tc>
        <w:tc>
          <w:tcPr>
            <w:tcW w:type="dxa" w:w="3220"/>
          </w:tcPr>
          <w:p>
            <w:pPr>
              <w:pStyle w:val="Compact"/>
              <w:spacing w:before="20" w:after="20" w:line="240" w:lineRule="auto"/>
              <w:keepNext/>
            </w:pPr>
            <w:r>
              <w:rPr>
                <w:sz w:val="18"/>
                <w:szCs w:val="18"/>
              </w:rPr>
              <w:t xml:space="preserve">출원별로 부여된 H01L21·H01L24 계열의 서로 다른 CPC 서브그룹 수(클래스 내 CPC 범위)</w:t>
            </w:r>
          </w:p>
        </w:tc>
        <w:tc>
          <w:tcPr>
            <w:tcW w:type="dxa" w:w="1511"/>
          </w:tcPr>
          <w:p>
            <w:pPr>
              <w:pStyle w:val="Compact"/>
              <w:spacing w:before="20" w:after="20" w:line="240" w:lineRule="auto"/>
              <w:keepNext/>
            </w:pPr>
            <w:r>
              <w:rPr>
                <w:sz w:val="18"/>
                <w:szCs w:val="18"/>
              </w:rPr>
              <w:t xml:space="preserve">카운트, 1–21</w:t>
            </w:r>
          </w:p>
        </w:tc>
        <w:tc>
          <w:tcPr>
            <w:tcW w:type="dxa" w:w="2891"/>
          </w:tcPr>
          <w:p>
            <w:pPr>
              <w:pStyle w:val="Compact"/>
              <w:spacing w:before="20" w:after="20" w:line="240" w:lineRule="auto"/>
              <w:keepNext/>
            </w:pPr>
            <w:r>
              <w:rPr>
                <w:sz w:val="18"/>
                <w:szCs w:val="18"/>
              </w:rPr>
              <w:t xml:space="preserve">전체 CPC 범위나 법적 청구범위가 아니라 두 클래스 내부의 기술적 다양성</w:t>
            </w:r>
          </w:p>
        </w:tc>
      </w:tr>
      <w:tr>
        <w:trPr>
          <w:cantSplit/>
        </w:trPr>
        <w:tc>
          <w:tcPr>
            <w:tcW w:type="dxa" w:w="1447"/>
          </w:tcPr>
          <w:p>
            <w:pPr>
              <w:pStyle w:val="Compact"/>
              <w:spacing w:before="20" w:after="20" w:line="240" w:lineRule="auto"/>
              <w:keepNext/>
            </w:pPr>
            <w:r>
              <w:rPr>
                <w:sz w:val="18"/>
                <w:szCs w:val="18"/>
              </w:rPr>
              <w:t xml:space="preserve">breadth_adj</w:t>
            </w:r>
          </w:p>
        </w:tc>
        <w:tc>
          <w:tcPr>
            <w:tcW w:type="dxa" w:w="3220"/>
          </w:tcPr>
          <w:p>
            <w:pPr>
              <w:pStyle w:val="Compact"/>
              <w:spacing w:before="20" w:after="20" w:line="240" w:lineRule="auto"/>
              <w:keepNext/>
            </w:pPr>
            <w:r>
              <w:rPr>
                <w:sz w:val="18"/>
                <w:szCs w:val="18"/>
              </w:rPr>
              <w:t xml:space="preserve">유형 최소치 조정 CPC 범위: 출원이 보유한 클래스마다 최소 1개 기호를 차감하고 남은 추가 CPC 서브그룹 수(단독형은 breadth − 1, 통합형은 breadth − 2; 제5.4절)</w:t>
            </w:r>
          </w:p>
        </w:tc>
        <w:tc>
          <w:tcPr>
            <w:tcW w:type="dxa" w:w="1511"/>
          </w:tcPr>
          <w:p>
            <w:pPr>
              <w:pStyle w:val="Compact"/>
              <w:spacing w:before="20" w:after="20" w:line="240" w:lineRule="auto"/>
              <w:keepNext/>
            </w:pPr>
            <w:r>
              <w:rPr>
                <w:sz w:val="18"/>
                <w:szCs w:val="18"/>
              </w:rPr>
              <w:t xml:space="preserve">카운트, 0–19</w:t>
            </w:r>
          </w:p>
        </w:tc>
        <w:tc>
          <w:tcPr>
            <w:tcW w:type="dxa" w:w="2891"/>
          </w:tcPr>
          <w:p>
            <w:pPr>
              <w:pStyle w:val="Compact"/>
              <w:spacing w:before="20" w:after="20" w:line="240" w:lineRule="auto"/>
              <w:keepNext/>
            </w:pPr>
            <w:r>
              <w:rPr>
                <w:sz w:val="18"/>
                <w:szCs w:val="18"/>
              </w:rPr>
              <w:t xml:space="preserve">유형별 최소 CPC 수의 기계적 차이를 완화하는 탐색적 지표. 유형 정보를 이용하므로 독립적인 범위 측정치는 아님</w:t>
            </w:r>
          </w:p>
        </w:tc>
      </w:tr>
      <w:tr>
        <w:trPr>
          <w:cantSplit/>
        </w:trPr>
        <w:tc>
          <w:tcPr>
            <w:tcW w:type="dxa" w:w="1447"/>
          </w:tcPr>
          <w:p>
            <w:pPr>
              <w:pStyle w:val="Compact"/>
              <w:spacing w:before="20" w:after="20" w:line="240" w:lineRule="auto"/>
              <w:keepNext/>
            </w:pPr>
            <w:r>
              <w:rPr>
                <w:sz w:val="18"/>
                <w:szCs w:val="18"/>
              </w:rPr>
              <w:t xml:space="preserve">tech_cat</w:t>
            </w:r>
          </w:p>
        </w:tc>
        <w:tc>
          <w:tcPr>
            <w:tcW w:type="dxa" w:w="3220"/>
          </w:tcPr>
          <w:p>
            <w:pPr>
              <w:pStyle w:val="Compact"/>
              <w:spacing w:before="20" w:after="20" w:line="240" w:lineRule="auto"/>
              <w:keepNext/>
            </w:pPr>
            <w:r>
              <w:rPr>
                <w:sz w:val="18"/>
                <w:szCs w:val="18"/>
              </w:rPr>
              <w:t xml:space="preserve">공동분류 유형: 조립 단독형(H01L24만) / 통합형(둘 다) / 공정 단독형(H01L21만)</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기업의 전략이 아닌 분류의 조합</w:t>
            </w:r>
          </w:p>
        </w:tc>
      </w:tr>
      <w:tr>
        <w:trPr>
          <w:cantSplit/>
        </w:trPr>
        <w:tc>
          <w:tcPr>
            <w:tcW w:type="dxa" w:w="1447"/>
          </w:tcPr>
          <w:p>
            <w:pPr>
              <w:pStyle w:val="Compact"/>
              <w:spacing w:before="20" w:after="20" w:line="240" w:lineRule="auto"/>
              <w:keepNext/>
            </w:pPr>
            <w:r>
              <w:rPr>
                <w:sz w:val="18"/>
                <w:szCs w:val="18"/>
              </w:rPr>
              <w:t xml:space="preserve">has_process</w:t>
            </w:r>
          </w:p>
        </w:tc>
        <w:tc>
          <w:tcPr>
            <w:tcW w:type="dxa" w:w="3220"/>
          </w:tcPr>
          <w:p>
            <w:pPr>
              <w:pStyle w:val="Compact"/>
              <w:spacing w:before="20" w:after="20" w:line="240" w:lineRule="auto"/>
              <w:keepNext/>
            </w:pPr>
            <w:r>
              <w:rPr>
                <w:sz w:val="18"/>
                <w:szCs w:val="18"/>
              </w:rPr>
              <w:t xml:space="preserve">H01L21 기호를 하나라도 가지면 1(제조공정 분류),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전공정 자체가 아닌 제조공정 관련 분류</w:t>
            </w:r>
          </w:p>
        </w:tc>
      </w:tr>
      <w:tr>
        <w:trPr>
          <w:cantSplit/>
        </w:trPr>
        <w:tc>
          <w:tcPr>
            <w:tcW w:type="dxa" w:w="1447"/>
          </w:tcPr>
          <w:p>
            <w:pPr>
              <w:pStyle w:val="Compact"/>
              <w:spacing w:before="20" w:after="20" w:line="240" w:lineRule="auto"/>
              <w:keepNext/>
            </w:pPr>
            <w:r>
              <w:rPr>
                <w:sz w:val="18"/>
                <w:szCs w:val="18"/>
              </w:rPr>
              <w:t xml:space="preserve">core</w:t>
            </w:r>
          </w:p>
        </w:tc>
        <w:tc>
          <w:tcPr>
            <w:tcW w:type="dxa" w:w="3220"/>
          </w:tcPr>
          <w:p>
            <w:pPr>
              <w:pStyle w:val="Compact"/>
              <w:spacing w:before="20" w:after="20" w:line="240" w:lineRule="auto"/>
              <w:keepNext/>
            </w:pPr>
            <w:r>
              <w:rPr>
                <w:sz w:val="18"/>
                <w:szCs w:val="18"/>
              </w:rPr>
              <w:t xml:space="preserve">핵심 접합 기호(24/03, 24/05, 24/08, 24/80) 가운데 하나 이상을 가지면 1,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H01L24 기호를 가진 출원(N = 763)에서만 정의</w:t>
            </w:r>
          </w:p>
        </w:tc>
      </w:tr>
      <w:tr>
        <w:trPr>
          <w:cantSplit/>
        </w:trPr>
        <w:tc>
          <w:tcPr>
            <w:tcW w:type="dxa" w:w="1447"/>
          </w:tcPr>
          <w:p>
            <w:pPr>
              <w:pStyle w:val="Compact"/>
              <w:spacing w:before="20" w:after="20" w:line="240" w:lineRule="auto"/>
              <w:keepNext/>
            </w:pPr>
            <w:r>
              <w:rPr>
                <w:sz w:val="18"/>
                <w:szCs w:val="18"/>
              </w:rPr>
              <w:t xml:space="preserve">yc</w:t>
            </w:r>
          </w:p>
        </w:tc>
        <w:tc>
          <w:tcPr>
            <w:tcW w:type="dxa" w:w="3220"/>
          </w:tcPr>
          <w:p>
            <w:pPr>
              <w:pStyle w:val="Compact"/>
              <w:spacing w:before="20" w:after="20" w:line="240" w:lineRule="auto"/>
              <w:keepNext/>
            </w:pPr>
            <w:r>
              <w:rPr>
                <w:sz w:val="18"/>
                <w:szCs w:val="18"/>
              </w:rPr>
              <w:t xml:space="preserve">출원연도(1968년 = 0부터 지난 햇수); 표본 평균 49.7(2017.7년)</w:t>
            </w:r>
          </w:p>
        </w:tc>
        <w:tc>
          <w:tcPr>
            <w:tcW w:type="dxa" w:w="1511"/>
          </w:tcPr>
          <w:p>
            <w:pPr>
              <w:pStyle w:val="Compact"/>
              <w:spacing w:before="20" w:after="20" w:line="240" w:lineRule="auto"/>
              <w:keepNext/>
            </w:pPr>
            <w:r>
              <w:rPr>
                <w:sz w:val="18"/>
                <w:szCs w:val="18"/>
              </w:rPr>
              <w:t xml:space="preserve">정수, 0–56</w:t>
            </w:r>
          </w:p>
        </w:tc>
        <w:tc>
          <w:tcPr>
            <w:tcW w:type="dxa" w:w="2891"/>
          </w:tcPr>
          <w:p>
            <w:pPr>
              <w:pStyle w:val="Compact"/>
              <w:spacing w:before="20" w:after="20" w:line="240" w:lineRule="auto"/>
              <w:keepNext/>
            </w:pPr>
            <w:r>
              <w:rPr>
                <w:sz w:val="18"/>
                <w:szCs w:val="18"/>
              </w:rPr>
              <w:t xml:space="preserve">기술 성숙의 직접 측정치가 아님</w:t>
            </w:r>
          </w:p>
        </w:tc>
      </w:tr>
      <w:tr>
        <w:trPr>
          <w:cantSplit/>
        </w:trPr>
        <w:tc>
          <w:tcPr>
            <w:tcW w:type="dxa" w:w="1447"/>
          </w:tcPr>
          <w:p>
            <w:pPr>
              <w:pStyle w:val="Compact"/>
              <w:spacing w:before="20" w:after="20" w:line="240" w:lineRule="auto"/>
              <w:keepNext/>
            </w:pPr>
            <w:r>
              <w:rPr>
                <w:sz w:val="18"/>
                <w:szCs w:val="18"/>
              </w:rPr>
              <w:t xml:space="preserve">period</w:t>
            </w:r>
          </w:p>
        </w:tc>
        <w:tc>
          <w:tcPr>
            <w:tcW w:type="dxa" w:w="3220"/>
          </w:tcPr>
          <w:p>
            <w:pPr>
              <w:pStyle w:val="Compact"/>
              <w:spacing w:before="20" w:after="20" w:line="240" w:lineRule="auto"/>
              <w:keepNext/>
            </w:pPr>
            <w:r>
              <w:rPr>
                <w:sz w:val="18"/>
                <w:szCs w:val="18"/>
              </w:rPr>
              <w:t xml:space="preserve">출원 시기: 1968–2014년(기준), 2015–2019년, 2020–2024년</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첫 시기가 이후 두 시기보다 김</w:t>
            </w:r>
          </w:p>
        </w:tc>
      </w:tr>
      <w:tr>
        <w:trPr>
          <w:cantSplit/>
        </w:trPr>
        <w:tc>
          <w:tcPr>
            <w:tcW w:type="dxa" w:w="1447"/>
          </w:tcPr>
          <w:p>
            <w:pPr>
              <w:pStyle w:val="Compact"/>
              <w:spacing w:before="20" w:after="20" w:line="240" w:lineRule="auto"/>
              <w:keepNext/>
            </w:pPr>
            <w:r>
              <w:rPr>
                <w:sz w:val="18"/>
                <w:szCs w:val="18"/>
              </w:rPr>
              <w:t xml:space="preserve">ccode</w:t>
            </w:r>
          </w:p>
        </w:tc>
        <w:tc>
          <w:tcPr>
            <w:tcW w:type="dxa" w:w="3220"/>
          </w:tcPr>
          <w:p>
            <w:pPr>
              <w:pStyle w:val="Compact"/>
              <w:spacing w:before="20" w:after="20" w:line="240" w:lineRule="auto"/>
              <w:keepNext/>
            </w:pPr>
            <w:r>
              <w:rPr>
                <w:sz w:val="18"/>
                <w:szCs w:val="18"/>
              </w:rPr>
              <w:t xml:space="preserve">출원청 또는 출원 경로: US(기준), CN, KR, TW, JP, EP, WO(PCT), 기타</w:t>
            </w:r>
          </w:p>
        </w:tc>
        <w:tc>
          <w:tcPr>
            <w:tcW w:type="dxa" w:w="1511"/>
          </w:tcPr>
          <w:p>
            <w:pPr>
              <w:pStyle w:val="Compact"/>
              <w:spacing w:before="20" w:after="20" w:line="240" w:lineRule="auto"/>
              <w:keepNext/>
            </w:pPr>
            <w:r>
              <w:rPr>
                <w:sz w:val="18"/>
                <w:szCs w:val="18"/>
              </w:rPr>
              <w:t xml:space="preserve">범주, 8</w:t>
            </w:r>
          </w:p>
        </w:tc>
        <w:tc>
          <w:tcPr>
            <w:tcW w:type="dxa" w:w="2891"/>
          </w:tcPr>
          <w:p>
            <w:pPr>
              <w:pStyle w:val="Compact"/>
              <w:spacing w:before="20" w:after="20" w:line="240" w:lineRule="auto"/>
              <w:keepNext/>
            </w:pPr>
            <w:r>
              <w:rPr>
                <w:sz w:val="18"/>
                <w:szCs w:val="18"/>
              </w:rPr>
              <w:t xml:space="preserve">통제변수(해석하지 않음)</w:t>
            </w:r>
          </w:p>
        </w:tc>
      </w:tr>
    </w:tbl>
    <w:p>
      <w:pPr>
        <w:pStyle w:val="BodyText"/>
      </w:pPr>
      <w:r>
        <w:t xml:space="preserve">기술범위는 평균 5.69개(표준편차 4.07, 범위 1–21)이며, 통합형 7.89개, 조립 단독형 4.16개, 공정 단독형 3.15개로 유형에 따라 다르다. 출원청별로는 미국 382건, 중국 175건, PCT 경로 113건, EPO 83건, 대만 75건, 한국 58건, 일본 26건, 기타 16건이다. 그림 4는 연도별 출원 건수다. 2010년 이전에는 드물다가 2010년대 후반에 급증하여 2022년경 정점에 이른다. 2023–2024년의 감소에는 출원 뒤 공개까지 걸리는 시차가 영향을 미쳤을 가능성이 크다. 유형별로는 통합형 425건(45.8%), 조립 단독형 338건(36.4%), 공정 단독형 165건(17.8%)이며, 제조공정 기호를 가진 출원은 590건(63.6%)이다.</w:t>
      </w:r>
    </w:p>
    <w:p>
      <w:pPr>
        <w:pStyle w:val="BodyText"/>
        <w:keepNext/>
      </w:pPr>
      <w:r>
        <w:drawing>
          <wp:inline>
            <wp:extent cx="5334000" cy="3048000"/>
            <wp:effectExtent b="0" l="0" r="0" t="0"/>
            <wp:docPr descr="" title="" id="30" name="Picture"/>
            <a:graphic>
              <a:graphicData uri="http://schemas.openxmlformats.org/drawingml/2006/picture">
                <pic:pic>
                  <pic:nvPicPr>
                    <pic:cNvPr descr="figures/fig2_applications_by_year_ko.png" id="31" name="Picture"/>
                    <pic:cNvPicPr>
                      <a:picLocks noChangeArrowheads="1" noChangeAspect="1"/>
                    </pic:cNvPicPr>
                  </pic:nvPicPr>
                  <pic:blipFill>
                    <a:blip r:embed="rId29"/>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rPr>
        <w:t xml:space="preserve">그림 4.</w:t>
      </w:r>
      <w:r>
        <w:t xml:space="preserve"> </w:t>
      </w:r>
      <w:r>
        <w:t xml:space="preserve">출원연도별 하이브리드 본딩 관련 출원 건수, 1968–2024(N = 928). 2023–2024년의 감소에는 출원 뒤 공개까지의 시차가 영향을 미쳤을 가능성이 크다.</w:t>
      </w:r>
    </w:p>
    <w:bookmarkEnd w:id="32"/>
    <w:bookmarkStart w:id="36" w:name="핵심-기술의-식별-기술-클러스터와-기술-네트워크"/>
    <w:p>
      <w:pPr>
        <w:pStyle w:val="Heading3"/>
      </w:pPr>
      <w:r>
        <w:t xml:space="preserve">4.4 핵심 기술의 식별: 기술 클러스터와 기술 네트워크</w:t>
      </w:r>
    </w:p>
    <w:p>
      <w:pPr>
        <w:pStyle w:val="FirstParagraph"/>
      </w:pPr>
      <w:r>
        <w:t xml:space="preserve">H3을 검정하려면 하이브리드 본딩의 핵심 기술이 무엇인지 먼저 정해야 한다. 이 절은 두 가지 방법으로 핵심 기술을 식별한다. 기술 클러스터는 많은 출원이 공통으로 다루는 기호, 곧 이 기술의 필수 요소를 찾는 방법이고, 기술 네트워크는 한 출원에 함께 부여된 기호의 쌍을 연결로 보아 요소들이 어떻게 결합하는지를 보는 방법이다(Sternitzke et al., 2008; Breschi et al., 2003).</w:t>
      </w:r>
    </w:p>
    <w:p>
      <w:pPr>
        <w:pStyle w:val="BodyText"/>
      </w:pPr>
      <w:r>
        <w:rPr>
          <w:b/>
          <w:bCs/>
        </w:rPr>
        <w:t xml:space="preserve">기술 클러스터.</w:t>
      </w:r>
      <w:r>
        <w:t xml:space="preserve"> </w:t>
      </w:r>
      <w:r>
        <w:t xml:space="preserve">표 4는 928건에 부여된 전체 CPC 기호 가운데 출원 200건 이상에 부여된 11개다. 기호의 뜻은 CPC의 공식 정의를 요약한 것이다. 가장 많은 출원에 부여된 것은 접합 패드(bonding area)를 이용한 연결 방법(24/80, 529건, 57.0%)과 연결 후 접합 패드의 구조(24/08, 513건, 55.3%)이고, 그다음은 도전성 표면끼리의 직접 접합(2224/80895, 504건)과 절연성 표면끼리의 직접 접합(2224/80896, 488건)이다. 이 기호들을 이으면 하이브리드 본딩의 정의가 분류 체계 안에서 그대로 드러난다.</w:t>
      </w:r>
      <w:r>
        <w:t xml:space="preserve"> </w:t>
      </w:r>
      <w:r>
        <w:rPr>
          <w:b/>
          <w:bCs/>
        </w:rPr>
        <w:t xml:space="preserve">하이브리드 본딩은 구리를 주성분으로 한 접합 패드(2224/05647)를 표면과 같은 높이로 만들고(2224/80357), 금속(2224/80895)과 절연막(2224/80896)을 함께 직접 접합하여(24/08, 24/80), 범프 없이 칩을 수직으로 쌓는(2224/08145, 25/0657) 기술이다.</w:t>
      </w:r>
      <w:r>
        <w:t xml:space="preserve"> </w:t>
      </w:r>
      <w:r>
        <w:t xml:space="preserve">이 가운데 하이브리드 본딩을 다른 접합과 구별하는 것은 금속–금속 직접 접합과 절연막–절연막 직접 접합이 한 출원에 함께 부여되는 조합이다.</w:t>
      </w:r>
    </w:p>
    <w:p>
      <w:pPr>
        <w:pStyle w:val="BodyText"/>
        <w:keepNext/>
      </w:pPr>
      <w:r>
        <w:rPr>
          <w:b/>
          <w:bCs/>
        </w:rPr>
        <w:t xml:space="preserve">표 4.</w:t>
      </w:r>
      <w:r>
        <w:t xml:space="preserve"> </w:t>
      </w:r>
      <w:r>
        <w:t xml:space="preserve">기술 클러스터: 출원 200건 이상에 부여된 CPC 기호(N = 928; 비중은 928건 대비).</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600"/>
        <w:gridCol w:w="2250"/>
        <w:gridCol w:w="4051"/>
        <w:gridCol w:w="600"/>
        <w:gridCol w:w="825"/>
        <w:gridCol w:w="742"/>
      </w:tblGrid>
      <w:tr>
        <w:trPr>
          <w:tblHeader w:val="on"/>
          <w:cantSplit/>
        </w:trPr>
        <w:tc>
          <w:tcPr>
            <w:tcW w:type="dxa" w:w="600"/>
            <w:tcBorders>
              <w:bottom w:val="single" w:sz="4" w:space="0" w:color="000000"/>
            </w:tcBorders>
          </w:tcPr>
          <w:p>
            <w:pPr>
              <w:pStyle w:val="Compact"/>
              <w:spacing w:before="20" w:after="20" w:line="240" w:lineRule="auto"/>
              <w:jc w:val="right"/>
              <w:keepNext/>
            </w:pPr>
            <w:r>
              <w:rPr>
                <w:sz w:val="15"/>
                <w:szCs w:val="15"/>
              </w:rPr>
              <w:t xml:space="preserve">순위</w:t>
            </w:r>
          </w:p>
        </w:tc>
        <w:tc>
          <w:tcPr>
            <w:tcW w:type="dxa" w:w="2250"/>
            <w:tcBorders>
              <w:bottom w:val="single" w:sz="4" w:space="0" w:color="000000"/>
            </w:tcBorders>
          </w:tcPr>
          <w:p>
            <w:pPr>
              <w:pStyle w:val="Compact"/>
              <w:spacing w:before="20" w:after="20" w:line="240" w:lineRule="auto"/>
              <w:keepNext/>
            </w:pPr>
            <w:r>
              <w:rPr>
                <w:sz w:val="15"/>
                <w:szCs w:val="15"/>
              </w:rPr>
              <w:t xml:space="preserve">CPC 기호</w:t>
            </w:r>
          </w:p>
        </w:tc>
        <w:tc>
          <w:tcPr>
            <w:tcW w:type="dxa" w:w="4051"/>
            <w:tcBorders>
              <w:bottom w:val="single" w:sz="4" w:space="0" w:color="000000"/>
            </w:tcBorders>
          </w:tcPr>
          <w:p>
            <w:pPr>
              <w:pStyle w:val="Compact"/>
              <w:spacing w:before="20" w:after="20" w:line="240" w:lineRule="auto"/>
              <w:keepNext/>
            </w:pPr>
            <w:r>
              <w:rPr>
                <w:sz w:val="15"/>
                <w:szCs w:val="15"/>
              </w:rPr>
              <w:t xml:space="preserve">공식 정의(요약)</w:t>
            </w:r>
          </w:p>
        </w:tc>
        <w:tc>
          <w:tcPr>
            <w:tcW w:type="dxa" w:w="600"/>
            <w:tcBorders>
              <w:bottom w:val="single" w:sz="4" w:space="0" w:color="000000"/>
            </w:tcBorders>
          </w:tcPr>
          <w:p>
            <w:pPr>
              <w:pStyle w:val="Compact"/>
              <w:spacing w:before="20" w:after="20" w:line="240" w:lineRule="auto"/>
              <w:jc w:val="right"/>
              <w:keepNext/>
            </w:pPr>
            <w:r>
              <w:rPr>
                <w:sz w:val="15"/>
                <w:szCs w:val="15"/>
              </w:rPr>
              <w:t xml:space="preserve">출원 수</w:t>
            </w:r>
          </w:p>
        </w:tc>
        <w:tc>
          <w:tcPr>
            <w:tcW w:type="dxa" w:w="825"/>
            <w:tcBorders>
              <w:bottom w:val="single" w:sz="4" w:space="0" w:color="000000"/>
            </w:tcBorders>
          </w:tcPr>
          <w:p>
            <w:pPr>
              <w:pStyle w:val="Compact"/>
              <w:spacing w:before="20" w:after="20" w:line="240" w:lineRule="auto"/>
              <w:jc w:val="right"/>
              <w:keepNext/>
            </w:pPr>
            <w:r>
              <w:rPr>
                <w:sz w:val="15"/>
                <w:szCs w:val="15"/>
              </w:rPr>
              <w:t xml:space="preserve">비중(%)</w:t>
            </w:r>
          </w:p>
        </w:tc>
        <w:tc>
          <w:tcPr>
            <w:tcW w:type="dxa" w:w="742"/>
            <w:tcBorders>
              <w:bottom w:val="single" w:sz="4" w:space="0" w:color="000000"/>
            </w:tcBorders>
          </w:tcPr>
          <w:p>
            <w:pPr>
              <w:pStyle w:val="Compact"/>
              <w:spacing w:before="20" w:after="20" w:line="240" w:lineRule="auto"/>
              <w:jc w:val="center"/>
              <w:keepNext/>
            </w:pPr>
            <w:r>
              <w:rPr>
                <w:sz w:val="15"/>
                <w:szCs w:val="15"/>
              </w:rPr>
              <w:t xml:space="preserve">회귀 자료</w:t>
            </w:r>
          </w:p>
        </w:tc>
      </w:tr>
      <w:tr>
        <w:trPr>
          <w:cantSplit/>
        </w:trPr>
        <w:tc>
          <w:tcPr>
            <w:tcW w:type="dxa" w:w="600"/>
          </w:tcPr>
          <w:p>
            <w:pPr>
              <w:pStyle w:val="Compact"/>
              <w:spacing w:before="20" w:after="20" w:line="240" w:lineRule="auto"/>
              <w:jc w:val="right"/>
              <w:keepNext/>
            </w:pPr>
            <w:r>
              <w:rPr>
                <w:sz w:val="15"/>
                <w:szCs w:val="15"/>
              </w:rPr>
              <w:t xml:space="preserve">1</w:t>
            </w:r>
          </w:p>
        </w:tc>
        <w:tc>
          <w:tcPr>
            <w:tcW w:type="dxa" w:w="2250"/>
          </w:tcPr>
          <w:p>
            <w:pPr>
              <w:pStyle w:val="Compact"/>
              <w:spacing w:before="20" w:after="20" w:line="240" w:lineRule="auto"/>
              <w:keepNext/>
            </w:pPr>
            <w:r>
              <w:rPr>
                <w:sz w:val="15"/>
                <w:szCs w:val="15"/>
              </w:rPr>
              <w:t xml:space="preserve">H01L 24/80</w:t>
            </w:r>
          </w:p>
        </w:tc>
        <w:tc>
          <w:tcPr>
            <w:tcW w:type="dxa" w:w="4051"/>
          </w:tcPr>
          <w:p>
            <w:pPr>
              <w:pStyle w:val="Compact"/>
              <w:spacing w:before="20" w:after="20" w:line="240" w:lineRule="auto"/>
              <w:keepNext/>
            </w:pPr>
            <w:r>
              <w:rPr>
                <w:sz w:val="15"/>
                <w:szCs w:val="15"/>
              </w:rPr>
              <w:t xml:space="preserve">접합 패드를 이용한 연결 방법</w:t>
            </w:r>
          </w:p>
        </w:tc>
        <w:tc>
          <w:tcPr>
            <w:tcW w:type="dxa" w:w="600"/>
          </w:tcPr>
          <w:p>
            <w:pPr>
              <w:pStyle w:val="Compact"/>
              <w:spacing w:before="20" w:after="20" w:line="240" w:lineRule="auto"/>
              <w:jc w:val="right"/>
              <w:keepNext/>
            </w:pPr>
            <w:r>
              <w:rPr>
                <w:sz w:val="15"/>
                <w:szCs w:val="15"/>
              </w:rPr>
              <w:t xml:space="preserve">529</w:t>
            </w:r>
          </w:p>
        </w:tc>
        <w:tc>
          <w:tcPr>
            <w:tcW w:type="dxa" w:w="825"/>
          </w:tcPr>
          <w:p>
            <w:pPr>
              <w:pStyle w:val="Compact"/>
              <w:spacing w:before="20" w:after="20" w:line="240" w:lineRule="auto"/>
              <w:jc w:val="right"/>
              <w:keepNext/>
            </w:pPr>
            <w:r>
              <w:rPr>
                <w:sz w:val="15"/>
                <w:szCs w:val="15"/>
              </w:rPr>
              <w:t xml:space="preserve">57.0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2</w:t>
            </w:r>
          </w:p>
        </w:tc>
        <w:tc>
          <w:tcPr>
            <w:tcW w:type="dxa" w:w="2250"/>
          </w:tcPr>
          <w:p>
            <w:pPr>
              <w:pStyle w:val="Compact"/>
              <w:spacing w:before="20" w:after="20" w:line="240" w:lineRule="auto"/>
              <w:keepNext/>
            </w:pPr>
            <w:r>
              <w:rPr>
                <w:sz w:val="15"/>
                <w:szCs w:val="15"/>
              </w:rPr>
              <w:t xml:space="preserve">H01L 24/08</w:t>
            </w:r>
          </w:p>
        </w:tc>
        <w:tc>
          <w:tcPr>
            <w:tcW w:type="dxa" w:w="4051"/>
          </w:tcPr>
          <w:p>
            <w:pPr>
              <w:pStyle w:val="Compact"/>
              <w:spacing w:before="20" w:after="20" w:line="240" w:lineRule="auto"/>
              <w:keepNext/>
            </w:pPr>
            <w:r>
              <w:rPr>
                <w:sz w:val="15"/>
                <w:szCs w:val="15"/>
              </w:rPr>
              <w:t xml:space="preserve">연결 후 개별 접합 패드의 구조·형상·재료·배치</w:t>
            </w:r>
          </w:p>
        </w:tc>
        <w:tc>
          <w:tcPr>
            <w:tcW w:type="dxa" w:w="600"/>
          </w:tcPr>
          <w:p>
            <w:pPr>
              <w:pStyle w:val="Compact"/>
              <w:spacing w:before="20" w:after="20" w:line="240" w:lineRule="auto"/>
              <w:jc w:val="right"/>
              <w:keepNext/>
            </w:pPr>
            <w:r>
              <w:rPr>
                <w:sz w:val="15"/>
                <w:szCs w:val="15"/>
              </w:rPr>
              <w:t xml:space="preserve">513</w:t>
            </w:r>
          </w:p>
        </w:tc>
        <w:tc>
          <w:tcPr>
            <w:tcW w:type="dxa" w:w="825"/>
          </w:tcPr>
          <w:p>
            <w:pPr>
              <w:pStyle w:val="Compact"/>
              <w:spacing w:before="20" w:after="20" w:line="240" w:lineRule="auto"/>
              <w:jc w:val="right"/>
              <w:keepNext/>
            </w:pPr>
            <w:r>
              <w:rPr>
                <w:sz w:val="15"/>
                <w:szCs w:val="15"/>
              </w:rPr>
              <w:t xml:space="preserve">55.3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3</w:t>
            </w:r>
          </w:p>
        </w:tc>
        <w:tc>
          <w:tcPr>
            <w:tcW w:type="dxa" w:w="2250"/>
          </w:tcPr>
          <w:p>
            <w:pPr>
              <w:pStyle w:val="Compact"/>
              <w:spacing w:before="20" w:after="20" w:line="240" w:lineRule="auto"/>
              <w:keepNext/>
            </w:pPr>
            <w:r>
              <w:rPr>
                <w:sz w:val="15"/>
                <w:szCs w:val="15"/>
              </w:rPr>
              <w:t xml:space="preserve">H01L 2224/80895</w:t>
            </w:r>
          </w:p>
        </w:tc>
        <w:tc>
          <w:tcPr>
            <w:tcW w:type="dxa" w:w="4051"/>
          </w:tcPr>
          <w:p>
            <w:pPr>
              <w:pStyle w:val="Compact"/>
              <w:spacing w:before="20" w:after="20" w:line="240" w:lineRule="auto"/>
              <w:keepNext/>
            </w:pPr>
            <w:r>
              <w:rPr>
                <w:sz w:val="15"/>
                <w:szCs w:val="15"/>
              </w:rPr>
              <w:t xml:space="preserve">도전성 표면끼리의 직접 접합(예: 구리–구리)</w:t>
            </w:r>
          </w:p>
        </w:tc>
        <w:tc>
          <w:tcPr>
            <w:tcW w:type="dxa" w:w="600"/>
          </w:tcPr>
          <w:p>
            <w:pPr>
              <w:pStyle w:val="Compact"/>
              <w:spacing w:before="20" w:after="20" w:line="240" w:lineRule="auto"/>
              <w:jc w:val="right"/>
              <w:keepNext/>
            </w:pPr>
            <w:r>
              <w:rPr>
                <w:sz w:val="15"/>
                <w:szCs w:val="15"/>
              </w:rPr>
              <w:t xml:space="preserve">504</w:t>
            </w:r>
          </w:p>
        </w:tc>
        <w:tc>
          <w:tcPr>
            <w:tcW w:type="dxa" w:w="825"/>
          </w:tcPr>
          <w:p>
            <w:pPr>
              <w:pStyle w:val="Compact"/>
              <w:spacing w:before="20" w:after="20" w:line="240" w:lineRule="auto"/>
              <w:jc w:val="right"/>
              <w:keepNext/>
            </w:pPr>
            <w:r>
              <w:rPr>
                <w:sz w:val="15"/>
                <w:szCs w:val="15"/>
              </w:rPr>
              <w:t xml:space="preserve">54.3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4</w:t>
            </w:r>
          </w:p>
        </w:tc>
        <w:tc>
          <w:tcPr>
            <w:tcW w:type="dxa" w:w="2250"/>
          </w:tcPr>
          <w:p>
            <w:pPr>
              <w:pStyle w:val="Compact"/>
              <w:spacing w:before="20" w:after="20" w:line="240" w:lineRule="auto"/>
              <w:keepNext/>
            </w:pPr>
            <w:r>
              <w:rPr>
                <w:sz w:val="15"/>
                <w:szCs w:val="15"/>
              </w:rPr>
              <w:t xml:space="preserve">H01L 2224/80896</w:t>
            </w:r>
          </w:p>
        </w:tc>
        <w:tc>
          <w:tcPr>
            <w:tcW w:type="dxa" w:w="4051"/>
          </w:tcPr>
          <w:p>
            <w:pPr>
              <w:pStyle w:val="Compact"/>
              <w:spacing w:before="20" w:after="20" w:line="240" w:lineRule="auto"/>
              <w:keepNext/>
            </w:pPr>
            <w:r>
              <w:rPr>
                <w:sz w:val="15"/>
                <w:szCs w:val="15"/>
              </w:rPr>
              <w:t xml:space="preserve">절연성 표면끼리의 직접 접합(예: 산화막·질화막)</w:t>
            </w:r>
          </w:p>
        </w:tc>
        <w:tc>
          <w:tcPr>
            <w:tcW w:type="dxa" w:w="600"/>
          </w:tcPr>
          <w:p>
            <w:pPr>
              <w:pStyle w:val="Compact"/>
              <w:spacing w:before="20" w:after="20" w:line="240" w:lineRule="auto"/>
              <w:jc w:val="right"/>
              <w:keepNext/>
            </w:pPr>
            <w:r>
              <w:rPr>
                <w:sz w:val="15"/>
                <w:szCs w:val="15"/>
              </w:rPr>
              <w:t xml:space="preserve">488</w:t>
            </w:r>
          </w:p>
        </w:tc>
        <w:tc>
          <w:tcPr>
            <w:tcW w:type="dxa" w:w="825"/>
          </w:tcPr>
          <w:p>
            <w:pPr>
              <w:pStyle w:val="Compact"/>
              <w:spacing w:before="20" w:after="20" w:line="240" w:lineRule="auto"/>
              <w:jc w:val="right"/>
              <w:keepNext/>
            </w:pPr>
            <w:r>
              <w:rPr>
                <w:sz w:val="15"/>
                <w:szCs w:val="15"/>
              </w:rPr>
              <w:t xml:space="preserve">52.6</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5</w:t>
            </w:r>
          </w:p>
        </w:tc>
        <w:tc>
          <w:tcPr>
            <w:tcW w:type="dxa" w:w="2250"/>
          </w:tcPr>
          <w:p>
            <w:pPr>
              <w:pStyle w:val="Compact"/>
              <w:spacing w:before="20" w:after="20" w:line="240" w:lineRule="auto"/>
              <w:keepNext/>
            </w:pPr>
            <w:r>
              <w:rPr>
                <w:sz w:val="15"/>
                <w:szCs w:val="15"/>
              </w:rPr>
              <w:t xml:space="preserve">H01L 2224/08145</w:t>
            </w:r>
          </w:p>
        </w:tc>
        <w:tc>
          <w:tcPr>
            <w:tcW w:type="dxa" w:w="4051"/>
          </w:tcPr>
          <w:p>
            <w:pPr>
              <w:pStyle w:val="Compact"/>
              <w:spacing w:before="20" w:after="20" w:line="240" w:lineRule="auto"/>
              <w:keepNext/>
            </w:pPr>
            <w:r>
              <w:rPr>
                <w:sz w:val="15"/>
                <w:szCs w:val="15"/>
              </w:rPr>
              <w:t xml:space="preserve">접합 패드끼리 직접 연결된(범프 없는) 적층 칩 사이의 접합</w:t>
            </w:r>
          </w:p>
        </w:tc>
        <w:tc>
          <w:tcPr>
            <w:tcW w:type="dxa" w:w="600"/>
          </w:tcPr>
          <w:p>
            <w:pPr>
              <w:pStyle w:val="Compact"/>
              <w:spacing w:before="20" w:after="20" w:line="240" w:lineRule="auto"/>
              <w:jc w:val="right"/>
              <w:keepNext/>
            </w:pPr>
            <w:r>
              <w:rPr>
                <w:sz w:val="15"/>
                <w:szCs w:val="15"/>
              </w:rPr>
              <w:t xml:space="preserve">436</w:t>
            </w:r>
          </w:p>
        </w:tc>
        <w:tc>
          <w:tcPr>
            <w:tcW w:type="dxa" w:w="825"/>
          </w:tcPr>
          <w:p>
            <w:pPr>
              <w:pStyle w:val="Compact"/>
              <w:spacing w:before="20" w:after="20" w:line="240" w:lineRule="auto"/>
              <w:jc w:val="right"/>
              <w:keepNext/>
            </w:pPr>
            <w:r>
              <w:rPr>
                <w:sz w:val="15"/>
                <w:szCs w:val="15"/>
              </w:rPr>
              <w:t xml:space="preserve">47.0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6</w:t>
            </w:r>
          </w:p>
        </w:tc>
        <w:tc>
          <w:tcPr>
            <w:tcW w:type="dxa" w:w="2250"/>
          </w:tcPr>
          <w:p>
            <w:pPr>
              <w:pStyle w:val="Compact"/>
              <w:spacing w:before="20" w:after="20" w:line="240" w:lineRule="auto"/>
              <w:keepNext/>
            </w:pPr>
            <w:r>
              <w:rPr>
                <w:sz w:val="15"/>
                <w:szCs w:val="15"/>
              </w:rPr>
              <w:t xml:space="preserve">H01L 25/50</w:t>
            </w:r>
          </w:p>
        </w:tc>
        <w:tc>
          <w:tcPr>
            <w:tcW w:type="dxa" w:w="4051"/>
          </w:tcPr>
          <w:p>
            <w:pPr>
              <w:pStyle w:val="Compact"/>
              <w:spacing w:before="20" w:after="20" w:line="240" w:lineRule="auto"/>
              <w:keepNext/>
            </w:pPr>
            <w:r>
              <w:rPr>
                <w:sz w:val="15"/>
                <w:szCs w:val="15"/>
              </w:rPr>
              <w:t xml:space="preserve">소자 조립체의 다단계 제조 공정</w:t>
            </w:r>
          </w:p>
        </w:tc>
        <w:tc>
          <w:tcPr>
            <w:tcW w:type="dxa" w:w="600"/>
          </w:tcPr>
          <w:p>
            <w:pPr>
              <w:pStyle w:val="Compact"/>
              <w:spacing w:before="20" w:after="20" w:line="240" w:lineRule="auto"/>
              <w:jc w:val="right"/>
              <w:keepNext/>
            </w:pPr>
            <w:r>
              <w:rPr>
                <w:sz w:val="15"/>
                <w:szCs w:val="15"/>
              </w:rPr>
              <w:t xml:space="preserve">363</w:t>
            </w:r>
          </w:p>
        </w:tc>
        <w:tc>
          <w:tcPr>
            <w:tcW w:type="dxa" w:w="825"/>
          </w:tcPr>
          <w:p>
            <w:pPr>
              <w:pStyle w:val="Compact"/>
              <w:spacing w:before="20" w:after="20" w:line="240" w:lineRule="auto"/>
              <w:jc w:val="right"/>
              <w:keepNext/>
            </w:pPr>
            <w:r>
              <w:rPr>
                <w:sz w:val="15"/>
                <w:szCs w:val="15"/>
              </w:rPr>
              <w:t xml:space="preserve">39.1</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7</w:t>
            </w:r>
          </w:p>
        </w:tc>
        <w:tc>
          <w:tcPr>
            <w:tcW w:type="dxa" w:w="2250"/>
          </w:tcPr>
          <w:p>
            <w:pPr>
              <w:pStyle w:val="Compact"/>
              <w:spacing w:before="20" w:after="20" w:line="240" w:lineRule="auto"/>
              <w:keepNext/>
            </w:pPr>
            <w:r>
              <w:rPr>
                <w:sz w:val="15"/>
                <w:szCs w:val="15"/>
              </w:rPr>
              <w:t xml:space="preserve">H01L 24/05</w:t>
            </w:r>
          </w:p>
        </w:tc>
        <w:tc>
          <w:tcPr>
            <w:tcW w:type="dxa" w:w="4051"/>
          </w:tcPr>
          <w:p>
            <w:pPr>
              <w:pStyle w:val="Compact"/>
              <w:spacing w:before="20" w:after="20" w:line="240" w:lineRule="auto"/>
              <w:keepNext/>
            </w:pPr>
            <w:r>
              <w:rPr>
                <w:sz w:val="15"/>
                <w:szCs w:val="15"/>
              </w:rPr>
              <w:t xml:space="preserve">연결 전 개별 접합 패드의 구조·형상·재료·배치</w:t>
            </w:r>
          </w:p>
        </w:tc>
        <w:tc>
          <w:tcPr>
            <w:tcW w:type="dxa" w:w="600"/>
          </w:tcPr>
          <w:p>
            <w:pPr>
              <w:pStyle w:val="Compact"/>
              <w:spacing w:before="20" w:after="20" w:line="240" w:lineRule="auto"/>
              <w:jc w:val="right"/>
              <w:keepNext/>
            </w:pPr>
            <w:r>
              <w:rPr>
                <w:sz w:val="15"/>
                <w:szCs w:val="15"/>
              </w:rPr>
              <w:t xml:space="preserve">350</w:t>
            </w:r>
          </w:p>
        </w:tc>
        <w:tc>
          <w:tcPr>
            <w:tcW w:type="dxa" w:w="825"/>
          </w:tcPr>
          <w:p>
            <w:pPr>
              <w:pStyle w:val="Compact"/>
              <w:spacing w:before="20" w:after="20" w:line="240" w:lineRule="auto"/>
              <w:jc w:val="right"/>
              <w:keepNext/>
            </w:pPr>
            <w:r>
              <w:rPr>
                <w:sz w:val="15"/>
                <w:szCs w:val="15"/>
              </w:rPr>
              <w:t xml:space="preserve">37.7</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8</w:t>
            </w:r>
          </w:p>
        </w:tc>
        <w:tc>
          <w:tcPr>
            <w:tcW w:type="dxa" w:w="2250"/>
          </w:tcPr>
          <w:p>
            <w:pPr>
              <w:pStyle w:val="Compact"/>
              <w:spacing w:before="20" w:after="20" w:line="240" w:lineRule="auto"/>
              <w:keepNext/>
            </w:pPr>
            <w:r>
              <w:rPr>
                <w:sz w:val="15"/>
                <w:szCs w:val="15"/>
              </w:rPr>
              <w:t xml:space="preserve">H01L 25/0657</w:t>
            </w:r>
          </w:p>
        </w:tc>
        <w:tc>
          <w:tcPr>
            <w:tcW w:type="dxa" w:w="4051"/>
          </w:tcPr>
          <w:p>
            <w:pPr>
              <w:pStyle w:val="Compact"/>
              <w:spacing w:before="20" w:after="20" w:line="240" w:lineRule="auto"/>
              <w:keepNext/>
            </w:pPr>
            <w:r>
              <w:rPr>
                <w:sz w:val="15"/>
                <w:szCs w:val="15"/>
              </w:rPr>
              <w:t xml:space="preserve">소자의 적층 배치</w:t>
            </w:r>
          </w:p>
        </w:tc>
        <w:tc>
          <w:tcPr>
            <w:tcW w:type="dxa" w:w="600"/>
          </w:tcPr>
          <w:p>
            <w:pPr>
              <w:pStyle w:val="Compact"/>
              <w:spacing w:before="20" w:after="20" w:line="240" w:lineRule="auto"/>
              <w:jc w:val="right"/>
              <w:keepNext/>
            </w:pPr>
            <w:r>
              <w:rPr>
                <w:sz w:val="15"/>
                <w:szCs w:val="15"/>
              </w:rPr>
              <w:t xml:space="preserve">274</w:t>
            </w:r>
          </w:p>
        </w:tc>
        <w:tc>
          <w:tcPr>
            <w:tcW w:type="dxa" w:w="825"/>
          </w:tcPr>
          <w:p>
            <w:pPr>
              <w:pStyle w:val="Compact"/>
              <w:spacing w:before="20" w:after="20" w:line="240" w:lineRule="auto"/>
              <w:jc w:val="right"/>
              <w:keepNext/>
            </w:pPr>
            <w:r>
              <w:rPr>
                <w:sz w:val="15"/>
                <w:szCs w:val="15"/>
              </w:rPr>
              <w:t xml:space="preserve">29.5</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9</w:t>
            </w:r>
          </w:p>
        </w:tc>
        <w:tc>
          <w:tcPr>
            <w:tcW w:type="dxa" w:w="2250"/>
          </w:tcPr>
          <w:p>
            <w:pPr>
              <w:pStyle w:val="Compact"/>
              <w:spacing w:before="20" w:after="20" w:line="240" w:lineRule="auto"/>
              <w:keepNext/>
            </w:pPr>
            <w:r>
              <w:rPr>
                <w:sz w:val="15"/>
                <w:szCs w:val="15"/>
              </w:rPr>
              <w:t xml:space="preserve">H01L 2224/05647</w:t>
            </w:r>
          </w:p>
        </w:tc>
        <w:tc>
          <w:tcPr>
            <w:tcW w:type="dxa" w:w="4051"/>
          </w:tcPr>
          <w:p>
            <w:pPr>
              <w:pStyle w:val="Compact"/>
              <w:spacing w:before="20" w:after="20" w:line="240" w:lineRule="auto"/>
              <w:keepNext/>
            </w:pPr>
            <w:r>
              <w:rPr>
                <w:sz w:val="15"/>
                <w:szCs w:val="15"/>
              </w:rPr>
              <w:t xml:space="preserve">구리를 주성분으로 하는 접합 패드</w:t>
            </w:r>
          </w:p>
        </w:tc>
        <w:tc>
          <w:tcPr>
            <w:tcW w:type="dxa" w:w="600"/>
          </w:tcPr>
          <w:p>
            <w:pPr>
              <w:pStyle w:val="Compact"/>
              <w:spacing w:before="20" w:after="20" w:line="240" w:lineRule="auto"/>
              <w:jc w:val="right"/>
              <w:keepNext/>
            </w:pPr>
            <w:r>
              <w:rPr>
                <w:sz w:val="15"/>
                <w:szCs w:val="15"/>
              </w:rPr>
              <w:t xml:space="preserve">239</w:t>
            </w:r>
          </w:p>
        </w:tc>
        <w:tc>
          <w:tcPr>
            <w:tcW w:type="dxa" w:w="825"/>
          </w:tcPr>
          <w:p>
            <w:pPr>
              <w:pStyle w:val="Compact"/>
              <w:spacing w:before="20" w:after="20" w:line="240" w:lineRule="auto"/>
              <w:jc w:val="right"/>
              <w:keepNext/>
            </w:pPr>
            <w:r>
              <w:rPr>
                <w:sz w:val="15"/>
                <w:szCs w:val="15"/>
              </w:rPr>
              <w:t xml:space="preserve">25.8</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10</w:t>
            </w:r>
          </w:p>
        </w:tc>
        <w:tc>
          <w:tcPr>
            <w:tcW w:type="dxa" w:w="2250"/>
          </w:tcPr>
          <w:p>
            <w:pPr>
              <w:pStyle w:val="Compact"/>
              <w:spacing w:before="20" w:after="20" w:line="240" w:lineRule="auto"/>
              <w:keepNext/>
            </w:pPr>
            <w:r>
              <w:rPr>
                <w:sz w:val="15"/>
                <w:szCs w:val="15"/>
              </w:rPr>
              <w:t xml:space="preserve">H01L 24/03</w:t>
            </w:r>
          </w:p>
        </w:tc>
        <w:tc>
          <w:tcPr>
            <w:tcW w:type="dxa" w:w="4051"/>
          </w:tcPr>
          <w:p>
            <w:pPr>
              <w:pStyle w:val="Compact"/>
              <w:spacing w:before="20" w:after="20" w:line="240" w:lineRule="auto"/>
              <w:keepNext/>
            </w:pPr>
            <w:r>
              <w:rPr>
                <w:sz w:val="15"/>
                <w:szCs w:val="15"/>
              </w:rPr>
              <w:t xml:space="preserve">접합 패드의 제조 방법</w:t>
            </w:r>
          </w:p>
        </w:tc>
        <w:tc>
          <w:tcPr>
            <w:tcW w:type="dxa" w:w="600"/>
          </w:tcPr>
          <w:p>
            <w:pPr>
              <w:pStyle w:val="Compact"/>
              <w:spacing w:before="20" w:after="20" w:line="240" w:lineRule="auto"/>
              <w:jc w:val="right"/>
              <w:keepNext/>
            </w:pPr>
            <w:r>
              <w:rPr>
                <w:sz w:val="15"/>
                <w:szCs w:val="15"/>
              </w:rPr>
              <w:t xml:space="preserve">222</w:t>
            </w:r>
          </w:p>
        </w:tc>
        <w:tc>
          <w:tcPr>
            <w:tcW w:type="dxa" w:w="825"/>
          </w:tcPr>
          <w:p>
            <w:pPr>
              <w:pStyle w:val="Compact"/>
              <w:spacing w:before="20" w:after="20" w:line="240" w:lineRule="auto"/>
              <w:jc w:val="right"/>
              <w:keepNext/>
            </w:pPr>
            <w:r>
              <w:rPr>
                <w:sz w:val="15"/>
                <w:szCs w:val="15"/>
              </w:rPr>
              <w:t xml:space="preserve">23.9</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11</w:t>
            </w:r>
          </w:p>
        </w:tc>
        <w:tc>
          <w:tcPr>
            <w:tcW w:type="dxa" w:w="2250"/>
          </w:tcPr>
          <w:p>
            <w:pPr>
              <w:pStyle w:val="Compact"/>
              <w:spacing w:before="20" w:after="20" w:line="240" w:lineRule="auto"/>
              <w:keepNext/>
            </w:pPr>
            <w:r>
              <w:rPr>
                <w:sz w:val="15"/>
                <w:szCs w:val="15"/>
              </w:rPr>
              <w:t xml:space="preserve">H01L 2224/80357</w:t>
            </w:r>
          </w:p>
        </w:tc>
        <w:tc>
          <w:tcPr>
            <w:tcW w:type="dxa" w:w="4051"/>
          </w:tcPr>
          <w:p>
            <w:pPr>
              <w:pStyle w:val="Compact"/>
              <w:spacing w:before="20" w:after="20" w:line="240" w:lineRule="auto"/>
              <w:keepNext/>
            </w:pPr>
            <w:r>
              <w:rPr>
                <w:sz w:val="15"/>
                <w:szCs w:val="15"/>
              </w:rPr>
              <w:t xml:space="preserve">표면과 같은 높이의 접합 계면</w:t>
            </w:r>
          </w:p>
        </w:tc>
        <w:tc>
          <w:tcPr>
            <w:tcW w:type="dxa" w:w="600"/>
          </w:tcPr>
          <w:p>
            <w:pPr>
              <w:pStyle w:val="Compact"/>
              <w:spacing w:before="20" w:after="20" w:line="240" w:lineRule="auto"/>
              <w:jc w:val="right"/>
              <w:keepNext/>
            </w:pPr>
            <w:r>
              <w:rPr>
                <w:sz w:val="15"/>
                <w:szCs w:val="15"/>
              </w:rPr>
              <w:t xml:space="preserve">205</w:t>
            </w:r>
          </w:p>
        </w:tc>
        <w:tc>
          <w:tcPr>
            <w:tcW w:type="dxa" w:w="825"/>
          </w:tcPr>
          <w:p>
            <w:pPr>
              <w:pStyle w:val="Compact"/>
              <w:spacing w:before="20" w:after="20" w:line="240" w:lineRule="auto"/>
              <w:jc w:val="right"/>
              <w:keepNext/>
            </w:pPr>
            <w:r>
              <w:rPr>
                <w:sz w:val="15"/>
                <w:szCs w:val="15"/>
              </w:rPr>
              <w:t xml:space="preserve">22.1</w:t>
            </w:r>
          </w:p>
        </w:tc>
        <w:tc>
          <w:tcPr>
            <w:tcW w:type="dxa" w:w="742"/>
          </w:tcPr>
          <w:p>
            <w:pPr>
              <w:pStyle w:val="Compact"/>
              <w:spacing w:before="20" w:after="20" w:line="240" w:lineRule="auto"/>
              <w:jc w:val="center"/>
              <w:keepNext/>
            </w:pPr>
            <w:r>
              <w:rPr>
                <w:sz w:val="15"/>
                <w:szCs w:val="15"/>
              </w:rPr>
              <w:t xml:space="preserve">—</w:t>
            </w:r>
          </w:p>
        </w:tc>
      </w:tr>
    </w:tbl>
    <w:p>
      <w:pPr>
        <w:pStyle w:val="BodyText"/>
      </w:pPr>
      <w:r>
        <w:rPr>
          <w:i/>
          <w:iCs/>
        </w:rPr>
        <w:t xml:space="preserve">주:</w:t>
      </w:r>
      <w:r>
        <w:t xml:space="preserve"> </w:t>
      </w:r>
      <w:r>
        <w:t xml:space="preserve">회귀 자료 열의 ○는 회귀분석에 쓰는 H01L21·H01L24 기호 레코드에 들어 있는 기호이며, 이 네 기호의 출원 수는 회귀 자료에서 다시 센 값과 같다. —는 인덱싱 코드(H01L2224)와 소자 조립체 클래스(H01L25)로, 같은 출원의 전체 CPC 기호를 따로 집계한 값이다.</w:t>
      </w:r>
    </w:p>
    <w:p>
      <w:pPr>
        <w:pStyle w:val="BodyText"/>
      </w:pPr>
      <w:r>
        <w:rPr>
          <w:b/>
          <w:bCs/>
        </w:rPr>
        <w:t xml:space="preserve">기술 네트워크.</w:t>
      </w:r>
      <w:r>
        <w:t xml:space="preserve"> </w:t>
      </w:r>
      <w:r>
        <w:t xml:space="preserve">표 5는 한 출원에 함께 부여된 기호 쌍 가운데 함께 부여된 출원이 가장 많은 열 쌍이다. 가장 강한 연결은 도전성 표면의 직접 접합과 절연성 표면의 직접 접합의 쌍(460건)으로, 금속과 절연막을 한 번에 붙이는 하이브리드 본딩의 원리가 그대로 연결 강도로 나타난다. 그 밖의 아홉 쌍도 모두 24/08, 24/80, 2224/80895, 2224/80896, 2224/08145의 다섯 기호 사이의 쌍이다. 하이브리드 본딩의 핵심은 서로 촘촘히 얽힌 소수의 접합 기호에 모여 있다.</w:t>
      </w:r>
    </w:p>
    <w:p>
      <w:pPr>
        <w:pStyle w:val="BodyText"/>
        <w:keepNext/>
      </w:pPr>
      <w:r>
        <w:rPr>
          <w:b/>
          <w:bCs/>
        </w:rPr>
        <w:t xml:space="preserve">표 5.</w:t>
      </w:r>
      <w:r>
        <w:t xml:space="preserve"> </w:t>
      </w:r>
      <w:r>
        <w:t xml:space="preserve">기술 네트워크: 함께 부여된 출원이 가장 많은 기호 쌍(N = 928; 상위 10쌍).</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806"/>
        <w:gridCol w:w="4635"/>
        <w:gridCol w:w="2821"/>
        <w:gridCol w:w="806"/>
      </w:tblGrid>
      <w:tr>
        <w:trPr>
          <w:tblHeader w:val="on"/>
          <w:cantSplit/>
        </w:trPr>
        <w:tc>
          <w:tcPr>
            <w:tcW w:type="dxa" w:w="806"/>
            <w:tcBorders>
              <w:bottom w:val="single" w:sz="4" w:space="0" w:color="000000"/>
            </w:tcBorders>
          </w:tcPr>
          <w:p>
            <w:pPr>
              <w:pStyle w:val="Compact"/>
              <w:spacing w:before="20" w:after="20" w:line="240" w:lineRule="auto"/>
              <w:jc w:val="right"/>
              <w:keepNext/>
            </w:pPr>
            <w:r>
              <w:rPr>
                <w:sz w:val="18"/>
                <w:szCs w:val="18"/>
              </w:rPr>
              <w:t xml:space="preserve">순위</w:t>
            </w:r>
          </w:p>
        </w:tc>
        <w:tc>
          <w:tcPr>
            <w:tcW w:type="dxa" w:w="4635"/>
            <w:tcBorders>
              <w:bottom w:val="single" w:sz="4" w:space="0" w:color="000000"/>
            </w:tcBorders>
          </w:tcPr>
          <w:p>
            <w:pPr>
              <w:pStyle w:val="Compact"/>
              <w:spacing w:before="20" w:after="20" w:line="240" w:lineRule="auto"/>
              <w:keepNext/>
            </w:pPr>
            <w:r>
              <w:rPr>
                <w:sz w:val="18"/>
                <w:szCs w:val="18"/>
              </w:rPr>
              <w:t xml:space="preserve">기호 쌍</w:t>
            </w:r>
          </w:p>
        </w:tc>
        <w:tc>
          <w:tcPr>
            <w:tcW w:type="dxa" w:w="2821"/>
            <w:tcBorders>
              <w:bottom w:val="single" w:sz="4" w:space="0" w:color="000000"/>
            </w:tcBorders>
          </w:tcPr>
          <w:p>
            <w:pPr>
              <w:pStyle w:val="Compact"/>
              <w:spacing w:before="20" w:after="20" w:line="240" w:lineRule="auto"/>
              <w:keepNext/>
            </w:pPr>
            <w:r>
              <w:rPr>
                <w:sz w:val="18"/>
                <w:szCs w:val="18"/>
              </w:rPr>
              <w:t xml:space="preserve">내용</w:t>
            </w:r>
          </w:p>
        </w:tc>
        <w:tc>
          <w:tcPr>
            <w:tcW w:type="dxa" w:w="806"/>
            <w:tcBorders>
              <w:bottom w:val="single" w:sz="4" w:space="0" w:color="000000"/>
            </w:tcBorders>
          </w:tcPr>
          <w:p>
            <w:pPr>
              <w:pStyle w:val="Compact"/>
              <w:spacing w:before="20" w:after="20" w:line="240" w:lineRule="auto"/>
              <w:jc w:val="right"/>
              <w:keepNext/>
            </w:pPr>
            <w:r>
              <w:rPr>
                <w:sz w:val="18"/>
                <w:szCs w:val="18"/>
              </w:rPr>
              <w:t xml:space="preserve">출원 수</w:t>
            </w:r>
          </w:p>
        </w:tc>
      </w:tr>
      <w:tr>
        <w:trPr>
          <w:cantSplit/>
        </w:trPr>
        <w:tc>
          <w:tcPr>
            <w:tcW w:type="dxa" w:w="806"/>
          </w:tcPr>
          <w:p>
            <w:pPr>
              <w:pStyle w:val="Compact"/>
              <w:spacing w:before="20" w:after="20" w:line="240" w:lineRule="auto"/>
              <w:jc w:val="right"/>
              <w:keepNext/>
            </w:pPr>
            <w:r>
              <w:rPr>
                <w:sz w:val="18"/>
                <w:szCs w:val="18"/>
              </w:rPr>
              <w:t xml:space="preserve">1</w:t>
            </w:r>
          </w:p>
        </w:tc>
        <w:tc>
          <w:tcPr>
            <w:tcW w:type="dxa" w:w="4635"/>
          </w:tcPr>
          <w:p>
            <w:pPr>
              <w:pStyle w:val="Compact"/>
              <w:spacing w:before="20" w:after="20" w:line="240" w:lineRule="auto"/>
              <w:keepNext/>
            </w:pPr>
            <w:r>
              <w:rPr>
                <w:sz w:val="18"/>
                <w:szCs w:val="18"/>
              </w:rPr>
              <w:t xml:space="preserve">2224/80895 – 2224/80896</w:t>
            </w:r>
          </w:p>
        </w:tc>
        <w:tc>
          <w:tcPr>
            <w:tcW w:type="dxa" w:w="2821"/>
          </w:tcPr>
          <w:p>
            <w:pPr>
              <w:pStyle w:val="Compact"/>
              <w:spacing w:before="20" w:after="20" w:line="240" w:lineRule="auto"/>
              <w:keepNext/>
            </w:pPr>
            <w:r>
              <w:rPr>
                <w:sz w:val="18"/>
                <w:szCs w:val="18"/>
              </w:rPr>
              <w:t xml:space="preserve">도전성 표면 직접 접합 – 절연성 표면 직접 접합</w:t>
            </w:r>
          </w:p>
        </w:tc>
        <w:tc>
          <w:tcPr>
            <w:tcW w:type="dxa" w:w="806"/>
          </w:tcPr>
          <w:p>
            <w:pPr>
              <w:pStyle w:val="Compact"/>
              <w:spacing w:before="20" w:after="20" w:line="240" w:lineRule="auto"/>
              <w:jc w:val="right"/>
              <w:keepNext/>
            </w:pPr>
            <w:r>
              <w:rPr>
                <w:sz w:val="18"/>
                <w:szCs w:val="18"/>
              </w:rPr>
              <w:t xml:space="preserve">460</w:t>
            </w:r>
          </w:p>
        </w:tc>
      </w:tr>
      <w:tr>
        <w:trPr>
          <w:cantSplit/>
        </w:trPr>
        <w:tc>
          <w:tcPr>
            <w:tcW w:type="dxa" w:w="806"/>
          </w:tcPr>
          <w:p>
            <w:pPr>
              <w:pStyle w:val="Compact"/>
              <w:spacing w:before="20" w:after="20" w:line="240" w:lineRule="auto"/>
              <w:jc w:val="right"/>
              <w:keepNext/>
            </w:pPr>
            <w:r>
              <w:rPr>
                <w:sz w:val="18"/>
                <w:szCs w:val="18"/>
              </w:rPr>
              <w:t xml:space="preserve">2</w:t>
            </w:r>
          </w:p>
        </w:tc>
        <w:tc>
          <w:tcPr>
            <w:tcW w:type="dxa" w:w="4635"/>
          </w:tcPr>
          <w:p>
            <w:pPr>
              <w:pStyle w:val="Compact"/>
              <w:spacing w:before="20" w:after="20" w:line="240" w:lineRule="auto"/>
              <w:keepNext/>
            </w:pPr>
            <w:r>
              <w:rPr>
                <w:sz w:val="18"/>
                <w:szCs w:val="18"/>
              </w:rPr>
              <w:t xml:space="preserve">24/08 – 24/80</w:t>
            </w:r>
          </w:p>
        </w:tc>
        <w:tc>
          <w:tcPr>
            <w:tcW w:type="dxa" w:w="2821"/>
          </w:tcPr>
          <w:p>
            <w:pPr>
              <w:pStyle w:val="Compact"/>
              <w:spacing w:before="20" w:after="20" w:line="240" w:lineRule="auto"/>
              <w:keepNext/>
            </w:pPr>
            <w:r>
              <w:rPr>
                <w:sz w:val="18"/>
                <w:szCs w:val="18"/>
              </w:rPr>
              <w:t xml:space="preserve">연결 후 접합 패드 – 접합 패드를 이용한 연결 방법</w:t>
            </w:r>
          </w:p>
        </w:tc>
        <w:tc>
          <w:tcPr>
            <w:tcW w:type="dxa" w:w="806"/>
          </w:tcPr>
          <w:p>
            <w:pPr>
              <w:pStyle w:val="Compact"/>
              <w:spacing w:before="20" w:after="20" w:line="240" w:lineRule="auto"/>
              <w:jc w:val="right"/>
              <w:keepNext/>
            </w:pPr>
            <w:r>
              <w:rPr>
                <w:sz w:val="18"/>
                <w:szCs w:val="18"/>
              </w:rPr>
              <w:t xml:space="preserve">439</w:t>
            </w:r>
          </w:p>
        </w:tc>
      </w:tr>
      <w:tr>
        <w:trPr>
          <w:cantSplit/>
        </w:trPr>
        <w:tc>
          <w:tcPr>
            <w:tcW w:type="dxa" w:w="806"/>
          </w:tcPr>
          <w:p>
            <w:pPr>
              <w:pStyle w:val="Compact"/>
              <w:spacing w:before="20" w:after="20" w:line="240" w:lineRule="auto"/>
              <w:jc w:val="right"/>
              <w:keepNext/>
            </w:pPr>
            <w:r>
              <w:rPr>
                <w:sz w:val="18"/>
                <w:szCs w:val="18"/>
              </w:rPr>
              <w:t xml:space="preserve">3</w:t>
            </w:r>
          </w:p>
        </w:tc>
        <w:tc>
          <w:tcPr>
            <w:tcW w:type="dxa" w:w="4635"/>
          </w:tcPr>
          <w:p>
            <w:pPr>
              <w:pStyle w:val="Compact"/>
              <w:spacing w:before="20" w:after="20" w:line="240" w:lineRule="auto"/>
              <w:keepNext/>
            </w:pPr>
            <w:r>
              <w:rPr>
                <w:sz w:val="18"/>
                <w:szCs w:val="18"/>
              </w:rPr>
              <w:t xml:space="preserve">24/80 – 2224/80895</w:t>
            </w:r>
          </w:p>
        </w:tc>
        <w:tc>
          <w:tcPr>
            <w:tcW w:type="dxa" w:w="2821"/>
          </w:tcPr>
          <w:p>
            <w:pPr>
              <w:pStyle w:val="Compact"/>
              <w:spacing w:before="20" w:after="20" w:line="240" w:lineRule="auto"/>
              <w:keepNext/>
            </w:pPr>
            <w:r>
              <w:rPr>
                <w:sz w:val="18"/>
                <w:szCs w:val="18"/>
              </w:rPr>
              <w:t xml:space="preserve">접합 패드를 이용한 연결 방법 – 도전성 표면 직접 접합</w:t>
            </w:r>
          </w:p>
        </w:tc>
        <w:tc>
          <w:tcPr>
            <w:tcW w:type="dxa" w:w="806"/>
          </w:tcPr>
          <w:p>
            <w:pPr>
              <w:pStyle w:val="Compact"/>
              <w:spacing w:before="20" w:after="20" w:line="240" w:lineRule="auto"/>
              <w:jc w:val="right"/>
              <w:keepNext/>
            </w:pPr>
            <w:r>
              <w:rPr>
                <w:sz w:val="18"/>
                <w:szCs w:val="18"/>
              </w:rPr>
              <w:t xml:space="preserve">434</w:t>
            </w:r>
          </w:p>
        </w:tc>
      </w:tr>
      <w:tr>
        <w:trPr>
          <w:cantSplit/>
        </w:trPr>
        <w:tc>
          <w:tcPr>
            <w:tcW w:type="dxa" w:w="806"/>
          </w:tcPr>
          <w:p>
            <w:pPr>
              <w:pStyle w:val="Compact"/>
              <w:spacing w:before="20" w:after="20" w:line="240" w:lineRule="auto"/>
              <w:jc w:val="right"/>
              <w:keepNext/>
            </w:pPr>
            <w:r>
              <w:rPr>
                <w:sz w:val="18"/>
                <w:szCs w:val="18"/>
              </w:rPr>
              <w:t xml:space="preserve">4</w:t>
            </w:r>
          </w:p>
        </w:tc>
        <w:tc>
          <w:tcPr>
            <w:tcW w:type="dxa" w:w="4635"/>
          </w:tcPr>
          <w:p>
            <w:pPr>
              <w:pStyle w:val="Compact"/>
              <w:spacing w:before="20" w:after="20" w:line="240" w:lineRule="auto"/>
              <w:keepNext/>
            </w:pPr>
            <w:r>
              <w:rPr>
                <w:sz w:val="18"/>
                <w:szCs w:val="18"/>
              </w:rPr>
              <w:t xml:space="preserve">24/08 – 2224/80895</w:t>
            </w:r>
          </w:p>
        </w:tc>
        <w:tc>
          <w:tcPr>
            <w:tcW w:type="dxa" w:w="2821"/>
          </w:tcPr>
          <w:p>
            <w:pPr>
              <w:pStyle w:val="Compact"/>
              <w:spacing w:before="20" w:after="20" w:line="240" w:lineRule="auto"/>
              <w:keepNext/>
            </w:pPr>
            <w:r>
              <w:rPr>
                <w:sz w:val="18"/>
                <w:szCs w:val="18"/>
              </w:rPr>
              <w:t xml:space="preserve">연결 후 접합 패드 – 도전성 표면 직접 접합</w:t>
            </w:r>
          </w:p>
        </w:tc>
        <w:tc>
          <w:tcPr>
            <w:tcW w:type="dxa" w:w="806"/>
          </w:tcPr>
          <w:p>
            <w:pPr>
              <w:pStyle w:val="Compact"/>
              <w:spacing w:before="20" w:after="20" w:line="240" w:lineRule="auto"/>
              <w:jc w:val="right"/>
              <w:keepNext/>
            </w:pPr>
            <w:r>
              <w:rPr>
                <w:sz w:val="18"/>
                <w:szCs w:val="18"/>
              </w:rPr>
              <w:t xml:space="preserve">420</w:t>
            </w:r>
          </w:p>
        </w:tc>
      </w:tr>
      <w:tr>
        <w:trPr>
          <w:cantSplit/>
        </w:trPr>
        <w:tc>
          <w:tcPr>
            <w:tcW w:type="dxa" w:w="806"/>
          </w:tcPr>
          <w:p>
            <w:pPr>
              <w:pStyle w:val="Compact"/>
              <w:spacing w:before="20" w:after="20" w:line="240" w:lineRule="auto"/>
              <w:jc w:val="right"/>
              <w:keepNext/>
            </w:pPr>
            <w:r>
              <w:rPr>
                <w:sz w:val="18"/>
                <w:szCs w:val="18"/>
              </w:rPr>
              <w:t xml:space="preserve">5</w:t>
            </w:r>
          </w:p>
        </w:tc>
        <w:tc>
          <w:tcPr>
            <w:tcW w:type="dxa" w:w="4635"/>
          </w:tcPr>
          <w:p>
            <w:pPr>
              <w:pStyle w:val="Compact"/>
              <w:spacing w:before="20" w:after="20" w:line="240" w:lineRule="auto"/>
              <w:keepNext/>
            </w:pPr>
            <w:r>
              <w:rPr>
                <w:sz w:val="18"/>
                <w:szCs w:val="18"/>
              </w:rPr>
              <w:t xml:space="preserve">24/80 – 2224/80896</w:t>
            </w:r>
          </w:p>
        </w:tc>
        <w:tc>
          <w:tcPr>
            <w:tcW w:type="dxa" w:w="2821"/>
          </w:tcPr>
          <w:p>
            <w:pPr>
              <w:pStyle w:val="Compact"/>
              <w:spacing w:before="20" w:after="20" w:line="240" w:lineRule="auto"/>
              <w:keepNext/>
            </w:pPr>
            <w:r>
              <w:rPr>
                <w:sz w:val="18"/>
                <w:szCs w:val="18"/>
              </w:rPr>
              <w:t xml:space="preserve">접합 패드를 이용한 연결 방법 – 절연성 표면 직접 접합</w:t>
            </w:r>
          </w:p>
        </w:tc>
        <w:tc>
          <w:tcPr>
            <w:tcW w:type="dxa" w:w="806"/>
          </w:tcPr>
          <w:p>
            <w:pPr>
              <w:pStyle w:val="Compact"/>
              <w:spacing w:before="20" w:after="20" w:line="240" w:lineRule="auto"/>
              <w:jc w:val="right"/>
              <w:keepNext/>
            </w:pPr>
            <w:r>
              <w:rPr>
                <w:sz w:val="18"/>
                <w:szCs w:val="18"/>
              </w:rPr>
              <w:t xml:space="preserve">418</w:t>
            </w:r>
          </w:p>
        </w:tc>
      </w:tr>
      <w:tr>
        <w:trPr>
          <w:cantSplit/>
        </w:trPr>
        <w:tc>
          <w:tcPr>
            <w:tcW w:type="dxa" w:w="806"/>
          </w:tcPr>
          <w:p>
            <w:pPr>
              <w:pStyle w:val="Compact"/>
              <w:spacing w:before="20" w:after="20" w:line="240" w:lineRule="auto"/>
              <w:jc w:val="right"/>
              <w:keepNext/>
            </w:pPr>
            <w:r>
              <w:rPr>
                <w:sz w:val="18"/>
                <w:szCs w:val="18"/>
              </w:rPr>
              <w:t xml:space="preserve">6</w:t>
            </w:r>
          </w:p>
        </w:tc>
        <w:tc>
          <w:tcPr>
            <w:tcW w:type="dxa" w:w="4635"/>
          </w:tcPr>
          <w:p>
            <w:pPr>
              <w:pStyle w:val="Compact"/>
              <w:spacing w:before="20" w:after="20" w:line="240" w:lineRule="auto"/>
              <w:keepNext/>
            </w:pPr>
            <w:r>
              <w:rPr>
                <w:sz w:val="18"/>
                <w:szCs w:val="18"/>
              </w:rPr>
              <w:t xml:space="preserve">24/08 – 2224/80896</w:t>
            </w:r>
          </w:p>
        </w:tc>
        <w:tc>
          <w:tcPr>
            <w:tcW w:type="dxa" w:w="2821"/>
          </w:tcPr>
          <w:p>
            <w:pPr>
              <w:pStyle w:val="Compact"/>
              <w:spacing w:before="20" w:after="20" w:line="240" w:lineRule="auto"/>
              <w:keepNext/>
            </w:pPr>
            <w:r>
              <w:rPr>
                <w:sz w:val="18"/>
                <w:szCs w:val="18"/>
              </w:rPr>
              <w:t xml:space="preserve">연결 후 접합 패드 – 절연성 표면 직접 접합</w:t>
            </w:r>
          </w:p>
        </w:tc>
        <w:tc>
          <w:tcPr>
            <w:tcW w:type="dxa" w:w="806"/>
          </w:tcPr>
          <w:p>
            <w:pPr>
              <w:pStyle w:val="Compact"/>
              <w:spacing w:before="20" w:after="20" w:line="240" w:lineRule="auto"/>
              <w:jc w:val="right"/>
              <w:keepNext/>
            </w:pPr>
            <w:r>
              <w:rPr>
                <w:sz w:val="18"/>
                <w:szCs w:val="18"/>
              </w:rPr>
              <w:t xml:space="preserve">395</w:t>
            </w:r>
          </w:p>
        </w:tc>
      </w:tr>
      <w:tr>
        <w:trPr>
          <w:cantSplit/>
        </w:trPr>
        <w:tc>
          <w:tcPr>
            <w:tcW w:type="dxa" w:w="806"/>
          </w:tcPr>
          <w:p>
            <w:pPr>
              <w:pStyle w:val="Compact"/>
              <w:spacing w:before="20" w:after="20" w:line="240" w:lineRule="auto"/>
              <w:jc w:val="right"/>
              <w:keepNext/>
            </w:pPr>
            <w:r>
              <w:rPr>
                <w:sz w:val="18"/>
                <w:szCs w:val="18"/>
              </w:rPr>
              <w:t xml:space="preserve">7</w:t>
            </w:r>
          </w:p>
        </w:tc>
        <w:tc>
          <w:tcPr>
            <w:tcW w:type="dxa" w:w="4635"/>
          </w:tcPr>
          <w:p>
            <w:pPr>
              <w:pStyle w:val="Compact"/>
              <w:spacing w:before="20" w:after="20" w:line="240" w:lineRule="auto"/>
              <w:keepNext/>
            </w:pPr>
            <w:r>
              <w:rPr>
                <w:sz w:val="18"/>
                <w:szCs w:val="18"/>
              </w:rPr>
              <w:t xml:space="preserve">24/08 – 2224/08145</w:t>
            </w:r>
          </w:p>
        </w:tc>
        <w:tc>
          <w:tcPr>
            <w:tcW w:type="dxa" w:w="2821"/>
          </w:tcPr>
          <w:p>
            <w:pPr>
              <w:pStyle w:val="Compact"/>
              <w:spacing w:before="20" w:after="20" w:line="240" w:lineRule="auto"/>
              <w:keepNext/>
            </w:pPr>
            <w:r>
              <w:rPr>
                <w:sz w:val="18"/>
                <w:szCs w:val="18"/>
              </w:rPr>
              <w:t xml:space="preserve">연결 후 접합 패드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8</w:t>
            </w:r>
          </w:p>
        </w:tc>
        <w:tc>
          <w:tcPr>
            <w:tcW w:type="dxa" w:w="4635"/>
          </w:tcPr>
          <w:p>
            <w:pPr>
              <w:pStyle w:val="Compact"/>
              <w:spacing w:before="20" w:after="20" w:line="240" w:lineRule="auto"/>
              <w:keepNext/>
            </w:pPr>
            <w:r>
              <w:rPr>
                <w:sz w:val="18"/>
                <w:szCs w:val="18"/>
              </w:rPr>
              <w:t xml:space="preserve">24/80 – 2224/08145</w:t>
            </w:r>
          </w:p>
        </w:tc>
        <w:tc>
          <w:tcPr>
            <w:tcW w:type="dxa" w:w="2821"/>
          </w:tcPr>
          <w:p>
            <w:pPr>
              <w:pStyle w:val="Compact"/>
              <w:spacing w:before="20" w:after="20" w:line="240" w:lineRule="auto"/>
              <w:keepNext/>
            </w:pPr>
            <w:r>
              <w:rPr>
                <w:sz w:val="18"/>
                <w:szCs w:val="18"/>
              </w:rPr>
              <w:t xml:space="preserve">접합 패드를 이용한 연결 방법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9</w:t>
            </w:r>
          </w:p>
        </w:tc>
        <w:tc>
          <w:tcPr>
            <w:tcW w:type="dxa" w:w="4635"/>
          </w:tcPr>
          <w:p>
            <w:pPr>
              <w:pStyle w:val="Compact"/>
              <w:spacing w:before="20" w:after="20" w:line="240" w:lineRule="auto"/>
              <w:keepNext/>
            </w:pPr>
            <w:r>
              <w:rPr>
                <w:sz w:val="18"/>
                <w:szCs w:val="18"/>
              </w:rPr>
              <w:t xml:space="preserve">2224/08145 – 2224/80895</w:t>
            </w:r>
          </w:p>
        </w:tc>
        <w:tc>
          <w:tcPr>
            <w:tcW w:type="dxa" w:w="2821"/>
          </w:tcPr>
          <w:p>
            <w:pPr>
              <w:pStyle w:val="Compact"/>
              <w:spacing w:before="20" w:after="20" w:line="240" w:lineRule="auto"/>
              <w:keepNext/>
            </w:pPr>
            <w:r>
              <w:rPr>
                <w:sz w:val="18"/>
                <w:szCs w:val="18"/>
              </w:rPr>
              <w:t xml:space="preserve">범프 없는 적층 칩 접합 – 도전성 표면 직접 접합</w:t>
            </w:r>
          </w:p>
        </w:tc>
        <w:tc>
          <w:tcPr>
            <w:tcW w:type="dxa" w:w="806"/>
          </w:tcPr>
          <w:p>
            <w:pPr>
              <w:pStyle w:val="Compact"/>
              <w:spacing w:before="20" w:after="20" w:line="240" w:lineRule="auto"/>
              <w:jc w:val="right"/>
              <w:keepNext/>
            </w:pPr>
            <w:r>
              <w:rPr>
                <w:sz w:val="18"/>
                <w:szCs w:val="18"/>
              </w:rPr>
              <w:t xml:space="preserve">379</w:t>
            </w:r>
          </w:p>
        </w:tc>
      </w:tr>
      <w:tr>
        <w:trPr>
          <w:cantSplit/>
        </w:trPr>
        <w:tc>
          <w:tcPr>
            <w:tcW w:type="dxa" w:w="806"/>
          </w:tcPr>
          <w:p>
            <w:pPr>
              <w:pStyle w:val="Compact"/>
              <w:spacing w:before="20" w:after="20" w:line="240" w:lineRule="auto"/>
              <w:jc w:val="right"/>
              <w:keepNext/>
            </w:pPr>
            <w:r>
              <w:rPr>
                <w:sz w:val="18"/>
                <w:szCs w:val="18"/>
              </w:rPr>
              <w:t xml:space="preserve">10</w:t>
            </w:r>
          </w:p>
        </w:tc>
        <w:tc>
          <w:tcPr>
            <w:tcW w:type="dxa" w:w="4635"/>
          </w:tcPr>
          <w:p>
            <w:pPr>
              <w:pStyle w:val="Compact"/>
              <w:spacing w:before="20" w:after="20" w:line="240" w:lineRule="auto"/>
              <w:keepNext/>
            </w:pPr>
            <w:r>
              <w:rPr>
                <w:sz w:val="18"/>
                <w:szCs w:val="18"/>
              </w:rPr>
              <w:t xml:space="preserve">2224/08145 – 2224/80896</w:t>
            </w:r>
          </w:p>
        </w:tc>
        <w:tc>
          <w:tcPr>
            <w:tcW w:type="dxa" w:w="2821"/>
          </w:tcPr>
          <w:p>
            <w:pPr>
              <w:pStyle w:val="Compact"/>
              <w:spacing w:before="20" w:after="20" w:line="240" w:lineRule="auto"/>
              <w:keepNext/>
            </w:pPr>
            <w:r>
              <w:rPr>
                <w:sz w:val="18"/>
                <w:szCs w:val="18"/>
              </w:rPr>
              <w:t xml:space="preserve">범프 없는 적층 칩 접합 – 절연성 표면 직접 접합</w:t>
            </w:r>
          </w:p>
        </w:tc>
        <w:tc>
          <w:tcPr>
            <w:tcW w:type="dxa" w:w="806"/>
          </w:tcPr>
          <w:p>
            <w:pPr>
              <w:pStyle w:val="Compact"/>
              <w:spacing w:before="20" w:after="20" w:line="240" w:lineRule="auto"/>
              <w:jc w:val="right"/>
              <w:keepNext/>
            </w:pPr>
            <w:r>
              <w:rPr>
                <w:sz w:val="18"/>
                <w:szCs w:val="18"/>
              </w:rPr>
              <w:t xml:space="preserve">368</w:t>
            </w:r>
          </w:p>
        </w:tc>
      </w:tr>
    </w:tbl>
    <w:p>
      <w:pPr>
        <w:pStyle w:val="BodyText"/>
      </w:pPr>
      <w:r>
        <w:rPr>
          <w:i/>
          <w:iCs/>
        </w:rPr>
        <w:t xml:space="preserve">주:</w:t>
      </w:r>
      <w:r>
        <w:t xml:space="preserve"> </w:t>
      </w:r>
      <w:r>
        <w:t xml:space="preserve">기호 앞의 H01L은 생략하였다. 2위 쌍(24/08 – 24/80)은 회귀 자료에서 다시 센 값과 같다.</w:t>
      </w:r>
    </w:p>
    <w:p>
      <w:pPr>
        <w:pStyle w:val="BodyText"/>
      </w:pPr>
      <w:r>
        <w:rPr>
          <w:b/>
          <w:bCs/>
        </w:rPr>
        <w:t xml:space="preserve">회귀 자료에서의 핵심 기술.</w:t>
      </w:r>
      <w:r>
        <w:t xml:space="preserve"> </w:t>
      </w:r>
      <w:r>
        <w:t xml:space="preserve">그림 5는 회귀 자료에서 출원 30건 이상에 부여된 기호의 네트워크다. 표 4에서 출원 200건 이상에 부여된 H01L24 기호 네 개(24/80, 24/08, 24/05, 24/03)는 이 네트워크에서도 연결 강도(함께 부여된 출원 수의 합)가 가장 큰 네 기호이고(3,235, 3,140, 2,518, 1,778), 이 네 기호가 이루는 여섯 쌍(186–439건)이 전체 네트워크에서 가장 강한 여섯 연결이다. 다섯째로 많은 기호인 층 형태 커넥터를 이용한 연결(24/83)은 164건으로 차이가 크다. CPC 체계에서 이 네 기호는 범프·층·와이어 같은 별도의 커넥터 없이 접합 패드 자체를 맞붙이는 갈래에 속한다. 접합 패드의 제조와 구조(24/03, 24/05, 24/08)가 그 대상이고, 연결 방법의 상위 그룹(24/80)에서는 범프(24/81), 층(24/83), 와이어(24/85) 커넥터를 쓰는 방법이 하위 그룹으로 따로 분류된다. 본 연구는 이 네 기호를 하이브리드 본딩의 핵심 기술로 본다.</w:t>
      </w:r>
    </w:p>
    <w:p>
      <w:pPr>
        <w:pStyle w:val="BodyText"/>
        <w:keepNext/>
      </w:pPr>
      <w:r>
        <w:drawing>
          <wp:inline>
            <wp:extent cx="5334000" cy="4402666"/>
            <wp:effectExtent b="0" l="0" r="0" t="0"/>
            <wp:docPr descr="" title="" id="34" name="Picture"/>
            <a:graphic>
              <a:graphicData uri="http://schemas.openxmlformats.org/drawingml/2006/picture">
                <pic:pic>
                  <pic:nvPicPr>
                    <pic:cNvPr descr="figures/fig_core_network_ko.png" id="35" name="Picture"/>
                    <pic:cNvPicPr>
                      <a:picLocks noChangeArrowheads="1" noChangeAspect="1"/>
                    </pic:cNvPicPr>
                  </pic:nvPicPr>
                  <pic:blipFill>
                    <a:blip r:embed="rId33"/>
                    <a:stretch>
                      <a:fillRect/>
                    </a:stretch>
                  </pic:blipFill>
                  <pic:spPr bwMode="auto">
                    <a:xfrm>
                      <a:off x="0" y="0"/>
                      <a:ext cx="5334000" cy="4402666"/>
                    </a:xfrm>
                    <a:prstGeom prst="rect">
                      <a:avLst/>
                    </a:prstGeom>
                    <a:noFill/>
                    <a:ln w="9525">
                      <a:noFill/>
                      <a:headEnd/>
                      <a:tailEnd/>
                    </a:ln>
                  </pic:spPr>
                </pic:pic>
              </a:graphicData>
            </a:graphic>
          </wp:inline>
        </w:drawing>
      </w:r>
    </w:p>
    <w:p>
      <w:pPr>
        <w:pStyle w:val="BodyText"/>
      </w:pPr>
      <w:r>
        <w:rPr>
          <w:b/>
          <w:bCs/>
        </w:rPr>
        <w:t xml:space="preserve">그림 5.</w:t>
      </w:r>
      <w:r>
        <w:t xml:space="preserve"> </w:t>
      </w:r>
      <w:r>
        <w:t xml:space="preserve">회귀 자료의 기술 네트워크(H01L21·H01L24 기호 가운데 출원 30건 이상에 부여된 기호; 원의 크기는 출원 수, 선의 굵기는 함께 부여된 출원 수이며 10건 이상인 연결만 표시; 기호 앞의 H01L은 생략).</w:t>
      </w:r>
    </w:p>
    <w:p>
      <w:pPr>
        <w:pStyle w:val="BodyText"/>
      </w:pPr>
      <w:r>
        <w:t xml:space="preserve">H01L24 기호를 가진 출원 763건 가운데 620건(81.3%)이 핵심 기술을 담는다. 그 비중은 2014년 이전 53.5%에서 2015–2019년 78.7%, 2020–2024년 88.0%로 높아져, 발명이 점점 이 핵심 기술로 모여들었다. 핵심 기술과 함께 부여되는 제조공정 기호도 시기에 따라 달랐다. 핵심 기술을 담은 통합형 출원에서 가장 흔한 H01L21 기호는 2015–2019년에는 반도체 몸체끼리의 접합(21/187, 22건)과 기판 관통 배선(21/76898, 21건)이었고, 2020–2024년에는 임시 지지 기판을 이용한 취급(21/6835, 48건)과 봉지 공정용 임시 기판(21/568, 43건)이었다.</w:t>
      </w:r>
    </w:p>
    <w:bookmarkEnd w:id="36"/>
    <w:bookmarkStart w:id="37" w:name="분석-방법"/>
    <w:p>
      <w:pPr>
        <w:pStyle w:val="Heading3"/>
      </w:pPr>
      <w:r>
        <w:t xml:space="preserve">4.5 분석 방법</w:t>
      </w:r>
    </w:p>
    <w:p>
      <w:pPr>
        <w:pStyle w:val="FirstParagraph"/>
      </w:pPr>
      <w:r>
        <w:t xml:space="preserve">종속변수의 측정 척도와 각 가설이 묻는 질문이 다르기 때문에 세 모형을 쓴다(표 6). 분석단위는 출원 식별자별로 집계된 특허출원이며, 모든 모형에 출원청 더미를 통제변수로 넣는다. 제조공정 분류 보유 모형과 공동분류 유형 모형(928건)의 설명변수는 출원연도(yc)와 기술범위(breadth)이고, 핵심 기술 모형(763건)의 설명변수는 핵심 기술 보유(core), 출원 시기(period)와 둘의 상호작용이다.</w:t>
      </w:r>
    </w:p>
    <w:p>
      <w:pPr>
        <w:pStyle w:val="BodyText"/>
        <w:keepNext/>
      </w:pPr>
      <w:r>
        <w:rPr>
          <w:b/>
          <w:bCs/>
        </w:rPr>
        <w:t xml:space="preserve">표 6.</w:t>
      </w:r>
      <w:r>
        <w:t xml:space="preserve"> </w:t>
      </w:r>
      <w:r>
        <w:t xml:space="preserve">세 가지 회귀모형의 역할.</w:t>
      </w:r>
    </w:p>
    <w:tbl>
      <w:tblPr>
        <w:tblStyle w:val="Table"/>
        <w:tblW w:type="dxa" w:w="9073"/>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58"/>
        <w:gridCol w:w="1808"/>
        <w:gridCol w:w="1460"/>
        <w:gridCol w:w="1611"/>
        <w:gridCol w:w="1572"/>
        <w:gridCol w:w="864"/>
      </w:tblGrid>
      <w:tr>
        <w:trPr>
          <w:tblHeader w:val="on"/>
          <w:cantSplit/>
        </w:trPr>
        <w:tc>
          <w:tcPr>
            <w:tcW w:type="dxa" w:w="1758"/>
            <w:tcBorders>
              <w:bottom w:val="single" w:sz="4" w:space="0" w:color="000000"/>
            </w:tcBorders>
          </w:tcPr>
          <w:p>
            <w:pPr>
              <w:pStyle w:val="Compact"/>
              <w:spacing w:before="20" w:after="20" w:line="240" w:lineRule="auto"/>
              <w:keepNext/>
            </w:pPr>
            <w:r>
              <w:rPr>
                <w:sz w:val="13"/>
                <w:szCs w:val="13"/>
              </w:rPr>
              <w:t xml:space="preserve">분석 질문</w:t>
            </w:r>
          </w:p>
        </w:tc>
        <w:tc>
          <w:tcPr>
            <w:tcW w:type="dxa" w:w="1808"/>
            <w:tcBorders>
              <w:bottom w:val="single" w:sz="4" w:space="0" w:color="000000"/>
            </w:tcBorders>
          </w:tcPr>
          <w:p>
            <w:pPr>
              <w:pStyle w:val="Compact"/>
              <w:spacing w:before="20" w:after="20" w:line="240" w:lineRule="auto"/>
              <w:keepNext/>
            </w:pPr>
            <w:r>
              <w:rPr>
                <w:sz w:val="13"/>
                <w:szCs w:val="13"/>
              </w:rPr>
              <w:t xml:space="preserve">종속변수</w:t>
            </w:r>
          </w:p>
        </w:tc>
        <w:tc>
          <w:tcPr>
            <w:tcW w:type="dxa" w:w="1460"/>
            <w:tcBorders>
              <w:bottom w:val="single" w:sz="4" w:space="0" w:color="000000"/>
            </w:tcBorders>
          </w:tcPr>
          <w:p>
            <w:pPr>
              <w:pStyle w:val="Compact"/>
              <w:spacing w:before="20" w:after="20" w:line="240" w:lineRule="auto"/>
              <w:keepNext/>
            </w:pPr>
            <w:r>
              <w:rPr>
                <w:sz w:val="13"/>
                <w:szCs w:val="13"/>
              </w:rPr>
              <w:t xml:space="preserve">척도</w:t>
            </w:r>
          </w:p>
        </w:tc>
        <w:tc>
          <w:tcPr>
            <w:tcW w:type="dxa" w:w="1611"/>
            <w:tcBorders>
              <w:bottom w:val="single" w:sz="4" w:space="0" w:color="000000"/>
            </w:tcBorders>
          </w:tcPr>
          <w:p>
            <w:pPr>
              <w:pStyle w:val="Compact"/>
              <w:spacing w:before="20" w:after="20" w:line="240" w:lineRule="auto"/>
              <w:keepNext/>
            </w:pPr>
            <w:r>
              <w:rPr>
                <w:sz w:val="13"/>
                <w:szCs w:val="13"/>
              </w:rPr>
              <w:t xml:space="preserve">주모형</w:t>
            </w:r>
          </w:p>
        </w:tc>
        <w:tc>
          <w:tcPr>
            <w:tcW w:type="dxa" w:w="1572"/>
            <w:tcBorders>
              <w:bottom w:val="single" w:sz="4" w:space="0" w:color="000000"/>
            </w:tcBorders>
          </w:tcPr>
          <w:p>
            <w:pPr>
              <w:pStyle w:val="Compact"/>
              <w:spacing w:before="20" w:after="20" w:line="240" w:lineRule="auto"/>
              <w:keepNext/>
            </w:pPr>
            <w:r>
              <w:rPr>
                <w:sz w:val="13"/>
                <w:szCs w:val="13"/>
              </w:rPr>
              <w:t xml:space="preserve">보고 지표</w:t>
            </w:r>
          </w:p>
        </w:tc>
        <w:tc>
          <w:tcPr>
            <w:tcW w:type="dxa" w:w="864"/>
            <w:tcBorders>
              <w:bottom w:val="single" w:sz="4" w:space="0" w:color="000000"/>
            </w:tcBorders>
          </w:tcPr>
          <w:p>
            <w:pPr>
              <w:pStyle w:val="Compact"/>
              <w:spacing w:before="20" w:after="20" w:line="240" w:lineRule="auto"/>
              <w:keepNext/>
            </w:pPr>
            <w:r>
              <w:rPr>
                <w:sz w:val="13"/>
                <w:szCs w:val="13"/>
              </w:rPr>
              <w:t xml:space="preserve">연결 가설</w:t>
            </w:r>
          </w:p>
        </w:tc>
      </w:tr>
      <w:tr>
        <w:trPr>
          <w:cantSplit/>
        </w:trPr>
        <w:tc>
          <w:tcPr>
            <w:tcW w:type="dxa" w:w="1758"/>
          </w:tcPr>
          <w:p>
            <w:pPr>
              <w:pStyle w:val="Compact"/>
              <w:spacing w:before="20" w:after="20" w:line="240" w:lineRule="auto"/>
              <w:keepNext/>
            </w:pPr>
            <w:r>
              <w:rPr>
                <w:sz w:val="13"/>
                <w:szCs w:val="13"/>
              </w:rPr>
              <w:t xml:space="preserve">출원이 제조공정 분류를 하나 이상 포함하는가</w:t>
            </w:r>
          </w:p>
        </w:tc>
        <w:tc>
          <w:tcPr>
            <w:tcW w:type="dxa" w:w="1808"/>
          </w:tcPr>
          <w:p>
            <w:pPr>
              <w:pStyle w:val="Compact"/>
              <w:spacing w:before="20" w:after="20" w:line="240" w:lineRule="auto"/>
              <w:keepNext/>
            </w:pPr>
            <w:r>
              <w:rPr>
                <w:sz w:val="13"/>
                <w:szCs w:val="13"/>
              </w:rPr>
              <w:t xml:space="preserve">has_process</w:t>
            </w:r>
          </w:p>
        </w:tc>
        <w:tc>
          <w:tcPr>
            <w:tcW w:type="dxa" w:w="1460"/>
          </w:tcPr>
          <w:p>
            <w:pPr>
              <w:pStyle w:val="Compact"/>
              <w:spacing w:before="20" w:after="20" w:line="240" w:lineRule="auto"/>
              <w:keepNext/>
            </w:pPr>
            <w:r>
              <w:rPr>
                <w:sz w:val="13"/>
                <w:szCs w:val="13"/>
              </w:rPr>
              <w:t xml:space="preserve">이항, 0/1</w:t>
            </w:r>
          </w:p>
        </w:tc>
        <w:tc>
          <w:tcPr>
            <w:tcW w:type="dxa" w:w="1611"/>
          </w:tcPr>
          <w:p>
            <w:pPr>
              <w:pStyle w:val="Compact"/>
              <w:spacing w:before="20" w:after="20" w:line="240" w:lineRule="auto"/>
              <w:keepNext/>
            </w:pPr>
            <w:r>
              <w:rPr>
                <w:sz w:val="13"/>
                <w:szCs w:val="13"/>
              </w:rPr>
              <w:t xml:space="preserve">이항 로짓</w:t>
            </w:r>
          </w:p>
        </w:tc>
        <w:tc>
          <w:tcPr>
            <w:tcW w:type="dxa" w:w="1572"/>
          </w:tcPr>
          <w:p>
            <w:pPr>
              <w:pStyle w:val="Compact"/>
              <w:spacing w:before="20" w:after="20" w:line="240" w:lineRule="auto"/>
              <w:keepNext/>
            </w:pPr>
            <w:r>
              <w:rPr>
                <w:sz w:val="13"/>
                <w:szCs w:val="13"/>
              </w:rPr>
              <w:t xml:space="preserve">승산비(OR)</w:t>
            </w:r>
          </w:p>
        </w:tc>
        <w:tc>
          <w:tcPr>
            <w:tcW w:type="dxa" w:w="864"/>
          </w:tcPr>
          <w:p>
            <w:pPr>
              <w:pStyle w:val="Compact"/>
              <w:spacing w:before="20" w:after="20" w:line="240" w:lineRule="auto"/>
              <w:keepNext/>
            </w:pPr>
            <w:r>
              <w:rPr>
                <w:sz w:val="13"/>
                <w:szCs w:val="13"/>
              </w:rPr>
              <w:t xml:space="preserve">보완분석</w:t>
            </w:r>
          </w:p>
        </w:tc>
      </w:tr>
      <w:tr>
        <w:trPr>
          <w:cantSplit/>
        </w:trPr>
        <w:tc>
          <w:tcPr>
            <w:tcW w:type="dxa" w:w="1758"/>
          </w:tcPr>
          <w:p>
            <w:pPr>
              <w:pStyle w:val="Compact"/>
              <w:spacing w:before="20" w:after="20" w:line="240" w:lineRule="auto"/>
              <w:keepNext/>
            </w:pPr>
            <w:r>
              <w:rPr>
                <w:sz w:val="13"/>
                <w:szCs w:val="13"/>
              </w:rPr>
              <w:t xml:space="preserve">출원이 세 공동분류 유형 가운데 어디에 속하는가</w:t>
            </w:r>
          </w:p>
        </w:tc>
        <w:tc>
          <w:tcPr>
            <w:tcW w:type="dxa" w:w="1808"/>
          </w:tcPr>
          <w:p>
            <w:pPr>
              <w:pStyle w:val="Compact"/>
              <w:spacing w:before="20" w:after="20" w:line="240" w:lineRule="auto"/>
              <w:keepNext/>
            </w:pPr>
            <w:r>
              <w:rPr>
                <w:sz w:val="13"/>
                <w:szCs w:val="13"/>
              </w:rPr>
              <w:t xml:space="preserve">tech_cat</w:t>
            </w:r>
          </w:p>
        </w:tc>
        <w:tc>
          <w:tcPr>
            <w:tcW w:type="dxa" w:w="1460"/>
          </w:tcPr>
          <w:p>
            <w:pPr>
              <w:pStyle w:val="Compact"/>
              <w:spacing w:before="20" w:after="20" w:line="240" w:lineRule="auto"/>
              <w:keepNext/>
            </w:pPr>
            <w:r>
              <w:rPr>
                <w:sz w:val="13"/>
                <w:szCs w:val="13"/>
              </w:rPr>
              <w:t xml:space="preserve">순서 없는 3범주</w:t>
            </w:r>
          </w:p>
        </w:tc>
        <w:tc>
          <w:tcPr>
            <w:tcW w:type="dxa" w:w="1611"/>
          </w:tcPr>
          <w:p>
            <w:pPr>
              <w:pStyle w:val="Compact"/>
              <w:spacing w:before="20" w:after="20" w:line="240" w:lineRule="auto"/>
              <w:keepNext/>
            </w:pPr>
            <w:r>
              <w:rPr>
                <w:sz w:val="13"/>
                <w:szCs w:val="13"/>
              </w:rPr>
              <w:t xml:space="preserve">다항 로짓(기준 = 조립 단독형)</w:t>
            </w:r>
          </w:p>
        </w:tc>
        <w:tc>
          <w:tcPr>
            <w:tcW w:type="dxa" w:w="1572"/>
          </w:tcPr>
          <w:p>
            <w:pPr>
              <w:pStyle w:val="Compact"/>
              <w:spacing w:before="20" w:after="20" w:line="240" w:lineRule="auto"/>
              <w:keepNext/>
            </w:pPr>
            <w:r>
              <w:rPr>
                <w:sz w:val="13"/>
                <w:szCs w:val="13"/>
              </w:rPr>
              <w:t xml:space="preserve">상대위험비(RRR)</w:t>
            </w:r>
          </w:p>
        </w:tc>
        <w:tc>
          <w:tcPr>
            <w:tcW w:type="dxa" w:w="864"/>
          </w:tcPr>
          <w:p>
            <w:pPr>
              <w:pStyle w:val="Compact"/>
              <w:spacing w:before="20" w:after="20" w:line="240" w:lineRule="auto"/>
              <w:keepNext/>
            </w:pPr>
            <w:r>
              <w:rPr>
                <w:sz w:val="13"/>
                <w:szCs w:val="13"/>
              </w:rPr>
              <w:t xml:space="preserve">H1, H2</w:t>
            </w:r>
          </w:p>
        </w:tc>
      </w:tr>
      <w:tr>
        <w:trPr>
          <w:cantSplit/>
        </w:trPr>
        <w:tc>
          <w:tcPr>
            <w:tcW w:type="dxa" w:w="1758"/>
          </w:tcPr>
          <w:p>
            <w:pPr>
              <w:pStyle w:val="Compact"/>
              <w:spacing w:before="20" w:after="20" w:line="240" w:lineRule="auto"/>
              <w:keepNext/>
            </w:pPr>
            <w:r>
              <w:rPr>
                <w:sz w:val="13"/>
                <w:szCs w:val="13"/>
              </w:rPr>
              <w:t xml:space="preserve">접합 기호를 가진 출원이 제조공정 기호도 함께 가지는가</w:t>
            </w:r>
          </w:p>
        </w:tc>
        <w:tc>
          <w:tcPr>
            <w:tcW w:type="dxa" w:w="1808"/>
          </w:tcPr>
          <w:p>
            <w:pPr>
              <w:pStyle w:val="Compact"/>
              <w:spacing w:before="20" w:after="20" w:line="240" w:lineRule="auto"/>
              <w:keepNext/>
            </w:pPr>
            <w:r>
              <w:rPr>
                <w:sz w:val="13"/>
                <w:szCs w:val="13"/>
              </w:rPr>
              <w:t xml:space="preserve">통합형 여부(H01L24 보유 출원)</w:t>
            </w:r>
          </w:p>
        </w:tc>
        <w:tc>
          <w:tcPr>
            <w:tcW w:type="dxa" w:w="1460"/>
          </w:tcPr>
          <w:p>
            <w:pPr>
              <w:pStyle w:val="Compact"/>
              <w:spacing w:before="20" w:after="20" w:line="240" w:lineRule="auto"/>
              <w:keepNext/>
            </w:pPr>
            <w:r>
              <w:rPr>
                <w:sz w:val="13"/>
                <w:szCs w:val="13"/>
              </w:rPr>
              <w:t xml:space="preserve">이항, 0/1</w:t>
            </w:r>
          </w:p>
        </w:tc>
        <w:tc>
          <w:tcPr>
            <w:tcW w:type="dxa" w:w="1611"/>
          </w:tcPr>
          <w:p>
            <w:pPr>
              <w:pStyle w:val="Compact"/>
              <w:spacing w:before="20" w:after="20" w:line="240" w:lineRule="auto"/>
              <w:keepNext/>
            </w:pPr>
            <w:r>
              <w:rPr>
                <w:sz w:val="13"/>
                <w:szCs w:val="13"/>
              </w:rPr>
              <w:t xml:space="preserve">이항 로짓(핵심 기술 × 출원 시기)</w:t>
            </w:r>
          </w:p>
        </w:tc>
        <w:tc>
          <w:tcPr>
            <w:tcW w:type="dxa" w:w="1572"/>
          </w:tcPr>
          <w:p>
            <w:pPr>
              <w:pStyle w:val="Compact"/>
              <w:spacing w:before="20" w:after="20" w:line="240" w:lineRule="auto"/>
              <w:keepNext/>
            </w:pPr>
            <w:r>
              <w:rPr>
                <w:sz w:val="13"/>
                <w:szCs w:val="13"/>
              </w:rPr>
              <w:t xml:space="preserve">시기별 승산비(OR)</w:t>
            </w:r>
          </w:p>
        </w:tc>
        <w:tc>
          <w:tcPr>
            <w:tcW w:type="dxa" w:w="864"/>
          </w:tcPr>
          <w:p>
            <w:pPr>
              <w:pStyle w:val="Compact"/>
              <w:spacing w:before="20" w:after="20" w:line="240" w:lineRule="auto"/>
              <w:keepNext/>
            </w:pPr>
            <w:r>
              <w:rPr>
                <w:sz w:val="13"/>
                <w:szCs w:val="13"/>
              </w:rPr>
              <w:t xml:space="preserve">H3</w:t>
            </w:r>
          </w:p>
        </w:tc>
      </w:tr>
    </w:tbl>
    <w:p>
      <w:pPr>
        <w:pStyle w:val="BodyText"/>
      </w:pPr>
      <w:r>
        <w:rPr>
          <w:b/>
          <w:bCs/>
        </w:rPr>
        <w:t xml:space="preserve">제조공정 분류 보유 모형: 이항 로짓.</w:t>
      </w:r>
      <w:r>
        <w:t xml:space="preserve"> </w:t>
      </w:r>
      <w:r>
        <w:t xml:space="preserve">has_process는 H01L21 계열 기호를 하나 이상 가지면 1, 아니면 0이다. 통합형 425건과 공정 단독형 165건이 1이고 조립 단독형 338건이 0이다. 종속변수가 두 상태뿐이므로 확률을 0과 1 사이로 제한하는 이항 로짓(log[P/(1 − P)] = β₀ + β₁·breadth + β₂·yc + Σγ_k·ccode_k)으로 추정하고 승산비(OR)로 보고한다. OR은 확률이 아니라 오즈의 배율이다. OR이 1.5이면 제조공정 분류를 가질 오즈가 1.5배라는 뜻이며, 확률이 50% 높다는 뜻으로 바꾸어 쓰지 않는다. 이 모형은 통합형과 공정 단독형을 제조공정 분류 보유 출원으로 묶어 어떤 특성의 출원에서 제조공정 분류가 전반적으로 관찰되는지를 확인하는 보완분석이며, 가설의 본 검정은 아니다.</w:t>
      </w:r>
    </w:p>
    <w:p>
      <w:pPr>
        <w:pStyle w:val="BodyText"/>
      </w:pPr>
      <w:r>
        <w:rPr>
          <w:b/>
          <w:bCs/>
        </w:rPr>
        <w:t xml:space="preserve">공동분류 유형 모형: 다항 로짓.</w:t>
      </w:r>
      <w:r>
        <w:t xml:space="preserve"> </w:t>
      </w:r>
      <w:r>
        <w:t xml:space="preserve">tech_cat의 세 범주는 크고 작음의 순서가 아니라 서로 다른 CPC 구성 방식이므로 순서형 로짓이 아닌 다항 로짓(McFadden, 1974)을 쓴다. 조립 단독형을 기준범주로 두면, 접합 기호만 있는 출원에 견주어 제조공정 분류가 함께 나타나는 통합형과 접합 분류 없이 제조공정만 나타나는 공정 단독형을 각각 비교할 수 있다. 기준범주를 바꾸어도 예측확률과 적합도는 같고 계수의 비교 방향만 달라진다. 결과는 통합형 대 조립 단독형, 공정 단독형 대 조립 단독형의 상대위험비(RRR)로 보고한다. RRR이 1.4이면 설명변수가 1단위 늘 때 해당 유형 대 조립 단독형의 상대확률비가 1.4배가 된다는 뜻이며, 해당 유형의 절대확률이 같은 비율로 변한다는 뜻은 아니다. 이 모형이 H1(기술범위와 통합형)과 H2(출원연도와 공정 단독형)의 주모형이다.</w:t>
      </w:r>
    </w:p>
    <w:p>
      <w:pPr>
        <w:pStyle w:val="BodyText"/>
      </w:pPr>
      <w:r>
        <w:rPr>
          <w:b/>
          <w:bCs/>
        </w:rPr>
        <w:t xml:space="preserve">기술범위를 로짓 모형에 넣을 때의 해석 제한.</w:t>
      </w:r>
      <w:r>
        <w:t xml:space="preserve"> </w:t>
      </w:r>
      <w:r>
        <w:t xml:space="preserve">기술범위와 공동분류 유형은 같은 H01L21·H01L24 CPC 정보에서 만들어진다. 통합형은 두 클래스를 하나씩은 보유해야 하므로 최소 breadth가 2이고 단독형은 1이다. 이 최소치 차이에 대한 민감도는 제4.3절의 유형 최소치 조정 CPC 범위(breadth_adj)로 확인하되, 이 지표도 유형 정보를 이용하므로 탐색적 강건성 분석에 한정한다.</w:t>
      </w:r>
    </w:p>
    <w:p>
      <w:pPr>
        <w:pStyle w:val="BodyText"/>
      </w:pPr>
      <w:r>
        <w:rPr>
          <w:b/>
          <w:bCs/>
        </w:rPr>
        <w:t xml:space="preserve">핵심 기술 모형: 이항 로짓(H3).</w:t>
      </w:r>
      <w:r>
        <w:t xml:space="preserve"> </w:t>
      </w:r>
      <w:r>
        <w:t xml:space="preserve">핵심 기술은 접합 기호이므로 공정 단독형 출원은 정의상 핵심 기술을 가질 수 없다. 그래서 H3은 H01L24 기호를 가진 출원 763건(통합형 425건, 조립 단독형 338건)에서 통합형 여부를 종속변수로 하는 이항 로짓으로 검정한다. 접합 기호를 가진 출원 가운데 어떤 출원이 제조공정 기호도 함께 가지는가를 묻는 모형이며, 부록 A의 대안 제외 민감도 분석과 같은 표본이다. 모형은 log[P/(1 − P)] = β₀ + β₁·core + Σδ_t·period_t + Σθ_t·(core × period_t) + Σγ_k·ccode_k이다. 2014년 이전 출원에서 핵심 기술의 승산비는 exp(β₁)이고, 2015–2019년과 2020–2024년에는 exp(β₁ + θ_t)이며, exp(θ_t)는 각 시기의 승산비가 2014년 이전의 몇 배인지를 나타낸다. H3이 지지되려면 2014년 이전의 승산비가 1보다 크고 θ_t가 0보다 작아야 한다. 시기별 승산비의 95% 신뢰구간은 두 계수 합의 표준오차로 계산한다. 출원연도를 선형으로 넣지 않고 세 시기로 나눈 것은 기술 순환의 단계를 근사하기 위해서다. 핵심 기호를 뺀 접합 기호 수를 통제한 결과는 제5.4절에 있다.</w:t>
      </w:r>
    </w:p>
    <w:p>
      <w:pPr>
        <w:pStyle w:val="BodyText"/>
      </w:pPr>
      <w:r>
        <w:rPr>
          <w:b/>
          <w:bCs/>
        </w:rPr>
        <w:t xml:space="preserve">예측확률.</w:t>
      </w:r>
      <w:r>
        <w:t xml:space="preserve"> </w:t>
      </w:r>
      <w:r>
        <w:t xml:space="preserve">OR과 RRR은 비율 척도여서 실제 확률 변화의 크기를 보여주기 어렵다. 그래서 다항 로짓에 대해서는 관심 설명변수(기술범위, 출원연도)만 바꾸고 나머지 변수는 각 출원의 관측값에 둔 채 표본 전체에서 평균한 평균 예측확률을 함께 제시한다(제5.2절). 핵심 기술 모형은 시기별·핵심 기술 보유별 통합형 비중을 함께 제시한다(제5.3절).</w:t>
      </w:r>
    </w:p>
    <w:p>
      <w:pPr>
        <w:pStyle w:val="BodyText"/>
      </w:pPr>
      <w:r>
        <w:rPr>
          <w:b/>
          <w:bCs/>
        </w:rPr>
        <w:t xml:space="preserve">강건성과 판정 원칙.</w:t>
      </w:r>
      <w:r>
        <w:t xml:space="preserve"> </w:t>
      </w:r>
      <w:r>
        <w:t xml:space="preserve">전구 기술을 포함한 광의 표본에 결과가 의존하는지는 제목에</w:t>
      </w:r>
      <w:r>
        <w:t xml:space="preserve"> </w:t>
      </w:r>
      <w:r>
        <w:rPr>
          <w:i/>
          <w:iCs/>
        </w:rPr>
        <w:t xml:space="preserve">hybrid bonding</w:t>
      </w:r>
      <w:r>
        <w:t xml:space="preserve">이 있는 핵심 표본으로, 검색어의 다른 뜻이 결과를 흐리는지는 무관 용법 제외 표본으로, H01L21의 경계 설정에 민감한지는 좁은 제조공정 정의로, 반복·유사 발명의 영향은 동일 제목 중복 제거 표본으로 확인한다. H3에는 핵심 기호를 뺀 접합 기호 수를 통제한 모형과, 핵심 기술을 가장 강한 쌍(24/08, 24/80)으로 좁힌 정의를 더한다. 제목에</w:t>
      </w:r>
      <w:r>
        <w:t xml:space="preserve"> </w:t>
      </w:r>
      <w:r>
        <w:rPr>
          <w:i/>
          <w:iCs/>
        </w:rPr>
        <w:t xml:space="preserve">hybrid bonding</w:t>
      </w:r>
      <w:r>
        <w:t xml:space="preserve">이 있는 핵심 표본은 2020년 이전에 핵심 기술이 없는 접합 출원이 12건뿐이어서 H3의 검정에는 쓰지 않는다. 같은 제목의 출원이 여러 출원청에 반복되어 관측치가 독립이 아닐 가능성에 대해서는 동일 제목을 군집으로 하는 군집강건 표준오차로 유의성을 다시 계산한다. 계수는 그대로이고 표준오차만 달라지는 방식이며, 동일 제목은 공식 특허 패밀리를 완전히 대체하지는 못한다. IIA 검정 대신 공정 단독형을 제외하고 통합형 대 조립 단독형의 이항 로짓을 추정해 실질적 해석이 유지되는지를 보는 대안 제외 민감도 분석을 부록 A에 두었다. 가설 판정에는 5% 유의수준을 쓰되 단일 p값만으로 정하지 않고, 기준모형과 대안 표본·정의, 군집 표준오차에서 계수의 방향, 효과 크기, 유의성이 일관되는지를 함께 본다. p ≥ 0.05는 효과가 없다는 증명이 아니라 5% 수준에서 명확한 증거가 부족하다는 뜻이며, 핵심 효과비에는 95% 신뢰구간을 함께 제시한다. 모든 계수는 인과효과가 아니라 관찰된 변수를 통제한 조건부 연관으로 해석한다.</w:t>
      </w:r>
    </w:p>
    <w:bookmarkEnd w:id="37"/>
    <w:bookmarkEnd w:id="38"/>
    <w:bookmarkStart w:id="50" w:name="결과"/>
    <w:p>
      <w:pPr>
        <w:pStyle w:val="Heading2"/>
      </w:pPr>
      <w:r>
        <w:t xml:space="preserve">5. 결과</w:t>
      </w:r>
    </w:p>
    <w:bookmarkStart w:id="42" w:name="융합의-규모와-시기별-전개"/>
    <w:p>
      <w:pPr>
        <w:pStyle w:val="Heading3"/>
      </w:pPr>
      <w:r>
        <w:t xml:space="preserve">5.1 융합의 규모와 시기별 전개</w:t>
      </w:r>
    </w:p>
    <w:p>
      <w:pPr>
        <w:pStyle w:val="FirstParagraph"/>
      </w:pPr>
      <w:r>
        <w:t xml:space="preserve">먼저 공정 단계 사이의 융합이 얼마나 일반적이며 시기에 따라 어떻게 전개되었는지를 본다. 전체 928건 가운데 통합형은 425건(45.8%)으로 가장 많은 유형이고, 조립 단계 공정을 제조공정으로 세지 않는 보수적 정의에서도 37.2%다(제5.4절). 하이브리드 본딩 관련 특허에서 두 공정의 융합은 예외적인 현상이 아니다.</w:t>
      </w:r>
    </w:p>
    <w:p>
      <w:pPr>
        <w:pStyle w:val="BodyText"/>
      </w:pPr>
      <w:r>
        <w:t xml:space="preserve">그 비중은 시기에 따라 크게 달랐다. 표 7과 그림 6은 출원 집중도를 고려해 세 시기로 나눈 유형 분포다. 출원이 드문 1968–2014년을 한 시기로 묶고, 이후는 2015–2019년과 2020–2024년으로 나누었다. 공정 단독형의 비중은 2014년 이전 43.6%에서 2015–2019년 14.8%, 2020–2024년 10.4%로 계속 줄었다. 통합형은 31.3%에서 62.2%로 크게 늘었다가 44.3%로 낮아졌고, 조립 단독형은 25.1%와 23.0%에서 45.4%로 늘었다. 융합의 전개는 세 국면으로 읽힌다. 2014년 이전에는 공정 단독형이 가장 많았고, 2015–2019년에는 통합형이 62.2%로 정점에 이르러, 두 공정의 기술이 한 발명에 함께 담기는 일이 가장 흔했다. 2020–2024년에는 통합형이 낮아지고 조립 단독형이 가장 많은 유형이 되었다. 이하에서는 세 국면을 각각 형성기, 확산기, 재편기라 부른다. 같은 세 시기에 접합 출원 가운데 핵심 기술을 담은 비중은 53.5%, 78.7%, 88.0%로 높아졌다(제4.4절). 융합이 오르내리는 동안 발명은 하나의 핵심 설계로 모여들었다.</w:t>
      </w:r>
    </w:p>
    <w:p>
      <w:pPr>
        <w:pStyle w:val="BodyText"/>
        <w:keepNext/>
      </w:pPr>
      <w:r>
        <w:rPr>
          <w:b/>
          <w:bCs/>
        </w:rPr>
        <w:t xml:space="preserve">표 7.</w:t>
      </w:r>
      <w:r>
        <w:t xml:space="preserve"> </w:t>
      </w:r>
      <w:r>
        <w:t xml:space="preserve">세 출원 시기별 공동분류 유형 분포(N = 928; 괄호 안은 행 비중; 첫 시기는 1968–2014년으로 이후 두 시기보다 길다).</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74"/>
        <w:gridCol w:w="1774"/>
        <w:gridCol w:w="1774"/>
        <w:gridCol w:w="1577"/>
        <w:gridCol w:w="591"/>
        <w:gridCol w:w="1577"/>
      </w:tblGrid>
      <w:tr>
        <w:trPr>
          <w:tblHeader w:val="on"/>
          <w:cantSplit/>
        </w:trPr>
        <w:tc>
          <w:tcPr>
            <w:tcW w:type="dxa" w:w="1774"/>
            <w:tcBorders>
              <w:bottom w:val="single" w:sz="4" w:space="0" w:color="000000"/>
            </w:tcBorders>
          </w:tcPr>
          <w:p>
            <w:pPr>
              <w:pStyle w:val="Compact"/>
              <w:spacing w:before="20" w:after="20" w:line="240" w:lineRule="auto"/>
              <w:keepNext/>
            </w:pPr>
            <w:r>
              <w:rPr>
                <w:sz w:val="17"/>
                <w:szCs w:val="17"/>
              </w:rPr>
              <w:t xml:space="preserve">출원 기간</w:t>
            </w:r>
          </w:p>
        </w:tc>
        <w:tc>
          <w:tcPr>
            <w:tcW w:type="dxa" w:w="1774"/>
            <w:tcBorders>
              <w:bottom w:val="single" w:sz="4" w:space="0" w:color="000000"/>
            </w:tcBorders>
          </w:tcPr>
          <w:p>
            <w:pPr>
              <w:pStyle w:val="Compact"/>
              <w:spacing w:before="20" w:after="20" w:line="240" w:lineRule="auto"/>
              <w:keepNext/>
            </w:pPr>
            <w:r>
              <w:rPr>
                <w:sz w:val="17"/>
                <w:szCs w:val="17"/>
              </w:rPr>
              <w:t xml:space="preserve">조립 단독형</w:t>
            </w:r>
          </w:p>
        </w:tc>
        <w:tc>
          <w:tcPr>
            <w:tcW w:type="dxa" w:w="1774"/>
            <w:tcBorders>
              <w:bottom w:val="single" w:sz="4" w:space="0" w:color="000000"/>
            </w:tcBorders>
          </w:tcPr>
          <w:p>
            <w:pPr>
              <w:pStyle w:val="Compact"/>
              <w:spacing w:before="20" w:after="20" w:line="240" w:lineRule="auto"/>
              <w:keepNext/>
            </w:pPr>
            <w:r>
              <w:rPr>
                <w:sz w:val="17"/>
                <w:szCs w:val="17"/>
              </w:rPr>
              <w:t xml:space="preserve">통합형</w:t>
            </w:r>
          </w:p>
        </w:tc>
        <w:tc>
          <w:tcPr>
            <w:tcW w:type="dxa" w:w="1577"/>
            <w:tcBorders>
              <w:bottom w:val="single" w:sz="4" w:space="0" w:color="000000"/>
            </w:tcBorders>
          </w:tcPr>
          <w:p>
            <w:pPr>
              <w:pStyle w:val="Compact"/>
              <w:spacing w:before="20" w:after="20" w:line="240" w:lineRule="auto"/>
              <w:keepNext/>
            </w:pPr>
            <w:r>
              <w:rPr>
                <w:sz w:val="17"/>
                <w:szCs w:val="17"/>
              </w:rPr>
              <w:t xml:space="preserve">공정 단독형</w:t>
            </w:r>
          </w:p>
        </w:tc>
        <w:tc>
          <w:tcPr>
            <w:tcW w:type="dxa" w:w="591"/>
            <w:tcBorders>
              <w:bottom w:val="single" w:sz="4" w:space="0" w:color="000000"/>
            </w:tcBorders>
          </w:tcPr>
          <w:p>
            <w:pPr>
              <w:pStyle w:val="Compact"/>
              <w:spacing w:before="20" w:after="20" w:line="240" w:lineRule="auto"/>
              <w:jc w:val="right"/>
              <w:keepNext/>
            </w:pPr>
            <w:r>
              <w:rPr>
                <w:sz w:val="17"/>
                <w:szCs w:val="17"/>
              </w:rPr>
              <w:t xml:space="preserve">N</w:t>
            </w:r>
          </w:p>
        </w:tc>
        <w:tc>
          <w:tcPr>
            <w:tcW w:type="dxa" w:w="1577"/>
            <w:tcBorders>
              <w:bottom w:val="single" w:sz="4" w:space="0" w:color="000000"/>
            </w:tcBorders>
          </w:tcPr>
          <w:p>
            <w:pPr>
              <w:pStyle w:val="Compact"/>
              <w:spacing w:before="20" w:after="20" w:line="240" w:lineRule="auto"/>
              <w:jc w:val="right"/>
              <w:keepNext/>
            </w:pPr>
            <w:r>
              <w:rPr>
                <w:sz w:val="17"/>
                <w:szCs w:val="17"/>
              </w:rPr>
              <w:t xml:space="preserve">제조공정 분류(%)</w:t>
            </w:r>
          </w:p>
        </w:tc>
      </w:tr>
      <w:tr>
        <w:trPr>
          <w:cantSplit/>
        </w:trPr>
        <w:tc>
          <w:tcPr>
            <w:tcW w:type="dxa" w:w="1774"/>
          </w:tcPr>
          <w:p>
            <w:pPr>
              <w:pStyle w:val="Compact"/>
              <w:spacing w:before="20" w:after="20" w:line="240" w:lineRule="auto"/>
              <w:keepNext/>
            </w:pPr>
            <w:r>
              <w:rPr>
                <w:sz w:val="17"/>
                <w:szCs w:val="17"/>
              </w:rPr>
              <w:t xml:space="preserve">–2014</w:t>
            </w:r>
          </w:p>
        </w:tc>
        <w:tc>
          <w:tcPr>
            <w:tcW w:type="dxa" w:w="1774"/>
          </w:tcPr>
          <w:p>
            <w:pPr>
              <w:pStyle w:val="Compact"/>
              <w:spacing w:before="20" w:after="20" w:line="240" w:lineRule="auto"/>
              <w:keepNext/>
            </w:pPr>
            <w:r>
              <w:rPr>
                <w:sz w:val="17"/>
                <w:szCs w:val="17"/>
              </w:rPr>
              <w:t xml:space="preserve">45 (25.1%)</w:t>
            </w:r>
          </w:p>
        </w:tc>
        <w:tc>
          <w:tcPr>
            <w:tcW w:type="dxa" w:w="1774"/>
          </w:tcPr>
          <w:p>
            <w:pPr>
              <w:pStyle w:val="Compact"/>
              <w:spacing w:before="20" w:after="20" w:line="240" w:lineRule="auto"/>
              <w:keepNext/>
            </w:pPr>
            <w:r>
              <w:rPr>
                <w:sz w:val="17"/>
                <w:szCs w:val="17"/>
              </w:rPr>
              <w:t xml:space="preserve">56 (31.3%)</w:t>
            </w:r>
          </w:p>
        </w:tc>
        <w:tc>
          <w:tcPr>
            <w:tcW w:type="dxa" w:w="1577"/>
          </w:tcPr>
          <w:p>
            <w:pPr>
              <w:pStyle w:val="Compact"/>
              <w:spacing w:before="20" w:after="20" w:line="240" w:lineRule="auto"/>
              <w:keepNext/>
            </w:pPr>
            <w:r>
              <w:rPr>
                <w:sz w:val="17"/>
                <w:szCs w:val="17"/>
              </w:rPr>
              <w:t xml:space="preserve">78 (43.6%)</w:t>
            </w:r>
          </w:p>
        </w:tc>
        <w:tc>
          <w:tcPr>
            <w:tcW w:type="dxa" w:w="591"/>
          </w:tcPr>
          <w:p>
            <w:pPr>
              <w:pStyle w:val="Compact"/>
              <w:spacing w:before="20" w:after="20" w:line="240" w:lineRule="auto"/>
              <w:jc w:val="right"/>
              <w:keepNext/>
            </w:pPr>
            <w:r>
              <w:rPr>
                <w:sz w:val="17"/>
                <w:szCs w:val="17"/>
              </w:rPr>
              <w:t xml:space="preserve">179</w:t>
            </w:r>
          </w:p>
        </w:tc>
        <w:tc>
          <w:tcPr>
            <w:tcW w:type="dxa" w:w="1577"/>
          </w:tcPr>
          <w:p>
            <w:pPr>
              <w:pStyle w:val="Compact"/>
              <w:spacing w:before="20" w:after="20" w:line="240" w:lineRule="auto"/>
              <w:jc w:val="right"/>
              <w:keepNext/>
            </w:pPr>
            <w:r>
              <w:rPr>
                <w:sz w:val="17"/>
                <w:szCs w:val="17"/>
              </w:rPr>
              <w:t xml:space="preserve">74.9</w:t>
            </w:r>
          </w:p>
        </w:tc>
      </w:tr>
      <w:tr>
        <w:trPr>
          <w:cantSplit/>
        </w:trPr>
        <w:tc>
          <w:tcPr>
            <w:tcW w:type="dxa" w:w="1774"/>
          </w:tcPr>
          <w:p>
            <w:pPr>
              <w:pStyle w:val="Compact"/>
              <w:spacing w:before="20" w:after="20" w:line="240" w:lineRule="auto"/>
              <w:keepNext/>
            </w:pPr>
            <w:r>
              <w:rPr>
                <w:sz w:val="17"/>
                <w:szCs w:val="17"/>
              </w:rPr>
              <w:t xml:space="preserve">2015–2019</w:t>
            </w:r>
          </w:p>
        </w:tc>
        <w:tc>
          <w:tcPr>
            <w:tcW w:type="dxa" w:w="1774"/>
          </w:tcPr>
          <w:p>
            <w:pPr>
              <w:pStyle w:val="Compact"/>
              <w:spacing w:before="20" w:after="20" w:line="240" w:lineRule="auto"/>
              <w:keepNext/>
            </w:pPr>
            <w:r>
              <w:rPr>
                <w:sz w:val="17"/>
                <w:szCs w:val="17"/>
              </w:rPr>
              <w:t xml:space="preserve">48 (23.0%)</w:t>
            </w:r>
          </w:p>
        </w:tc>
        <w:tc>
          <w:tcPr>
            <w:tcW w:type="dxa" w:w="1774"/>
          </w:tcPr>
          <w:p>
            <w:pPr>
              <w:pStyle w:val="Compact"/>
              <w:spacing w:before="20" w:after="20" w:line="240" w:lineRule="auto"/>
              <w:keepNext/>
            </w:pPr>
            <w:r>
              <w:rPr>
                <w:sz w:val="17"/>
                <w:szCs w:val="17"/>
              </w:rPr>
              <w:t xml:space="preserve">130 (62.2%)</w:t>
            </w:r>
          </w:p>
        </w:tc>
        <w:tc>
          <w:tcPr>
            <w:tcW w:type="dxa" w:w="1577"/>
          </w:tcPr>
          <w:p>
            <w:pPr>
              <w:pStyle w:val="Compact"/>
              <w:spacing w:before="20" w:after="20" w:line="240" w:lineRule="auto"/>
              <w:keepNext/>
            </w:pPr>
            <w:r>
              <w:rPr>
                <w:sz w:val="17"/>
                <w:szCs w:val="17"/>
              </w:rPr>
              <w:t xml:space="preserve">31 (14.8%)</w:t>
            </w:r>
          </w:p>
        </w:tc>
        <w:tc>
          <w:tcPr>
            <w:tcW w:type="dxa" w:w="591"/>
          </w:tcPr>
          <w:p>
            <w:pPr>
              <w:pStyle w:val="Compact"/>
              <w:spacing w:before="20" w:after="20" w:line="240" w:lineRule="auto"/>
              <w:jc w:val="right"/>
              <w:keepNext/>
            </w:pPr>
            <w:r>
              <w:rPr>
                <w:sz w:val="17"/>
                <w:szCs w:val="17"/>
              </w:rPr>
              <w:t xml:space="preserve">209</w:t>
            </w:r>
          </w:p>
        </w:tc>
        <w:tc>
          <w:tcPr>
            <w:tcW w:type="dxa" w:w="1577"/>
          </w:tcPr>
          <w:p>
            <w:pPr>
              <w:pStyle w:val="Compact"/>
              <w:spacing w:before="20" w:after="20" w:line="240" w:lineRule="auto"/>
              <w:jc w:val="right"/>
              <w:keepNext/>
            </w:pPr>
            <w:r>
              <w:rPr>
                <w:sz w:val="17"/>
                <w:szCs w:val="17"/>
              </w:rPr>
              <w:t xml:space="preserve">77.0</w:t>
            </w:r>
          </w:p>
        </w:tc>
      </w:tr>
      <w:tr>
        <w:trPr>
          <w:cantSplit/>
        </w:trPr>
        <w:tc>
          <w:tcPr>
            <w:tcW w:type="dxa" w:w="1774"/>
          </w:tcPr>
          <w:p>
            <w:pPr>
              <w:pStyle w:val="Compact"/>
              <w:spacing w:before="20" w:after="20" w:line="240" w:lineRule="auto"/>
              <w:keepNext/>
            </w:pPr>
            <w:r>
              <w:rPr>
                <w:sz w:val="17"/>
                <w:szCs w:val="17"/>
              </w:rPr>
              <w:t xml:space="preserve">2020–2024</w:t>
            </w:r>
          </w:p>
        </w:tc>
        <w:tc>
          <w:tcPr>
            <w:tcW w:type="dxa" w:w="1774"/>
          </w:tcPr>
          <w:p>
            <w:pPr>
              <w:pStyle w:val="Compact"/>
              <w:spacing w:before="20" w:after="20" w:line="240" w:lineRule="auto"/>
              <w:keepNext/>
            </w:pPr>
            <w:r>
              <w:rPr>
                <w:sz w:val="17"/>
                <w:szCs w:val="17"/>
              </w:rPr>
              <w:t xml:space="preserve">245 (45.4%)</w:t>
            </w:r>
          </w:p>
        </w:tc>
        <w:tc>
          <w:tcPr>
            <w:tcW w:type="dxa" w:w="1774"/>
          </w:tcPr>
          <w:p>
            <w:pPr>
              <w:pStyle w:val="Compact"/>
              <w:spacing w:before="20" w:after="20" w:line="240" w:lineRule="auto"/>
              <w:keepNext/>
            </w:pPr>
            <w:r>
              <w:rPr>
                <w:sz w:val="17"/>
                <w:szCs w:val="17"/>
              </w:rPr>
              <w:t xml:space="preserve">239 (44.3%)</w:t>
            </w:r>
          </w:p>
        </w:tc>
        <w:tc>
          <w:tcPr>
            <w:tcW w:type="dxa" w:w="1577"/>
          </w:tcPr>
          <w:p>
            <w:pPr>
              <w:pStyle w:val="Compact"/>
              <w:spacing w:before="20" w:after="20" w:line="240" w:lineRule="auto"/>
              <w:keepNext/>
            </w:pPr>
            <w:r>
              <w:rPr>
                <w:sz w:val="17"/>
                <w:szCs w:val="17"/>
              </w:rPr>
              <w:t xml:space="preserve">56 (10.4%)</w:t>
            </w:r>
          </w:p>
        </w:tc>
        <w:tc>
          <w:tcPr>
            <w:tcW w:type="dxa" w:w="591"/>
          </w:tcPr>
          <w:p>
            <w:pPr>
              <w:pStyle w:val="Compact"/>
              <w:spacing w:before="20" w:after="20" w:line="240" w:lineRule="auto"/>
              <w:jc w:val="right"/>
              <w:keepNext/>
            </w:pPr>
            <w:r>
              <w:rPr>
                <w:sz w:val="17"/>
                <w:szCs w:val="17"/>
              </w:rPr>
              <w:t xml:space="preserve">540</w:t>
            </w:r>
          </w:p>
        </w:tc>
        <w:tc>
          <w:tcPr>
            <w:tcW w:type="dxa" w:w="1577"/>
          </w:tcPr>
          <w:p>
            <w:pPr>
              <w:pStyle w:val="Compact"/>
              <w:spacing w:before="20" w:after="20" w:line="240" w:lineRule="auto"/>
              <w:jc w:val="right"/>
              <w:keepNext/>
            </w:pPr>
            <w:r>
              <w:rPr>
                <w:sz w:val="17"/>
                <w:szCs w:val="17"/>
              </w:rPr>
              <w:t xml:space="preserve">54.6</w:t>
            </w:r>
          </w:p>
        </w:tc>
      </w:tr>
    </w:tbl>
    <w:p>
      <w:pPr>
        <w:pStyle w:val="BodyText"/>
        <w:keepNext/>
      </w:pPr>
      <w:r>
        <w:drawing>
          <wp:inline>
            <wp:extent cx="5334000" cy="3386666"/>
            <wp:effectExtent b="0" l="0" r="0" t="0"/>
            <wp:docPr descr="" title="" id="40" name="Picture"/>
            <a:graphic>
              <a:graphicData uri="http://schemas.openxmlformats.org/drawingml/2006/picture">
                <pic:pic>
                  <pic:nvPicPr>
                    <pic:cNvPr descr="figures/fig7_period_shares_ko.png" id="41" name="Picture"/>
                    <pic:cNvPicPr>
                      <a:picLocks noChangeArrowheads="1" noChangeAspect="1"/>
                    </pic:cNvPicPr>
                  </pic:nvPicPr>
                  <pic:blipFill>
                    <a:blip r:embed="rId39"/>
                    <a:stretch>
                      <a:fillRect/>
                    </a:stretch>
                  </pic:blipFill>
                  <pic:spPr bwMode="auto">
                    <a:xfrm>
                      <a:off x="0" y="0"/>
                      <a:ext cx="5334000" cy="3386666"/>
                    </a:xfrm>
                    <a:prstGeom prst="rect">
                      <a:avLst/>
                    </a:prstGeom>
                    <a:noFill/>
                    <a:ln w="9525">
                      <a:noFill/>
                      <a:headEnd/>
                      <a:tailEnd/>
                    </a:ln>
                  </pic:spPr>
                </pic:pic>
              </a:graphicData>
            </a:graphic>
          </wp:inline>
        </w:drawing>
      </w:r>
    </w:p>
    <w:p>
      <w:pPr>
        <w:pStyle w:val="BodyText"/>
      </w:pPr>
      <w:r>
        <w:rPr>
          <w:b/>
          <w:bCs/>
        </w:rPr>
        <w:t xml:space="preserve">그림 6.</w:t>
      </w:r>
      <w:r>
        <w:t xml:space="preserve"> </w:t>
      </w:r>
      <w:r>
        <w:t xml:space="preserve">세 출원 시기별 공동분류 유형의 구성비(N = 928; 첫 시기는 1968–2014년으로 이후 두 시기보다 길다).</w:t>
      </w:r>
    </w:p>
    <w:p>
      <w:pPr>
        <w:pStyle w:val="BodyText"/>
      </w:pPr>
      <w:r>
        <w:t xml:space="preserve">표 8은 출원이 제조공정 기호(H01L21)를 가지는지에 대한 이항 로짓이다. 시기별 분포에서 본 제조공정 분류의 감소는 이 모형에서도 나타난다. 세부 분류가 하나 늘 때마다 제조공정 기호를 가질 승산이 약 27% 높아진다(OR 1.267, p &lt; 0.01). 출원연도의 승산비는 1보다 작아(연간 OR 0.946, p &lt; 0.01), 최근 출원일수록 제조공정 기호를 가질 승산이 낮다. 모형의 판별력을 나타내는 ROC 곡선 하면적은 0.707로, Hosmer et al.(2013)의 기준에서 받아들일 만한 수준의 하한에 해당한다. 표 8의 이항 로짓은 제조공정 분류의 전반적 보유 여부를 확인하는 보완분석이다.</w:t>
      </w:r>
    </w:p>
    <w:p>
      <w:pPr>
        <w:pStyle w:val="BodyText"/>
        <w:keepNext/>
      </w:pPr>
      <w:r>
        <w:rPr>
          <w:b/>
          <w:bCs/>
        </w:rPr>
        <w:t xml:space="preserve">표 8.</w:t>
      </w:r>
      <w:r>
        <w:t xml:space="preserve"> </w:t>
      </w:r>
      <w:r>
        <w:t xml:space="preserve">제조공정 분류 여부의 이항 로짓(종속변수 has_process; N = 928; 출원청 더미 7개 포함(계수 생략); 로그우도 −547.6; 우도비 χ²(9) = 122.0, p &lt; 0.001; McFadden 의사 R² = 0.100; AIC 1,115.1; AUC 0.707; 괄호 안은 로그 계수의 표준오차; * p &lt; 0.10, ** p &lt; 0.05, *** p &lt; 0.01).</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996"/>
        <w:gridCol w:w="1879"/>
        <w:gridCol w:w="2696"/>
        <w:gridCol w:w="1498"/>
      </w:tblGrid>
      <w:tr>
        <w:trPr>
          <w:tblHeader w:val="on"/>
          <w:cantSplit/>
        </w:trPr>
        <w:tc>
          <w:tcPr>
            <w:tcW w:type="dxa" w:w="2996"/>
            <w:tcBorders>
              <w:bottom w:val="single" w:sz="4" w:space="0" w:color="000000"/>
            </w:tcBorders>
          </w:tcPr>
          <w:p>
            <w:pPr>
              <w:pStyle w:val="Compact"/>
              <w:spacing w:before="20" w:after="20" w:line="240" w:lineRule="auto"/>
              <w:keepNext/>
            </w:pPr>
          </w:p>
        </w:tc>
        <w:tc>
          <w:tcPr>
            <w:tcW w:type="dxa" w:w="1879"/>
            <w:tcBorders>
              <w:bottom w:val="single" w:sz="4" w:space="0" w:color="000000"/>
            </w:tcBorders>
          </w:tcPr>
          <w:p>
            <w:pPr>
              <w:pStyle w:val="Compact"/>
              <w:spacing w:before="20" w:after="20" w:line="240" w:lineRule="auto"/>
              <w:jc w:val="center"/>
              <w:keepNext/>
            </w:pPr>
            <w:r>
              <w:rPr>
                <w:sz w:val="18"/>
                <w:szCs w:val="18"/>
              </w:rPr>
              <w:t xml:space="preserve">승산비</w:t>
            </w:r>
          </w:p>
        </w:tc>
        <w:tc>
          <w:tcPr>
            <w:tcW w:type="dxa" w:w="2696"/>
            <w:tcBorders>
              <w:bottom w:val="single" w:sz="4" w:space="0" w:color="000000"/>
            </w:tcBorders>
          </w:tcPr>
          <w:p>
            <w:pPr>
              <w:pStyle w:val="Compact"/>
              <w:spacing w:before="20" w:after="20" w:line="240" w:lineRule="auto"/>
              <w:jc w:val="center"/>
              <w:keepNext/>
            </w:pPr>
            <w:r>
              <w:rPr>
                <w:sz w:val="18"/>
                <w:szCs w:val="18"/>
              </w:rPr>
              <w:t xml:space="preserve">로그 계수 표준오차</w:t>
            </w:r>
          </w:p>
        </w:tc>
        <w:tc>
          <w:tcPr>
            <w:tcW w:type="dxa" w:w="1498"/>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2996"/>
          </w:tcPr>
          <w:p>
            <w:pPr>
              <w:pStyle w:val="Compact"/>
              <w:spacing w:before="20" w:after="20" w:line="240" w:lineRule="auto"/>
              <w:keepNext/>
            </w:pPr>
            <w:r>
              <w:rPr>
                <w:sz w:val="18"/>
                <w:szCs w:val="18"/>
              </w:rPr>
              <w:t xml:space="preserve">출원연도(yc)</w:t>
            </w:r>
          </w:p>
        </w:tc>
        <w:tc>
          <w:tcPr>
            <w:tcW w:type="dxa" w:w="1879"/>
          </w:tcPr>
          <w:p>
            <w:pPr>
              <w:pStyle w:val="Compact"/>
              <w:spacing w:before="20" w:after="20" w:line="240" w:lineRule="auto"/>
              <w:jc w:val="center"/>
              <w:keepNext/>
            </w:pPr>
            <w:r>
              <w:rPr>
                <w:sz w:val="18"/>
                <w:szCs w:val="18"/>
              </w:rPr>
              <w:t xml:space="preserve">0.946***</w:t>
            </w:r>
          </w:p>
        </w:tc>
        <w:tc>
          <w:tcPr>
            <w:tcW w:type="dxa" w:w="2696"/>
          </w:tcPr>
          <w:p>
            <w:pPr>
              <w:pStyle w:val="Compact"/>
              <w:spacing w:before="20" w:after="20" w:line="240" w:lineRule="auto"/>
              <w:jc w:val="center"/>
              <w:keepNext/>
            </w:pPr>
            <w:r>
              <w:rPr>
                <w:sz w:val="18"/>
                <w:szCs w:val="18"/>
              </w:rPr>
              <w:t xml:space="preserve">(0.011)</w:t>
            </w:r>
          </w:p>
        </w:tc>
        <w:tc>
          <w:tcPr>
            <w:tcW w:type="dxa" w:w="1498"/>
          </w:tcPr>
          <w:p>
            <w:pPr>
              <w:pStyle w:val="Compact"/>
              <w:spacing w:before="20" w:after="20" w:line="240" w:lineRule="auto"/>
              <w:jc w:val="center"/>
              <w:keepNext/>
            </w:pPr>
            <w:r>
              <w:rPr>
                <w:sz w:val="18"/>
                <w:szCs w:val="18"/>
              </w:rPr>
              <w:t xml:space="preserve">&lt;0.001</w:t>
            </w:r>
          </w:p>
        </w:tc>
      </w:tr>
      <w:tr>
        <w:trPr>
          <w:cantSplit/>
        </w:trPr>
        <w:tc>
          <w:tcPr>
            <w:tcW w:type="dxa" w:w="2996"/>
          </w:tcPr>
          <w:p>
            <w:pPr>
              <w:pStyle w:val="Compact"/>
              <w:spacing w:before="20" w:after="20" w:line="240" w:lineRule="auto"/>
              <w:keepNext/>
            </w:pPr>
            <w:r>
              <w:rPr>
                <w:sz w:val="18"/>
                <w:szCs w:val="18"/>
              </w:rPr>
              <w:t xml:space="preserve">기술범위</w:t>
            </w:r>
          </w:p>
        </w:tc>
        <w:tc>
          <w:tcPr>
            <w:tcW w:type="dxa" w:w="1879"/>
          </w:tcPr>
          <w:p>
            <w:pPr>
              <w:pStyle w:val="Compact"/>
              <w:spacing w:before="20" w:after="20" w:line="240" w:lineRule="auto"/>
              <w:jc w:val="center"/>
              <w:keepNext/>
            </w:pPr>
            <w:r>
              <w:rPr>
                <w:sz w:val="18"/>
                <w:szCs w:val="18"/>
              </w:rPr>
              <w:t xml:space="preserve">1.267***</w:t>
            </w:r>
          </w:p>
        </w:tc>
        <w:tc>
          <w:tcPr>
            <w:tcW w:type="dxa" w:w="2696"/>
          </w:tcPr>
          <w:p>
            <w:pPr>
              <w:pStyle w:val="Compact"/>
              <w:spacing w:before="20" w:after="20" w:line="240" w:lineRule="auto"/>
              <w:jc w:val="center"/>
              <w:keepNext/>
            </w:pPr>
            <w:r>
              <w:rPr>
                <w:sz w:val="18"/>
                <w:szCs w:val="18"/>
              </w:rPr>
              <w:t xml:space="preserve">(0.027)</w:t>
            </w:r>
          </w:p>
        </w:tc>
        <w:tc>
          <w:tcPr>
            <w:tcW w:type="dxa" w:w="1498"/>
          </w:tcPr>
          <w:p>
            <w:pPr>
              <w:pStyle w:val="Compact"/>
              <w:spacing w:before="20" w:after="20" w:line="240" w:lineRule="auto"/>
              <w:jc w:val="center"/>
              <w:keepNext/>
            </w:pPr>
            <w:r>
              <w:rPr>
                <w:sz w:val="18"/>
                <w:szCs w:val="18"/>
              </w:rPr>
              <w:t xml:space="preserve">&lt;0.001</w:t>
            </w:r>
          </w:p>
        </w:tc>
      </w:tr>
    </w:tbl>
    <w:bookmarkEnd w:id="42"/>
    <w:bookmarkStart w:id="46" w:name="경계를-넘는-특허와-융합의-무게중심-이동"/>
    <w:p>
      <w:pPr>
        <w:pStyle w:val="Heading3"/>
      </w:pPr>
      <w:r>
        <w:t xml:space="preserve">5.2 경계를 넘는 특허와 융합의 무게중심 이동</w:t>
      </w:r>
    </w:p>
    <w:p>
      <w:pPr>
        <w:pStyle w:val="FirstParagraph"/>
      </w:pPr>
      <w:r>
        <w:t xml:space="preserve">표 9는 조립 단독형을 기준으로 통합형과 공정 단독형의 상대위험비를 보고하는 다항 로짓이다. 이것이 경계 넘기에 대한 본 검정이다. 그림 7은 이 모형에서 기술범위와 출원연도를 바꾸었을 때 세 유형의 예측확률을 보여준다(다른 변수는 각 출원의 관측값에 둔 채 평균).</w:t>
      </w:r>
    </w:p>
    <w:p>
      <w:pPr>
        <w:pStyle w:val="BodyText"/>
      </w:pPr>
      <w:r>
        <w:rPr>
          <w:b/>
          <w:bCs/>
        </w:rPr>
        <w:t xml:space="preserve">기술적 다양성(H1).</w:t>
      </w:r>
      <w:r>
        <w:t xml:space="preserve"> </w:t>
      </w:r>
      <w:r>
        <w:t xml:space="preserve">세부 분류가 하나 늘 때마다 조립 단독형 대비 통합형일 상대위험은 40% 높아지고(RRR 1.403, p &lt; 0.01), 공정 단독형일 상대위험은 10% 낮아진다(RRR 0.905, p &lt; 0.05). 크기로 보면 기술범위가 3인 출원은 통합형으로 예측될 확률이 0.26, 조립 단독형 0.50, 공정 단독형 0.24이지만, 기술범위가 8인 출원은 통합형 0.68, 조립 단독형 0.24, 공정 단독형 0.08이다(그림 7 왼쪽). 넓은 출원은 두 영역에 걸치고, 좁은 출원은 한 영역에 머문다. 이 연관은 세 국면 모두에서 나타난다. 시기별로 따로 추정하면 통합형의 상대위험비는 형성기 1.179, 확산기 1.513, 재편기 1.414로 모두 1% 수준에서 유의하다(첫 시기에는 비어 있는 출원청 칸이 많아 출원청 더미를 빼고 추정). 경계를 넘는 특허가 더 다양한 세부 기술을 담는다는 것은 융합의 국면과 상관없는 특징이다. H1은 통합형 특허가 선택된 CPC 영역 안에서 더 다양한 세부 기술을 포함한다는 구성적 특징으로서 지지된다.</w:t>
      </w:r>
    </w:p>
    <w:p>
      <w:pPr>
        <w:pStyle w:val="BodyText"/>
      </w:pPr>
      <w:r>
        <w:rPr>
          <w:b/>
          <w:bCs/>
        </w:rPr>
        <w:t xml:space="preserve">시간 변화(H2).</w:t>
      </w:r>
      <w:r>
        <w:t xml:space="preserve"> </w:t>
      </w:r>
      <w:r>
        <w:t xml:space="preserve">공정 단독형의 상대위험은 해마다 약 8.7%씩 떨어지는 반면(RRR 0.913, p &lt; 0.01), 통합형의 상대위험은 전 기간의 선형 추세로는 변하지 않는다(RRR 0.993, 비유의). 2010년 출원의 공정 단독형 예측확률은 0.27이지만 2022년 출원은 0.12이며, 같은 기간 조립 단독형은 0.31에서 0.40으로 늘고 통합형은 0.43에서 0.47로 거의 변하지 않는다(그림 7 오른쪽). 표 8에서 본 제조공정 분류의 감소는 주로 공정 단독형의 감소에서 온 것이다. 선형 연도 대신 기간 더미를 넣은 다항 로짓에서도 같은 그림이 나온다. 2014년 이전 대비 공정 단독형의 상대위험은 2015–2019년 0.273, 2020–2024년 0.101(모두 p &lt; 0.01)로 낮아지고, 통합형은 1.707(p = 0.09)로 올랐다가 0.762(비유의)로 내려온다. 2010년 이후 표본(N = 830)에서는 통합형의 연도 계수도 유의하게 음이다(RRR 0.934, p &lt; 0.05). 융합의 무게중심은 홀로 서는 제조공정 발명에서 접합 쪽으로 옮겨 갔다. H2는 지지된다.</w:t>
      </w:r>
    </w:p>
    <w:p>
      <w:pPr>
        <w:pStyle w:val="BodyText"/>
        <w:keepNext/>
      </w:pPr>
      <w:r>
        <w:drawing>
          <wp:inline>
            <wp:extent cx="5334000" cy="2794000"/>
            <wp:effectExtent b="0" l="0" r="0" t="0"/>
            <wp:docPr descr="" title="" id="44" name="Picture"/>
            <a:graphic>
              <a:graphicData uri="http://schemas.openxmlformats.org/drawingml/2006/picture">
                <pic:pic>
                  <pic:nvPicPr>
                    <pic:cNvPr descr="figures/fig_pred_types_ko.png" id="45" name="Picture"/>
                    <pic:cNvPicPr>
                      <a:picLocks noChangeArrowheads="1" noChangeAspect="1"/>
                    </pic:cNvPicPr>
                  </pic:nvPicPr>
                  <pic:blipFill>
                    <a:blip r:embed="rId43"/>
                    <a:stretch>
                      <a:fillRect/>
                    </a:stretch>
                  </pic:blipFill>
                  <pic:spPr bwMode="auto">
                    <a:xfrm>
                      <a:off x="0" y="0"/>
                      <a:ext cx="5334000" cy="2794000"/>
                    </a:xfrm>
                    <a:prstGeom prst="rect">
                      <a:avLst/>
                    </a:prstGeom>
                    <a:noFill/>
                    <a:ln w="9525">
                      <a:noFill/>
                      <a:headEnd/>
                      <a:tailEnd/>
                    </a:ln>
                  </pic:spPr>
                </pic:pic>
              </a:graphicData>
            </a:graphic>
          </wp:inline>
        </w:drawing>
      </w:r>
    </w:p>
    <w:p>
      <w:pPr>
        <w:pStyle w:val="BodyText"/>
      </w:pPr>
      <w:r>
        <w:rPr>
          <w:b/>
          <w:bCs/>
        </w:rPr>
        <w:t xml:space="preserve">그림 7.</w:t>
      </w:r>
      <w:r>
        <w:t xml:space="preserve"> </w:t>
      </w:r>
      <w:r>
        <w:t xml:space="preserve">기술범위(왼쪽)와 출원연도(오른쪽)에 따른 공동분류 유형별 예측확률(다항 로짓; 다른 변수는 각 출원의 관측값에 둔 채 평균).</w:t>
      </w:r>
    </w:p>
    <w:p>
      <w:pPr>
        <w:pStyle w:val="BodyText"/>
        <w:keepNext/>
      </w:pPr>
      <w:r>
        <w:rPr>
          <w:b/>
          <w:bCs/>
        </w:rPr>
        <w:t xml:space="preserve">표 9.</w:t>
      </w:r>
      <w:r>
        <w:t xml:space="preserve"> </w:t>
      </w:r>
      <w:r>
        <w:t xml:space="preserve">공동분류 유형의 다항 로짓(기준 범주 = 조립 단독형; N = 928; 출원청 더미 7개 포함(계수 생략); 로그우도 −774.5; 우도비 χ²(18) = 367.4, p &lt; 0.001; McFadden 의사 R² = 0.192; AIC 1,589.0; 괄호 안은 로그 계수의 표준오차; * p &lt; 0.10, ** p &lt; 0.05, *** p &lt; 0.01).</w:t>
      </w:r>
    </w:p>
    <w:tbl>
      <w:tblPr>
        <w:tblStyle w:val="Table"/>
        <w:tblW w:type="dxa" w:w="9064"/>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51"/>
        <w:gridCol w:w="1098"/>
        <w:gridCol w:w="1576"/>
        <w:gridCol w:w="875"/>
        <w:gridCol w:w="1313"/>
        <w:gridCol w:w="1576"/>
        <w:gridCol w:w="875"/>
      </w:tblGrid>
      <w:tr>
        <w:trPr>
          <w:tblHeader w:val="on"/>
          <w:cantSplit/>
        </w:trPr>
        <w:tc>
          <w:tcPr>
            <w:tcW w:type="dxa" w:w="1751"/>
            <w:tcBorders>
              <w:bottom w:val="single" w:sz="4" w:space="0" w:color="000000"/>
            </w:tcBorders>
          </w:tcPr>
          <w:p>
            <w:pPr>
              <w:pStyle w:val="Compact"/>
              <w:spacing w:before="20" w:after="20" w:line="240" w:lineRule="auto"/>
              <w:keepNext/>
            </w:pPr>
          </w:p>
        </w:tc>
        <w:tc>
          <w:tcPr>
            <w:tcW w:type="dxa" w:w="1098"/>
            <w:tcBorders>
              <w:bottom w:val="single" w:sz="4" w:space="0" w:color="000000"/>
            </w:tcBorders>
          </w:tcPr>
          <w:p>
            <w:pPr>
              <w:pStyle w:val="Compact"/>
              <w:spacing w:before="20" w:after="20" w:line="240" w:lineRule="auto"/>
              <w:jc w:val="center"/>
              <w:keepNext/>
            </w:pPr>
            <w:r>
              <w:rPr>
                <w:sz w:val="16"/>
                <w:szCs w:val="16"/>
              </w:rPr>
              <w:t xml:space="preserve">통합형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c>
          <w:tcPr>
            <w:tcW w:type="dxa" w:w="1313"/>
            <w:tcBorders>
              <w:bottom w:val="single" w:sz="4" w:space="0" w:color="000000"/>
            </w:tcBorders>
          </w:tcPr>
          <w:p>
            <w:pPr>
              <w:pStyle w:val="Compact"/>
              <w:spacing w:before="20" w:after="20" w:line="240" w:lineRule="auto"/>
              <w:jc w:val="center"/>
              <w:keepNext/>
            </w:pPr>
            <w:r>
              <w:rPr>
                <w:sz w:val="16"/>
                <w:szCs w:val="16"/>
              </w:rPr>
              <w:t xml:space="preserve">공정 단독형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751"/>
          </w:tcPr>
          <w:p>
            <w:pPr>
              <w:pStyle w:val="Compact"/>
              <w:spacing w:before="20" w:after="20" w:line="240" w:lineRule="auto"/>
              <w:keepNext/>
            </w:pPr>
            <w:r>
              <w:rPr>
                <w:sz w:val="16"/>
                <w:szCs w:val="16"/>
              </w:rPr>
              <w:t xml:space="preserve">출원연도(yc)</w:t>
            </w:r>
          </w:p>
        </w:tc>
        <w:tc>
          <w:tcPr>
            <w:tcW w:type="dxa" w:w="1098"/>
          </w:tcPr>
          <w:p>
            <w:pPr>
              <w:pStyle w:val="Compact"/>
              <w:spacing w:before="20" w:after="20" w:line="240" w:lineRule="auto"/>
              <w:jc w:val="center"/>
              <w:keepNext/>
            </w:pPr>
            <w:r>
              <w:rPr>
                <w:sz w:val="16"/>
                <w:szCs w:val="16"/>
              </w:rPr>
              <w:t xml:space="preserve">0.993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0.654</w:t>
            </w:r>
          </w:p>
        </w:tc>
        <w:tc>
          <w:tcPr>
            <w:tcW w:type="dxa" w:w="1313"/>
          </w:tcPr>
          <w:p>
            <w:pPr>
              <w:pStyle w:val="Compact"/>
              <w:spacing w:before="20" w:after="20" w:line="240" w:lineRule="auto"/>
              <w:jc w:val="center"/>
              <w:keepNext/>
            </w:pPr>
            <w:r>
              <w:rPr>
                <w:sz w:val="16"/>
                <w:szCs w:val="16"/>
              </w:rPr>
              <w:t xml:space="preserve">0.913***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&lt;0.001</w:t>
            </w:r>
          </w:p>
        </w:tc>
      </w:tr>
      <w:tr>
        <w:trPr>
          <w:cantSplit/>
        </w:trPr>
        <w:tc>
          <w:tcPr>
            <w:tcW w:type="dxa" w:w="1751"/>
          </w:tcPr>
          <w:p>
            <w:pPr>
              <w:pStyle w:val="Compact"/>
              <w:spacing w:before="20" w:after="20" w:line="240" w:lineRule="auto"/>
              <w:keepNext/>
            </w:pPr>
            <w:r>
              <w:rPr>
                <w:sz w:val="16"/>
                <w:szCs w:val="16"/>
              </w:rPr>
              <w:t xml:space="preserve">기술범위</w:t>
            </w:r>
          </w:p>
        </w:tc>
        <w:tc>
          <w:tcPr>
            <w:tcW w:type="dxa" w:w="1098"/>
          </w:tcPr>
          <w:p>
            <w:pPr>
              <w:pStyle w:val="Compact"/>
              <w:spacing w:before="20" w:after="20" w:line="240" w:lineRule="auto"/>
              <w:jc w:val="center"/>
              <w:keepNext/>
            </w:pPr>
            <w:r>
              <w:rPr>
                <w:sz w:val="16"/>
                <w:szCs w:val="16"/>
              </w:rPr>
              <w:t xml:space="preserve">1.403***</w:t>
            </w:r>
          </w:p>
        </w:tc>
        <w:tc>
          <w:tcPr>
            <w:tcW w:type="dxa" w:w="1576"/>
          </w:tcPr>
          <w:p>
            <w:pPr>
              <w:pStyle w:val="Compact"/>
              <w:spacing w:before="20" w:after="20" w:line="240" w:lineRule="auto"/>
              <w:jc w:val="center"/>
              <w:keepNext/>
            </w:pPr>
            <w:r>
              <w:rPr>
                <w:sz w:val="16"/>
                <w:szCs w:val="16"/>
              </w:rPr>
              <w:t xml:space="preserve">(0.031)</w:t>
            </w:r>
          </w:p>
        </w:tc>
        <w:tc>
          <w:tcPr>
            <w:tcW w:type="dxa" w:w="875"/>
          </w:tcPr>
          <w:p>
            <w:pPr>
              <w:pStyle w:val="Compact"/>
              <w:spacing w:before="20" w:after="20" w:line="240" w:lineRule="auto"/>
              <w:jc w:val="center"/>
              <w:keepNext/>
            </w:pPr>
            <w:r>
              <w:rPr>
                <w:sz w:val="16"/>
                <w:szCs w:val="16"/>
              </w:rPr>
              <w:t xml:space="preserve">&lt;0.001</w:t>
            </w:r>
          </w:p>
        </w:tc>
        <w:tc>
          <w:tcPr>
            <w:tcW w:type="dxa" w:w="1313"/>
          </w:tcPr>
          <w:p>
            <w:pPr>
              <w:pStyle w:val="Compact"/>
              <w:spacing w:before="20" w:after="20" w:line="240" w:lineRule="auto"/>
              <w:jc w:val="center"/>
              <w:keepNext/>
            </w:pPr>
            <w:r>
              <w:rPr>
                <w:sz w:val="16"/>
                <w:szCs w:val="16"/>
              </w:rPr>
              <w:t xml:space="preserve">0.905**</w:t>
            </w:r>
          </w:p>
        </w:tc>
        <w:tc>
          <w:tcPr>
            <w:tcW w:type="dxa" w:w="1576"/>
          </w:tcPr>
          <w:p>
            <w:pPr>
              <w:pStyle w:val="Compact"/>
              <w:spacing w:before="20" w:after="20" w:line="240" w:lineRule="auto"/>
              <w:jc w:val="center"/>
              <w:keepNext/>
            </w:pPr>
            <w:r>
              <w:rPr>
                <w:sz w:val="16"/>
                <w:szCs w:val="16"/>
              </w:rPr>
              <w:t xml:space="preserve">(0.048)</w:t>
            </w:r>
          </w:p>
        </w:tc>
        <w:tc>
          <w:tcPr>
            <w:tcW w:type="dxa" w:w="875"/>
          </w:tcPr>
          <w:p>
            <w:pPr>
              <w:pStyle w:val="Compact"/>
              <w:spacing w:before="20" w:after="20" w:line="240" w:lineRule="auto"/>
              <w:jc w:val="center"/>
              <w:keepNext/>
            </w:pPr>
            <w:r>
              <w:rPr>
                <w:sz w:val="16"/>
                <w:szCs w:val="16"/>
              </w:rPr>
              <w:t xml:space="preserve">0.039</w:t>
            </w:r>
          </w:p>
        </w:tc>
      </w:tr>
    </w:tbl>
    <w:bookmarkEnd w:id="46"/>
    <w:bookmarkStart w:id="47" w:name="융합-위치의-이동-핵심-기술과-공동분류-유형"/>
    <w:p>
      <w:pPr>
        <w:pStyle w:val="Heading3"/>
      </w:pPr>
      <w:r>
        <w:t xml:space="preserve">5.3 융합 위치의 이동: 핵심 기술과 공동분류 유형</w:t>
      </w:r>
    </w:p>
    <w:p>
      <w:pPr>
        <w:pStyle w:val="FirstParagraph"/>
      </w:pPr>
      <w:r>
        <w:t xml:space="preserve">표 10은 H3의 검정 결과다. 형성기인 2014년 이전에는 핵심 기술을 담은 접합 출원의 79.6%가 통합형이었지만 핵심 기술이 없는 출원은 27.7%에 그쳤고, 출원청을 통제한 핵심 기술의 승산비는 11.071(p &lt; 0.01)이다. 확산기인 2015–2019년에도 핵심 기술을 담은 출원이 더 자주 통합형이었지만(77.1% 대 57.9%, 승산비 2.452, p &lt; 0.05), 그 승산비는 2014년 이전의 0.221배로 줄었다(p &lt; 0.05). 재편기인 2020–2024년에는 핵심 기술을 담은 출원의 통합형 비중이 48.4%로 낮아져 핵심 기술이 없는 출원(56.9%)과 차이가 없다(승산비 0.658, p = 0.15). 이 시기의 승산비는 2014년 이전의 0.059배다(p &lt; 0.01). 핵심 기술을 담은 출원이 경계를 넘는 경향은 형성기에 뚜렷했고 재편기에는 사라졌다. H3은 지지된다.</w:t>
      </w:r>
    </w:p>
    <w:p>
      <w:pPr>
        <w:pStyle w:val="BodyText"/>
        <w:keepNext/>
      </w:pPr>
      <w:r>
        <w:rPr>
          <w:b/>
          <w:bCs/>
        </w:rPr>
        <w:t xml:space="preserve">표 10.</w:t>
      </w:r>
      <w:r>
        <w:t xml:space="preserve"> </w:t>
      </w:r>
      <w:r>
        <w:t xml:space="preserve">핵심 기술 보유와 통합형: 출원 시기별 비중과 이항 로짓(H01L24 기호를 가진 출원 N = 763; 종속변수 = 통합형 여부; 출원청 더미 포함; 이분산 강건 표준오차; * p &lt; 0.10, ** p &lt; 0.05, *** p &lt; 0.01).</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286"/>
        <w:gridCol w:w="2004"/>
        <w:gridCol w:w="2004"/>
        <w:gridCol w:w="1415"/>
        <w:gridCol w:w="1572"/>
        <w:gridCol w:w="786"/>
      </w:tblGrid>
      <w:tr>
        <w:trPr>
          <w:tblHeader w:val="on"/>
          <w:cantSplit/>
        </w:trPr>
        <w:tc>
          <w:tcPr>
            <w:tcW w:type="dxa" w:w="1286"/>
            <w:tcBorders>
              <w:bottom w:val="single" w:sz="4" w:space="0" w:color="000000"/>
            </w:tcBorders>
          </w:tcPr>
          <w:p>
            <w:pPr>
              <w:pStyle w:val="Compact"/>
              <w:spacing w:before="20" w:after="20" w:line="240" w:lineRule="auto"/>
              <w:keepNext/>
            </w:pPr>
            <w:r>
              <w:rPr>
                <w:sz w:val="16"/>
                <w:szCs w:val="16"/>
              </w:rPr>
              <w:t xml:space="preserve">출원 시기</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보유: 통합형/N(%)</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없음: 통합형/N(%)</w:t>
            </w:r>
          </w:p>
        </w:tc>
        <w:tc>
          <w:tcPr>
            <w:tcW w:type="dxa" w:w="1415"/>
            <w:tcBorders>
              <w:bottom w:val="single" w:sz="4" w:space="0" w:color="000000"/>
            </w:tcBorders>
          </w:tcPr>
          <w:p>
            <w:pPr>
              <w:pStyle w:val="Compact"/>
              <w:spacing w:before="20" w:after="20" w:line="240" w:lineRule="auto"/>
              <w:jc w:val="center"/>
              <w:keepNext/>
            </w:pPr>
            <w:r>
              <w:rPr>
                <w:sz w:val="16"/>
                <w:szCs w:val="16"/>
              </w:rPr>
              <w:t xml:space="preserve">핵심 기술의 승산비</w:t>
            </w:r>
          </w:p>
        </w:tc>
        <w:tc>
          <w:tcPr>
            <w:tcW w:type="dxa" w:w="1572"/>
            <w:tcBorders>
              <w:bottom w:val="single" w:sz="4" w:space="0" w:color="000000"/>
            </w:tcBorders>
          </w:tcPr>
          <w:p>
            <w:pPr>
              <w:pStyle w:val="Compact"/>
              <w:spacing w:before="20" w:after="20" w:line="240" w:lineRule="auto"/>
              <w:jc w:val="center"/>
              <w:keepNext/>
            </w:pPr>
            <w:r>
              <w:rPr>
                <w:sz w:val="16"/>
                <w:szCs w:val="16"/>
              </w:rPr>
              <w:t xml:space="preserve">95% CI</w:t>
            </w:r>
          </w:p>
        </w:tc>
        <w:tc>
          <w:tcPr>
            <w:tcW w:type="dxa" w:w="786"/>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286"/>
          </w:tcPr>
          <w:p>
            <w:pPr>
              <w:pStyle w:val="Compact"/>
              <w:spacing w:before="20" w:after="20" w:line="240" w:lineRule="auto"/>
              <w:keepNext/>
            </w:pPr>
            <w:r>
              <w:rPr>
                <w:sz w:val="16"/>
                <w:szCs w:val="16"/>
              </w:rPr>
              <w:t xml:space="preserve">–2014</w:t>
            </w:r>
          </w:p>
        </w:tc>
        <w:tc>
          <w:tcPr>
            <w:tcW w:type="dxa" w:w="2004"/>
          </w:tcPr>
          <w:p>
            <w:pPr>
              <w:pStyle w:val="Compact"/>
              <w:spacing w:before="20" w:after="20" w:line="240" w:lineRule="auto"/>
              <w:keepNext/>
            </w:pPr>
            <w:r>
              <w:rPr>
                <w:sz w:val="16"/>
                <w:szCs w:val="16"/>
              </w:rPr>
              <w:t xml:space="preserve">43/54 (79.6)</w:t>
            </w:r>
          </w:p>
        </w:tc>
        <w:tc>
          <w:tcPr>
            <w:tcW w:type="dxa" w:w="2004"/>
          </w:tcPr>
          <w:p>
            <w:pPr>
              <w:pStyle w:val="Compact"/>
              <w:spacing w:before="20" w:after="20" w:line="240" w:lineRule="auto"/>
              <w:keepNext/>
            </w:pPr>
            <w:r>
              <w:rPr>
                <w:sz w:val="16"/>
                <w:szCs w:val="16"/>
              </w:rPr>
              <w:t xml:space="preserve">13/47 (27.7)</w:t>
            </w:r>
          </w:p>
        </w:tc>
        <w:tc>
          <w:tcPr>
            <w:tcW w:type="dxa" w:w="1415"/>
          </w:tcPr>
          <w:p>
            <w:pPr>
              <w:pStyle w:val="Compact"/>
              <w:spacing w:before="20" w:after="20" w:line="240" w:lineRule="auto"/>
              <w:jc w:val="center"/>
              <w:keepNext/>
            </w:pPr>
            <w:r>
              <w:rPr>
                <w:sz w:val="16"/>
                <w:szCs w:val="16"/>
              </w:rPr>
              <w:t xml:space="preserve">11.071***</w:t>
            </w:r>
          </w:p>
        </w:tc>
        <w:tc>
          <w:tcPr>
            <w:tcW w:type="dxa" w:w="1572"/>
          </w:tcPr>
          <w:p>
            <w:pPr>
              <w:pStyle w:val="Compact"/>
              <w:spacing w:before="20" w:after="20" w:line="240" w:lineRule="auto"/>
              <w:jc w:val="center"/>
              <w:keepNext/>
            </w:pPr>
            <w:r>
              <w:rPr>
                <w:sz w:val="16"/>
                <w:szCs w:val="16"/>
              </w:rPr>
              <w:t xml:space="preserve">4.211–29.107</w:t>
            </w:r>
          </w:p>
        </w:tc>
        <w:tc>
          <w:tcPr>
            <w:tcW w:type="dxa" w:w="786"/>
          </w:tcPr>
          <w:p>
            <w:pPr>
              <w:pStyle w:val="Compact"/>
              <w:spacing w:before="20" w:after="20" w:line="240" w:lineRule="auto"/>
              <w:jc w:val="center"/>
              <w:keepNext/>
            </w:pPr>
            <w:r>
              <w:rPr>
                <w:sz w:val="16"/>
                <w:szCs w:val="16"/>
              </w:rPr>
              <w:t xml:space="preserve">&lt;0.001</w:t>
            </w:r>
          </w:p>
        </w:tc>
      </w:tr>
      <w:tr>
        <w:trPr>
          <w:cantSplit/>
        </w:trPr>
        <w:tc>
          <w:tcPr>
            <w:tcW w:type="dxa" w:w="1286"/>
          </w:tcPr>
          <w:p>
            <w:pPr>
              <w:pStyle w:val="Compact"/>
              <w:spacing w:before="20" w:after="20" w:line="240" w:lineRule="auto"/>
              <w:keepNext/>
            </w:pPr>
            <w:r>
              <w:rPr>
                <w:sz w:val="16"/>
                <w:szCs w:val="16"/>
              </w:rPr>
              <w:t xml:space="preserve">2015–2019</w:t>
            </w:r>
          </w:p>
        </w:tc>
        <w:tc>
          <w:tcPr>
            <w:tcW w:type="dxa" w:w="2004"/>
          </w:tcPr>
          <w:p>
            <w:pPr>
              <w:pStyle w:val="Compact"/>
              <w:spacing w:before="20" w:after="20" w:line="240" w:lineRule="auto"/>
              <w:keepNext/>
            </w:pPr>
            <w:r>
              <w:rPr>
                <w:sz w:val="16"/>
                <w:szCs w:val="16"/>
              </w:rPr>
              <w:t xml:space="preserve">108/140 (77.1)</w:t>
            </w:r>
          </w:p>
        </w:tc>
        <w:tc>
          <w:tcPr>
            <w:tcW w:type="dxa" w:w="2004"/>
          </w:tcPr>
          <w:p>
            <w:pPr>
              <w:pStyle w:val="Compact"/>
              <w:spacing w:before="20" w:after="20" w:line="240" w:lineRule="auto"/>
              <w:keepNext/>
            </w:pPr>
            <w:r>
              <w:rPr>
                <w:sz w:val="16"/>
                <w:szCs w:val="16"/>
              </w:rPr>
              <w:t xml:space="preserve">22/38 (57.9)</w:t>
            </w:r>
          </w:p>
        </w:tc>
        <w:tc>
          <w:tcPr>
            <w:tcW w:type="dxa" w:w="1415"/>
          </w:tcPr>
          <w:p>
            <w:pPr>
              <w:pStyle w:val="Compact"/>
              <w:spacing w:before="20" w:after="20" w:line="240" w:lineRule="auto"/>
              <w:jc w:val="center"/>
              <w:keepNext/>
            </w:pPr>
            <w:r>
              <w:rPr>
                <w:sz w:val="16"/>
                <w:szCs w:val="16"/>
              </w:rPr>
              <w:t xml:space="preserve">2.452**</w:t>
            </w:r>
          </w:p>
        </w:tc>
        <w:tc>
          <w:tcPr>
            <w:tcW w:type="dxa" w:w="1572"/>
          </w:tcPr>
          <w:p>
            <w:pPr>
              <w:pStyle w:val="Compact"/>
              <w:spacing w:before="20" w:after="20" w:line="240" w:lineRule="auto"/>
              <w:jc w:val="center"/>
              <w:keepNext/>
            </w:pPr>
            <w:r>
              <w:rPr>
                <w:sz w:val="16"/>
                <w:szCs w:val="16"/>
              </w:rPr>
              <w:t xml:space="preserve">1.158–5.194</w:t>
            </w:r>
          </w:p>
        </w:tc>
        <w:tc>
          <w:tcPr>
            <w:tcW w:type="dxa" w:w="786"/>
          </w:tcPr>
          <w:p>
            <w:pPr>
              <w:pStyle w:val="Compact"/>
              <w:spacing w:before="20" w:after="20" w:line="240" w:lineRule="auto"/>
              <w:jc w:val="center"/>
              <w:keepNext/>
            </w:pPr>
            <w:r>
              <w:rPr>
                <w:sz w:val="16"/>
                <w:szCs w:val="16"/>
              </w:rPr>
              <w:t xml:space="preserve">0.019</w:t>
            </w:r>
          </w:p>
        </w:tc>
      </w:tr>
      <w:tr>
        <w:trPr>
          <w:cantSplit/>
        </w:trPr>
        <w:tc>
          <w:tcPr>
            <w:tcW w:type="dxa" w:w="1286"/>
          </w:tcPr>
          <w:p>
            <w:pPr>
              <w:pStyle w:val="Compact"/>
              <w:spacing w:before="20" w:after="20" w:line="240" w:lineRule="auto"/>
              <w:keepNext/>
            </w:pPr>
            <w:r>
              <w:rPr>
                <w:sz w:val="16"/>
                <w:szCs w:val="16"/>
              </w:rPr>
              <w:t xml:space="preserve">2020–2024</w:t>
            </w:r>
          </w:p>
        </w:tc>
        <w:tc>
          <w:tcPr>
            <w:tcW w:type="dxa" w:w="2004"/>
          </w:tcPr>
          <w:p>
            <w:pPr>
              <w:pStyle w:val="Compact"/>
              <w:spacing w:before="20" w:after="20" w:line="240" w:lineRule="auto"/>
              <w:keepNext/>
            </w:pPr>
            <w:r>
              <w:rPr>
                <w:sz w:val="16"/>
                <w:szCs w:val="16"/>
              </w:rPr>
              <w:t xml:space="preserve">206/426 (48.4)</w:t>
            </w:r>
          </w:p>
        </w:tc>
        <w:tc>
          <w:tcPr>
            <w:tcW w:type="dxa" w:w="2004"/>
          </w:tcPr>
          <w:p>
            <w:pPr>
              <w:pStyle w:val="Compact"/>
              <w:spacing w:before="20" w:after="20" w:line="240" w:lineRule="auto"/>
              <w:keepNext/>
            </w:pPr>
            <w:r>
              <w:rPr>
                <w:sz w:val="16"/>
                <w:szCs w:val="16"/>
              </w:rPr>
              <w:t xml:space="preserve">33/58 (56.9)</w:t>
            </w:r>
          </w:p>
        </w:tc>
        <w:tc>
          <w:tcPr>
            <w:tcW w:type="dxa" w:w="1415"/>
          </w:tcPr>
          <w:p>
            <w:pPr>
              <w:pStyle w:val="Compact"/>
              <w:spacing w:before="20" w:after="20" w:line="240" w:lineRule="auto"/>
              <w:jc w:val="center"/>
              <w:keepNext/>
            </w:pPr>
            <w:r>
              <w:rPr>
                <w:sz w:val="16"/>
                <w:szCs w:val="16"/>
              </w:rPr>
              <w:t xml:space="preserve">0.658</w:t>
            </w:r>
          </w:p>
        </w:tc>
        <w:tc>
          <w:tcPr>
            <w:tcW w:type="dxa" w:w="1572"/>
          </w:tcPr>
          <w:p>
            <w:pPr>
              <w:pStyle w:val="Compact"/>
              <w:spacing w:before="20" w:after="20" w:line="240" w:lineRule="auto"/>
              <w:jc w:val="center"/>
              <w:keepNext/>
            </w:pPr>
            <w:r>
              <w:rPr>
                <w:sz w:val="16"/>
                <w:szCs w:val="16"/>
              </w:rPr>
              <w:t xml:space="preserve">0.374–1.160</w:t>
            </w:r>
          </w:p>
        </w:tc>
        <w:tc>
          <w:tcPr>
            <w:tcW w:type="dxa" w:w="786"/>
          </w:tcPr>
          <w:p>
            <w:pPr>
              <w:pStyle w:val="Compact"/>
              <w:spacing w:before="20" w:after="20" w:line="240" w:lineRule="auto"/>
              <w:jc w:val="center"/>
              <w:keepNext/>
            </w:pPr>
            <w:r>
              <w:rPr>
                <w:sz w:val="16"/>
                <w:szCs w:val="16"/>
              </w:rPr>
              <w:t xml:space="preserve">0.148</w:t>
            </w:r>
          </w:p>
        </w:tc>
      </w:tr>
    </w:tbl>
    <w:p>
      <w:pPr>
        <w:pStyle w:val="BodyText"/>
      </w:pPr>
      <w:r>
        <w:rPr>
          <w:i/>
          <w:iCs/>
        </w:rPr>
        <w:t xml:space="preserve">주:</w:t>
      </w:r>
      <w:r>
        <w:t xml:space="preserve"> </w:t>
      </w:r>
      <w:r>
        <w:t xml:space="preserve">승산비는 같은 시기에 핵심 기술을 가진 출원이 통합형일 승산을 가지지 않은 출원과 비교한 값이다(핵심 기술의 주효과와 해당 시기 상호작용의 합을 지수 변환). 상호작용(2014년 이전 대비 배수)은 2015–2019년 0.221(p = 0.016), 2020–2024년 0.059(p &lt; 0.001)이고, 두 상호작용의 결합 Wald χ²(2) = 26.43(p &lt; 0.001), McFadden 의사 R² = 0.069다.</w:t>
      </w:r>
    </w:p>
    <w:p>
      <w:pPr>
        <w:pStyle w:val="BodyText"/>
      </w:pPr>
      <w:r>
        <w:t xml:space="preserve">변화는 핵심 기술 쪽에서 일어났다. 핵심 기술이 없는 접합 출원의 통합형 비중은 27.7%에서 57.9%, 56.9%로 오히려 높아진 반면, 핵심 기술을 담은 출원은 79.6%와 77.1%에서 48.4%로 낮아졌다. 2020–2024년에 핵심 기술을 담은 통합형 출원과 함께 부여된 제조공정 기호는 주로 임시 지지 기판과 봉지 공정의 기호였다(제4.4절). 접합 원리 자체보다 다이를 다루고 패키지로 만드는 공정에 가깝다. 핵심 기술의 발명이 제조공정 지식을 함께 담던 단계에서, 핵심 기술은 접합 영역 안에서 기술되고 제조공정 지식은 다이 취급과 패키지 공정 같은 주변 공정과 결합하는 단계로 옮겨 간 것으로 읽힌다.</w:t>
      </w:r>
    </w:p>
    <w:bookmarkEnd w:id="47"/>
    <w:bookmarkStart w:id="48" w:name="강건성과-민감도-분석"/>
    <w:p>
      <w:pPr>
        <w:pStyle w:val="Heading3"/>
      </w:pPr>
      <w:r>
        <w:t xml:space="preserve">5.4 강건성과 민감도 분석</w:t>
      </w:r>
    </w:p>
    <w:p>
      <w:pPr>
        <w:pStyle w:val="FirstParagraph"/>
      </w:pPr>
      <w:r>
        <w:t xml:space="preserve">결과가 표본과 변수 정의에 따라 달라지는지 확인하기 위해 원자료에서 표본과 변수를 바꾸어 다시 추정하였다. 표 11은 H1과 H2의 핵심 계수를, 표 12는 H3의 시기별 승산비를 비교하고, 다항 로짓의 전체 계수는 부록 A에 실었다.</w:t>
      </w:r>
    </w:p>
    <w:p>
      <w:pPr>
        <w:pStyle w:val="BodyText"/>
        <w:keepNext/>
      </w:pPr>
      <w:r>
        <w:rPr>
          <w:b/>
          <w:bCs/>
        </w:rPr>
        <w:t xml:space="preserve">표 11.</w:t>
      </w:r>
      <w:r>
        <w:t xml:space="preserve"> </w:t>
      </w:r>
      <w:r>
        <w:t xml:space="preserve">H1과 H2의 재추정 결과 비교(다항 로짓 RRR, 기준 범주 = 조립 단독형; 출원청 더미 포함;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4352"/>
        <w:gridCol w:w="705"/>
        <w:gridCol w:w="1682"/>
        <w:gridCol w:w="2329"/>
      </w:tblGrid>
      <w:tr>
        <w:trPr>
          <w:tblHeader w:val="on"/>
          <w:cantSplit/>
        </w:trPr>
        <w:tc>
          <w:tcPr>
            <w:tcW w:type="dxa" w:w="4352"/>
            <w:tcBorders>
              <w:bottom w:val="single" w:sz="4" w:space="0" w:color="000000"/>
            </w:tcBorders>
          </w:tcPr>
          <w:p>
            <w:pPr>
              <w:pStyle w:val="Compact"/>
              <w:spacing w:before="20" w:after="20" w:line="240" w:lineRule="auto"/>
              <w:keepNext/>
            </w:pPr>
            <w:r>
              <w:rPr>
                <w:sz w:val="18"/>
                <w:szCs w:val="18"/>
              </w:rPr>
              <w:t xml:space="preserve">표본·변수</w:t>
            </w:r>
          </w:p>
        </w:tc>
        <w:tc>
          <w:tcPr>
            <w:tcW w:type="dxa" w:w="705"/>
            <w:tcBorders>
              <w:bottom w:val="single" w:sz="4" w:space="0" w:color="000000"/>
            </w:tcBorders>
          </w:tcPr>
          <w:p>
            <w:pPr>
              <w:pStyle w:val="Compact"/>
              <w:spacing w:before="20" w:after="20" w:line="240" w:lineRule="auto"/>
              <w:jc w:val="right"/>
              <w:keepNext/>
            </w:pPr>
            <w:r>
              <w:rPr>
                <w:sz w:val="18"/>
                <w:szCs w:val="18"/>
              </w:rPr>
              <w:t xml:space="preserve">N</w:t>
            </w:r>
          </w:p>
        </w:tc>
        <w:tc>
          <w:tcPr>
            <w:tcW w:type="dxa" w:w="1682"/>
            <w:tcBorders>
              <w:bottom w:val="single" w:sz="4" w:space="0" w:color="000000"/>
            </w:tcBorders>
          </w:tcPr>
          <w:p>
            <w:pPr>
              <w:pStyle w:val="Compact"/>
              <w:spacing w:before="20" w:after="20" w:line="240" w:lineRule="auto"/>
              <w:keepNext/>
            </w:pPr>
            <w:r>
              <w:rPr>
                <w:sz w:val="18"/>
                <w:szCs w:val="18"/>
              </w:rPr>
              <w:t xml:space="preserve">범위 → 통합형</w:t>
            </w:r>
          </w:p>
        </w:tc>
        <w:tc>
          <w:tcPr>
            <w:tcW w:type="dxa" w:w="2329"/>
            <w:tcBorders>
              <w:bottom w:val="single" w:sz="4" w:space="0" w:color="000000"/>
            </w:tcBorders>
          </w:tcPr>
          <w:p>
            <w:pPr>
              <w:pStyle w:val="Compact"/>
              <w:spacing w:before="20" w:after="20" w:line="240" w:lineRule="auto"/>
              <w:keepNext/>
            </w:pPr>
            <w:r>
              <w:rPr>
                <w:sz w:val="18"/>
                <w:szCs w:val="18"/>
              </w:rPr>
              <w:t xml:space="preserve">연도 → 공정 단독형</w:t>
            </w:r>
          </w:p>
        </w:tc>
      </w:tr>
      <w:tr>
        <w:trPr>
          <w:cantSplit/>
        </w:trPr>
        <w:tc>
          <w:tcPr>
            <w:tcW w:type="dxa" w:w="4352"/>
          </w:tcPr>
          <w:p>
            <w:pPr>
              <w:pStyle w:val="Compact"/>
              <w:spacing w:before="20" w:after="20" w:line="240" w:lineRule="auto"/>
              <w:keepNext/>
            </w:pPr>
            <w:r>
              <w:rPr>
                <w:sz w:val="18"/>
                <w:szCs w:val="18"/>
              </w:rPr>
              <w:t xml:space="preserve">기준(표 9)</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기준 + 동일 제목 군집 표준오차</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동일 제목 중복 제거(제목당 1건)</w:t>
            </w:r>
          </w:p>
        </w:tc>
        <w:tc>
          <w:tcPr>
            <w:tcW w:type="dxa" w:w="705"/>
          </w:tcPr>
          <w:p>
            <w:pPr>
              <w:pStyle w:val="Compact"/>
              <w:spacing w:before="20" w:after="20" w:line="240" w:lineRule="auto"/>
              <w:jc w:val="right"/>
              <w:keepNext/>
            </w:pPr>
            <w:r>
              <w:rPr>
                <w:sz w:val="18"/>
                <w:szCs w:val="18"/>
              </w:rPr>
              <w:t xml:space="preserve">473</w:t>
            </w:r>
          </w:p>
        </w:tc>
        <w:tc>
          <w:tcPr>
            <w:tcW w:type="dxa" w:w="1682"/>
          </w:tcPr>
          <w:p>
            <w:pPr>
              <w:pStyle w:val="Compact"/>
              <w:spacing w:before="20" w:after="20" w:line="240" w:lineRule="auto"/>
              <w:keepNext/>
            </w:pPr>
            <w:r>
              <w:rPr>
                <w:sz w:val="18"/>
                <w:szCs w:val="18"/>
              </w:rPr>
              <w:t xml:space="preserve">1.295***</w:t>
            </w:r>
          </w:p>
        </w:tc>
        <w:tc>
          <w:tcPr>
            <w:tcW w:type="dxa" w:w="2329"/>
          </w:tcPr>
          <w:p>
            <w:pPr>
              <w:pStyle w:val="Compact"/>
              <w:spacing w:before="20" w:after="20" w:line="240" w:lineRule="auto"/>
              <w:keepNext/>
            </w:pPr>
            <w:r>
              <w:rPr>
                <w:sz w:val="18"/>
                <w:szCs w:val="18"/>
              </w:rPr>
              <w:t xml:space="preserve">0.935***</w:t>
            </w:r>
          </w:p>
        </w:tc>
      </w:tr>
      <w:tr>
        <w:trPr>
          <w:cantSplit/>
        </w:trPr>
        <w:tc>
          <w:tcPr>
            <w:tcW w:type="dxa" w:w="4352"/>
          </w:tcPr>
          <w:p>
            <w:pPr>
              <w:pStyle w:val="Compact"/>
              <w:spacing w:before="20" w:after="20" w:line="240" w:lineRule="auto"/>
              <w:keepNext/>
            </w:pPr>
            <w:r>
              <w:rPr>
                <w:sz w:val="18"/>
                <w:szCs w:val="18"/>
              </w:rPr>
              <w:t xml:space="preserve">좁은 전공정 정의(조립 단계 공정 제외)</w:t>
            </w:r>
          </w:p>
        </w:tc>
        <w:tc>
          <w:tcPr>
            <w:tcW w:type="dxa" w:w="705"/>
          </w:tcPr>
          <w:p>
            <w:pPr>
              <w:pStyle w:val="Compact"/>
              <w:spacing w:before="20" w:after="20" w:line="240" w:lineRule="auto"/>
              <w:jc w:val="right"/>
              <w:keepNext/>
            </w:pPr>
            <w:r>
              <w:rPr>
                <w:sz w:val="18"/>
                <w:szCs w:val="18"/>
              </w:rPr>
              <w:t xml:space="preserve">908</w:t>
            </w:r>
          </w:p>
        </w:tc>
        <w:tc>
          <w:tcPr>
            <w:tcW w:type="dxa" w:w="1682"/>
          </w:tcPr>
          <w:p>
            <w:pPr>
              <w:pStyle w:val="Compact"/>
              <w:spacing w:before="20" w:after="20" w:line="240" w:lineRule="auto"/>
              <w:keepNext/>
            </w:pPr>
            <w:r>
              <w:rPr>
                <w:sz w:val="18"/>
                <w:szCs w:val="18"/>
              </w:rPr>
              <w:t xml:space="preserve">1.352***</w:t>
            </w:r>
          </w:p>
        </w:tc>
        <w:tc>
          <w:tcPr>
            <w:tcW w:type="dxa" w:w="2329"/>
          </w:tcPr>
          <w:p>
            <w:pPr>
              <w:pStyle w:val="Compact"/>
              <w:spacing w:before="20" w:after="20" w:line="240" w:lineRule="auto"/>
              <w:keepNext/>
            </w:pPr>
            <w:r>
              <w:rPr>
                <w:sz w:val="18"/>
                <w:szCs w:val="18"/>
              </w:rPr>
              <w:t xml:space="preserve">0.898***</w:t>
            </w:r>
          </w:p>
        </w:tc>
      </w:tr>
      <w:tr>
        <w:trPr>
          <w:cantSplit/>
        </w:trPr>
        <w:tc>
          <w:tcPr>
            <w:tcW w:type="dxa" w:w="4352"/>
          </w:tcPr>
          <w:p>
            <w:pPr>
              <w:pStyle w:val="Compact"/>
              <w:spacing w:before="20" w:after="20" w:line="240" w:lineRule="auto"/>
              <w:keepNext/>
            </w:pPr>
            <w:r>
              <w:rPr>
                <w:sz w:val="18"/>
                <w:szCs w:val="18"/>
              </w:rPr>
              <w:t xml:space="preserve">무관 용법 68건 제외</w:t>
            </w:r>
          </w:p>
        </w:tc>
        <w:tc>
          <w:tcPr>
            <w:tcW w:type="dxa" w:w="705"/>
          </w:tcPr>
          <w:p>
            <w:pPr>
              <w:pStyle w:val="Compact"/>
              <w:spacing w:before="20" w:after="20" w:line="240" w:lineRule="auto"/>
              <w:jc w:val="right"/>
              <w:keepNext/>
            </w:pPr>
            <w:r>
              <w:rPr>
                <w:sz w:val="18"/>
                <w:szCs w:val="18"/>
              </w:rPr>
              <w:t xml:space="preserve">860</w:t>
            </w:r>
          </w:p>
        </w:tc>
        <w:tc>
          <w:tcPr>
            <w:tcW w:type="dxa" w:w="1682"/>
          </w:tcPr>
          <w:p>
            <w:pPr>
              <w:pStyle w:val="Compact"/>
              <w:spacing w:before="20" w:after="20" w:line="240" w:lineRule="auto"/>
              <w:keepNext/>
            </w:pPr>
            <w:r>
              <w:rPr>
                <w:sz w:val="18"/>
                <w:szCs w:val="18"/>
              </w:rPr>
              <w:t xml:space="preserve">1.384***</w:t>
            </w:r>
          </w:p>
        </w:tc>
        <w:tc>
          <w:tcPr>
            <w:tcW w:type="dxa" w:w="2329"/>
          </w:tcPr>
          <w:p>
            <w:pPr>
              <w:pStyle w:val="Compact"/>
              <w:spacing w:before="20" w:after="20" w:line="240" w:lineRule="auto"/>
              <w:keepNext/>
            </w:pPr>
            <w:r>
              <w:rPr>
                <w:sz w:val="18"/>
                <w:szCs w:val="18"/>
              </w:rPr>
              <w:t xml:space="preserve">0.820***</w:t>
            </w:r>
          </w:p>
        </w:tc>
      </w:tr>
      <w:tr>
        <w:trPr>
          <w:cantSplit/>
        </w:trPr>
        <w:tc>
          <w:tcPr>
            <w:tcW w:type="dxa" w:w="4352"/>
          </w:tcPr>
          <w:p>
            <w:pPr>
              <w:pStyle w:val="Compact"/>
              <w:spacing w:before="20" w:after="20" w:line="240" w:lineRule="auto"/>
              <w:keepNext/>
            </w:pPr>
            <w:r>
              <w:rPr>
                <w:sz w:val="18"/>
                <w:szCs w:val="18"/>
              </w:rPr>
              <w:t xml:space="preserve">핵심 표본(제목에 hybrid bonding)</w:t>
            </w:r>
          </w:p>
        </w:tc>
        <w:tc>
          <w:tcPr>
            <w:tcW w:type="dxa" w:w="705"/>
          </w:tcPr>
          <w:p>
            <w:pPr>
              <w:pStyle w:val="Compact"/>
              <w:spacing w:before="20" w:after="20" w:line="240" w:lineRule="auto"/>
              <w:jc w:val="right"/>
              <w:keepNext/>
            </w:pPr>
            <w:r>
              <w:rPr>
                <w:sz w:val="18"/>
                <w:szCs w:val="18"/>
              </w:rPr>
              <w:t xml:space="preserve">467</w:t>
            </w:r>
          </w:p>
        </w:tc>
        <w:tc>
          <w:tcPr>
            <w:tcW w:type="dxa" w:w="1682"/>
          </w:tcPr>
          <w:p>
            <w:pPr>
              <w:pStyle w:val="Compact"/>
              <w:spacing w:before="20" w:after="20" w:line="240" w:lineRule="auto"/>
              <w:keepNext/>
            </w:pPr>
            <w:r>
              <w:rPr>
                <w:sz w:val="18"/>
                <w:szCs w:val="18"/>
              </w:rPr>
              <w:t xml:space="preserve">1.485***</w:t>
            </w:r>
          </w:p>
        </w:tc>
        <w:tc>
          <w:tcPr>
            <w:tcW w:type="dxa" w:w="2329"/>
          </w:tcPr>
          <w:p>
            <w:pPr>
              <w:pStyle w:val="Compact"/>
              <w:spacing w:before="20" w:after="20" w:line="240" w:lineRule="auto"/>
              <w:keepNext/>
            </w:pPr>
            <w:r>
              <w:rPr>
                <w:sz w:val="18"/>
                <w:szCs w:val="18"/>
              </w:rPr>
              <w:t xml:space="preserve">1.029</w:t>
            </w:r>
          </w:p>
        </w:tc>
      </w:tr>
      <w:tr>
        <w:trPr>
          <w:cantSplit/>
        </w:trPr>
        <w:tc>
          <w:tcPr>
            <w:tcW w:type="dxa" w:w="4352"/>
          </w:tcPr>
          <w:p>
            <w:pPr>
              <w:pStyle w:val="Compact"/>
              <w:spacing w:before="20" w:after="20" w:line="240" w:lineRule="auto"/>
              <w:keepNext/>
            </w:pPr>
            <w:r>
              <w:rPr>
                <w:sz w:val="18"/>
                <w:szCs w:val="18"/>
              </w:rPr>
              <w:t xml:space="preserve">2023–2024년 제외</w:t>
            </w:r>
          </w:p>
        </w:tc>
        <w:tc>
          <w:tcPr>
            <w:tcW w:type="dxa" w:w="705"/>
          </w:tcPr>
          <w:p>
            <w:pPr>
              <w:pStyle w:val="Compact"/>
              <w:spacing w:before="20" w:after="20" w:line="240" w:lineRule="auto"/>
              <w:jc w:val="right"/>
              <w:keepNext/>
            </w:pPr>
            <w:r>
              <w:rPr>
                <w:sz w:val="18"/>
                <w:szCs w:val="18"/>
              </w:rPr>
              <w:t xml:space="preserve">753</w:t>
            </w:r>
          </w:p>
        </w:tc>
        <w:tc>
          <w:tcPr>
            <w:tcW w:type="dxa" w:w="1682"/>
          </w:tcPr>
          <w:p>
            <w:pPr>
              <w:pStyle w:val="Compact"/>
              <w:spacing w:before="20" w:after="20" w:line="240" w:lineRule="auto"/>
              <w:keepNext/>
            </w:pPr>
            <w:r>
              <w:rPr>
                <w:sz w:val="18"/>
                <w:szCs w:val="18"/>
              </w:rPr>
              <w:t xml:space="preserve">1.418***</w:t>
            </w:r>
          </w:p>
        </w:tc>
        <w:tc>
          <w:tcPr>
            <w:tcW w:type="dxa" w:w="2329"/>
          </w:tcPr>
          <w:p>
            <w:pPr>
              <w:pStyle w:val="Compact"/>
              <w:spacing w:before="20" w:after="20" w:line="240" w:lineRule="auto"/>
              <w:keepNext/>
            </w:pPr>
            <w:r>
              <w:rPr>
                <w:sz w:val="18"/>
                <w:szCs w:val="18"/>
              </w:rPr>
              <w:t xml:space="preserve">0.909***</w:t>
            </w:r>
          </w:p>
        </w:tc>
      </w:tr>
    </w:tbl>
    <w:p>
      <w:pPr>
        <w:pStyle w:val="BodyText"/>
      </w:pPr>
      <w:r>
        <w:rPr>
          <w:i/>
          <w:iCs/>
        </w:rPr>
        <w:t xml:space="preserve">주:</w:t>
      </w:r>
      <w:r>
        <w:t xml:space="preserve"> </w:t>
      </w:r>
      <w:r>
        <w:t xml:space="preserve">군집 표준오차 행은 점추정치가 기준과 같고 유의성만 동일 제목 군집 기준이다. 표준오차와 나머지 계수, 그리고 유형 최소치 조정 CPC 범위(breadth_adj)의 탐색적 결과는 부록 A에 있다.</w:t>
      </w:r>
    </w:p>
    <w:p>
      <w:pPr>
        <w:pStyle w:val="BodyText"/>
      </w:pPr>
      <w:r>
        <w:rPr>
          <w:b/>
          <w:bCs/>
        </w:rPr>
        <w:t xml:space="preserve">관측치의 독립성.</w:t>
      </w:r>
      <w:r>
        <w:t xml:space="preserve"> </w:t>
      </w:r>
      <w:r>
        <w:t xml:space="preserve">같은 제목의 출원을 한 군집으로 묶어 표준오차를 다시 계산해도 표 11의 두 계수는 모두 1% 수준에서 유의하다. 유의성을 잃는 것은 범위 → 공정 단독형(RRR 0.905, p = 0.29)뿐이다.</w:t>
      </w:r>
    </w:p>
    <w:p>
      <w:pPr>
        <w:pStyle w:val="BodyText"/>
      </w:pPr>
      <w:r>
        <w:rPr>
          <w:b/>
          <w:bCs/>
        </w:rPr>
        <w:t xml:space="preserve">범위의 기계적 부분.</w:t>
      </w:r>
      <w:r>
        <w:t xml:space="preserve"> </w:t>
      </w:r>
      <w:r>
        <w:t xml:space="preserve">통합형은 정의상 두 클래스의 기호를 하나씩은 가지므로 범위가 2 이상일 수밖에 없다. 기준 breadth에서 관찰된 양의 연관은 이 유형별 최소 CPC 수의 차이를 일부 반영할 수 있다. 그래서 보유 클래스마다 최소 1개 기호를 차감한 유형 최소치 조정 CPC 범위(breadth_adj, 제4.3절)로 다시 추정해 보면, 통합형의 RRR은 1.403에서 1.262로 줄지만 방향은 유지된다(부록 A). 유형의 최소 구성을 제외한 추가 CPC 다양성도 통합형과 관련된다는 뜻이다. 그렇다고 이 지표가 기계적 연관을 완전히 걷어낸 독립적 검정인 것은 아니다. 조정 지표 역시 유형 정보를 이용해 만들어지기 때문이다. 그래서 이 결과를 H1의 결정적 증거로 쓰지 않으며, H1은 인과효과가 아니라 통합형 특허의 구성적 특성으로 해석한다.</w:t>
      </w:r>
    </w:p>
    <w:p>
      <w:pPr>
        <w:pStyle w:val="BodyText"/>
      </w:pPr>
      <w:r>
        <w:rPr>
          <w:b/>
          <w:bCs/>
        </w:rPr>
        <w:t xml:space="preserve">동일 제목 중복.</w:t>
      </w:r>
      <w:r>
        <w:t xml:space="preserve"> </w:t>
      </w:r>
      <w:r>
        <w:t xml:space="preserve">제목이 같은 출원 가운데 가장 이른 출원 1건만 남기면 표본은 473건이 된다. H1과 H2의 핵심 계수는 모두 1% 수준에서 유지된다.</w:t>
      </w:r>
    </w:p>
    <w:p>
      <w:pPr>
        <w:pStyle w:val="BodyText"/>
      </w:pPr>
      <w:r>
        <w:rPr>
          <w:b/>
          <w:bCs/>
        </w:rPr>
        <w:t xml:space="preserve">전공정의 정의.</w:t>
      </w:r>
      <w:r>
        <w:t xml:space="preserve"> </w:t>
      </w:r>
      <w:r>
        <w:t xml:space="preserve">제4.2절에서 밝혔듯이 H01L21에는 조립 단계의 제조공정도 들어 있다. 이를 제조공정으로 세지 않는 좁은 정의를 쓰면(어느 기호도 남지 않는 20건 제외, N = 908) 제조공정 기호를 가진 출원은 52.0%로 낮아지고, 유형 분포는 조립 단독형 46.8%, 통합형 37.2%, 공정 단독형 16.0%로 바뀌어 조립 단독형이 가장 많아진다. 즉 통합형이 최다 유형이라는 기술통계는 정의에 따라 달라지지만, 보수적 정의에서도 출원의 3분의 1 이상이 두 영역의 기호를 함께 가지며, H1과 H2의 계수는 부호와 유의성이 그대로다.</w:t>
      </w:r>
    </w:p>
    <w:p>
      <w:pPr>
        <w:pStyle w:val="BodyText"/>
      </w:pPr>
      <w:r>
        <w:rPr>
          <w:b/>
          <w:bCs/>
        </w:rPr>
        <w:t xml:space="preserve">검색어의 정밀도.</w:t>
      </w:r>
      <w:r>
        <w:t xml:space="preserve"> </w:t>
      </w:r>
      <w:r>
        <w:t xml:space="preserve">무관한 용법 68건을 뺀 표본(N = 860)에서 유형 분포는 통합형 47.4%, 조립 단독형 35.4%, 공정 단독형 17.2%이며 핵심 계수는 모두 유지된다. 제목에</w:t>
      </w:r>
      <w:r>
        <w:t xml:space="preserve"> </w:t>
      </w:r>
      <w:r>
        <w:rPr>
          <w:i/>
          <w:iCs/>
        </w:rPr>
        <w:t xml:space="preserve">hybrid bonding</w:t>
      </w:r>
      <w:r>
        <w:t xml:space="preserve">이 들어 있는 핵심 표본(N = 467)에서는 통합형 49.5%, 조립 단독형 38.3%, 공정 단독형 12.2%이며, 범위 → 통합형(1.485)은 1% 수준에서 유지된다. 다만 이 표본은 2015년 이전 출원이 30건뿐이어서 연도 계수는 유의하지 않다(1.029). 공정 단독형의 감소는 상당 부분</w:t>
      </w:r>
      <w:r>
        <w:t xml:space="preserve"> </w:t>
      </w:r>
      <w:r>
        <w:rPr>
          <w:i/>
          <w:iCs/>
        </w:rPr>
        <w:t xml:space="preserve">direct bonding</w:t>
      </w:r>
      <w:r>
        <w:t xml:space="preserve"> </w:t>
      </w:r>
      <w:r>
        <w:t xml:space="preserve">시기의 웨이퍼 접합 공정 출원에서</w:t>
      </w:r>
      <w:r>
        <w:t xml:space="preserve"> </w:t>
      </w:r>
      <w:r>
        <w:rPr>
          <w:i/>
          <w:iCs/>
        </w:rPr>
        <w:t xml:space="preserve">hybrid bonding</w:t>
      </w:r>
      <w:r>
        <w:t xml:space="preserve"> </w:t>
      </w:r>
      <w:r>
        <w:t xml:space="preserve">시기의 구조 출원으로 넘어온 변화이며, 핵심 표본만으로는 그 이전 시기를 관찰할 수 없기 때문이다.</w:t>
      </w:r>
    </w:p>
    <w:p>
      <w:pPr>
        <w:pStyle w:val="BodyText"/>
      </w:pPr>
      <w:r>
        <w:rPr>
          <w:b/>
          <w:bCs/>
        </w:rPr>
        <w:t xml:space="preserve">최근 출원의 공개 시차.</w:t>
      </w:r>
      <w:r>
        <w:t xml:space="preserve"> </w:t>
      </w:r>
      <w:r>
        <w:t xml:space="preserve">2023–2024년 출원은 아직 공개되지 않은 건이 많으므로 이 두 해를 뺀 표본(N = 753)으로 다시 추정하였다. 범위와 연도의 계수는 그대로 유지된다(1.418, 0.909).</w:t>
      </w:r>
    </w:p>
    <w:p>
      <w:pPr>
        <w:pStyle w:val="BodyText"/>
      </w:pPr>
      <w:r>
        <w:rPr>
          <w:b/>
          <w:bCs/>
        </w:rPr>
        <w:t xml:space="preserve">핵심 기술(H3).</w:t>
      </w:r>
      <w:r>
        <w:t xml:space="preserve"> </w:t>
      </w:r>
      <w:r>
        <w:t xml:space="preserve">표 12는 H3의 재추정 결과다. 2014년 이전의 승산비가 1보다 크고, 2020–2024년의 승산비가 1과 다르지 않으며, 그 차이(마지막 열)가 유의하게 1보다 작다는 결과는 여덟 가지 추정에서 모두 유지된다. 핵심 기호 외의 접합 기호 수를 통제해도(그 자체의 승산비 1.100, p &lt; 0.01) 시기별 승산비는 거의 그대로다. 결과가 가장 약해지는 것은 무관 용법을 뺀 표본이다. 2014년 이전의 승산비가 3.981로 작아지는데, 접합 기호를 가진 무관한 출원 51건 가운데 28건이 2014년 이전의 핵심 기술 없는 출원이고 그중 25건이 조립 단독형이었기 때문이다. 이 표본에서도 2014년 이전의 승산비(p &lt; 0.05)와 2020–2024년의 상호작용(0.185, p &lt; 0.05)은 유의하다. 다만 2015–2019년의 승산비는 군집 표준오차와 무관 용법 제외 표본에서 유의성을 잃으므로, 차이가 줄어든 시점이 2015–2019년부터인지 2020–2024년인지는 확정하지 않는다.</w:t>
      </w:r>
    </w:p>
    <w:p>
      <w:pPr>
        <w:pStyle w:val="BodyText"/>
        <w:keepNext/>
      </w:pPr>
      <w:r>
        <w:rPr>
          <w:b/>
          <w:bCs/>
        </w:rPr>
        <w:t xml:space="preserve">표 12.</w:t>
      </w:r>
      <w:r>
        <w:t xml:space="preserve"> </w:t>
      </w:r>
      <w:r>
        <w:t xml:space="preserve">H3의 재추정 결과 비교(H01L24 기호를 가진 출원; 핵심 기술의 시기별 승산비; 마지막 열은 2020–2024년 상호작용, 곧 2014년 이전 대비 배수; 출원청 더미 포함; * p &lt; 0.10, ** p &lt; 0.05, *** p &lt; 0.01).</w:t>
      </w:r>
    </w:p>
    <w:tbl>
      <w:tblPr>
        <w:tblStyle w:val="Table"/>
        <w:tblW w:type="dxa" w:w="9073"/>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302"/>
        <w:gridCol w:w="461"/>
        <w:gridCol w:w="1137"/>
        <w:gridCol w:w="1295"/>
        <w:gridCol w:w="1295"/>
        <w:gridCol w:w="1583"/>
      </w:tblGrid>
      <w:tr>
        <w:trPr>
          <w:tblHeader w:val="on"/>
          <w:cantSplit/>
        </w:trPr>
        <w:tc>
          <w:tcPr>
            <w:tcW w:type="dxa" w:w="3302"/>
            <w:tcBorders>
              <w:bottom w:val="single" w:sz="4" w:space="0" w:color="000000"/>
            </w:tcBorders>
          </w:tcPr>
          <w:p>
            <w:pPr>
              <w:pStyle w:val="Compact"/>
              <w:spacing w:before="20" w:after="20" w:line="240" w:lineRule="auto"/>
              <w:keepNext/>
            </w:pPr>
            <w:r>
              <w:rPr>
                <w:sz w:val="13"/>
                <w:szCs w:val="13"/>
              </w:rPr>
              <w:t xml:space="preserve">표본·변수</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–2014</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2015–2019</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2020–2024</w:t>
            </w:r>
          </w:p>
        </w:tc>
        <w:tc>
          <w:tcPr>
            <w:tcW w:type="dxa" w:w="1583"/>
            <w:tcBorders>
              <w:bottom w:val="single" w:sz="4" w:space="0" w:color="000000"/>
            </w:tcBorders>
          </w:tcPr>
          <w:p>
            <w:pPr>
              <w:pStyle w:val="Compact"/>
              <w:spacing w:before="20" w:after="20" w:line="240" w:lineRule="auto"/>
              <w:jc w:val="center"/>
              <w:keepNext/>
            </w:pPr>
            <w:r>
              <w:rPr>
                <w:sz w:val="13"/>
                <w:szCs w:val="13"/>
              </w:rPr>
              <w:t xml:space="preserve">2020–2024년 상호작용</w:t>
            </w:r>
          </w:p>
        </w:tc>
      </w:tr>
      <w:tr>
        <w:trPr>
          <w:cantSplit/>
        </w:trPr>
        <w:tc>
          <w:tcPr>
            <w:tcW w:type="dxa" w:w="3302"/>
          </w:tcPr>
          <w:p>
            <w:pPr>
              <w:pStyle w:val="Compact"/>
              <w:spacing w:before="20" w:after="20" w:line="240" w:lineRule="auto"/>
              <w:keepNext/>
            </w:pPr>
            <w:r>
              <w:rPr>
                <w:sz w:val="13"/>
                <w:szCs w:val="13"/>
              </w:rPr>
              <w:t xml:space="preserve">기준(표 10)</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핵심 기호 외 접합 기호 수 통제</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8.768***</w:t>
            </w:r>
          </w:p>
        </w:tc>
        <w:tc>
          <w:tcPr>
            <w:tcW w:type="dxa" w:w="1295"/>
          </w:tcPr>
          <w:p>
            <w:pPr>
              <w:pStyle w:val="Compact"/>
              <w:spacing w:before="20" w:after="20" w:line="240" w:lineRule="auto"/>
              <w:jc w:val="center"/>
              <w:keepNext/>
            </w:pPr>
            <w:r>
              <w:rPr>
                <w:sz w:val="13"/>
                <w:szCs w:val="13"/>
              </w:rPr>
              <w:t xml:space="preserve">2.377**</w:t>
            </w:r>
          </w:p>
        </w:tc>
        <w:tc>
          <w:tcPr>
            <w:tcW w:type="dxa" w:w="1295"/>
          </w:tcPr>
          <w:p>
            <w:pPr>
              <w:pStyle w:val="Compact"/>
              <w:spacing w:before="20" w:after="20" w:line="240" w:lineRule="auto"/>
              <w:jc w:val="center"/>
              <w:keepNext/>
            </w:pPr>
            <w:r>
              <w:rPr>
                <w:sz w:val="13"/>
                <w:szCs w:val="13"/>
              </w:rPr>
              <w:t xml:space="preserve">0.684</w:t>
            </w:r>
          </w:p>
        </w:tc>
        <w:tc>
          <w:tcPr>
            <w:tcW w:type="dxa" w:w="1583"/>
          </w:tcPr>
          <w:p>
            <w:pPr>
              <w:pStyle w:val="Compact"/>
              <w:spacing w:before="20" w:after="20" w:line="240" w:lineRule="auto"/>
              <w:jc w:val="center"/>
              <w:keepNext/>
            </w:pPr>
            <w:r>
              <w:rPr>
                <w:sz w:val="13"/>
                <w:szCs w:val="13"/>
              </w:rPr>
              <w:t xml:space="preserve">0.078***</w:t>
            </w:r>
          </w:p>
        </w:tc>
      </w:tr>
      <w:tr>
        <w:trPr>
          <w:cantSplit/>
        </w:trPr>
        <w:tc>
          <w:tcPr>
            <w:tcW w:type="dxa" w:w="3302"/>
          </w:tcPr>
          <w:p>
            <w:pPr>
              <w:pStyle w:val="Compact"/>
              <w:spacing w:before="20" w:after="20" w:line="240" w:lineRule="auto"/>
              <w:keepNext/>
            </w:pPr>
            <w:r>
              <w:rPr>
                <w:sz w:val="13"/>
                <w:szCs w:val="13"/>
              </w:rPr>
              <w:t xml:space="preserve">기준 + 동일 제목 군집 표준오차</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동일 제목 중복 제거(제목당 1건)</w:t>
            </w:r>
          </w:p>
        </w:tc>
        <w:tc>
          <w:tcPr>
            <w:tcW w:type="dxa" w:w="461"/>
          </w:tcPr>
          <w:p>
            <w:pPr>
              <w:pStyle w:val="Compact"/>
              <w:spacing w:before="20" w:after="20" w:line="240" w:lineRule="auto"/>
              <w:jc w:val="right"/>
              <w:keepNext/>
            </w:pPr>
            <w:r>
              <w:rPr>
                <w:sz w:val="13"/>
                <w:szCs w:val="13"/>
              </w:rPr>
              <w:t xml:space="preserve">361</w:t>
            </w:r>
          </w:p>
        </w:tc>
        <w:tc>
          <w:tcPr>
            <w:tcW w:type="dxa" w:w="1137"/>
          </w:tcPr>
          <w:p>
            <w:pPr>
              <w:pStyle w:val="Compact"/>
              <w:spacing w:before="20" w:after="20" w:line="240" w:lineRule="auto"/>
              <w:jc w:val="center"/>
              <w:keepNext/>
            </w:pPr>
            <w:r>
              <w:rPr>
                <w:sz w:val="13"/>
                <w:szCs w:val="13"/>
              </w:rPr>
              <w:t xml:space="preserve">6.191***</w:t>
            </w:r>
          </w:p>
        </w:tc>
        <w:tc>
          <w:tcPr>
            <w:tcW w:type="dxa" w:w="1295"/>
          </w:tcPr>
          <w:p>
            <w:pPr>
              <w:pStyle w:val="Compact"/>
              <w:spacing w:before="20" w:after="20" w:line="240" w:lineRule="auto"/>
              <w:jc w:val="center"/>
              <w:keepNext/>
            </w:pPr>
            <w:r>
              <w:rPr>
                <w:sz w:val="13"/>
                <w:szCs w:val="13"/>
              </w:rPr>
              <w:t xml:space="preserve">4.433***</w:t>
            </w:r>
          </w:p>
        </w:tc>
        <w:tc>
          <w:tcPr>
            <w:tcW w:type="dxa" w:w="1295"/>
          </w:tcPr>
          <w:p>
            <w:pPr>
              <w:pStyle w:val="Compact"/>
              <w:spacing w:before="20" w:after="20" w:line="240" w:lineRule="auto"/>
              <w:jc w:val="center"/>
              <w:keepNext/>
            </w:pPr>
            <w:r>
              <w:rPr>
                <w:sz w:val="13"/>
                <w:szCs w:val="13"/>
              </w:rPr>
              <w:t xml:space="preserve">0.814</w:t>
            </w:r>
          </w:p>
        </w:tc>
        <w:tc>
          <w:tcPr>
            <w:tcW w:type="dxa" w:w="1583"/>
          </w:tcPr>
          <w:p>
            <w:pPr>
              <w:pStyle w:val="Compact"/>
              <w:spacing w:before="20" w:after="20" w:line="240" w:lineRule="auto"/>
              <w:jc w:val="center"/>
              <w:keepNext/>
            </w:pPr>
            <w:r>
              <w:rPr>
                <w:sz w:val="13"/>
                <w:szCs w:val="13"/>
              </w:rPr>
              <w:t xml:space="preserve">0.131***</w:t>
            </w:r>
          </w:p>
        </w:tc>
      </w:tr>
      <w:tr>
        <w:trPr>
          <w:cantSplit/>
        </w:trPr>
        <w:tc>
          <w:tcPr>
            <w:tcW w:type="dxa" w:w="3302"/>
          </w:tcPr>
          <w:p>
            <w:pPr>
              <w:pStyle w:val="Compact"/>
              <w:spacing w:before="20" w:after="20" w:line="240" w:lineRule="auto"/>
              <w:keepNext/>
            </w:pPr>
            <w:r>
              <w:rPr>
                <w:sz w:val="13"/>
                <w:szCs w:val="13"/>
              </w:rPr>
              <w:t xml:space="preserve">좁은 전공정 정의(조립 단계 공정 제외)</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15.334***</w:t>
            </w:r>
          </w:p>
        </w:tc>
        <w:tc>
          <w:tcPr>
            <w:tcW w:type="dxa" w:w="1295"/>
          </w:tcPr>
          <w:p>
            <w:pPr>
              <w:pStyle w:val="Compact"/>
              <w:spacing w:before="20" w:after="20" w:line="240" w:lineRule="auto"/>
              <w:jc w:val="center"/>
              <w:keepNext/>
            </w:pPr>
            <w:r>
              <w:rPr>
                <w:sz w:val="13"/>
                <w:szCs w:val="13"/>
              </w:rPr>
              <w:t xml:space="preserve">3.185***</w:t>
            </w:r>
          </w:p>
        </w:tc>
        <w:tc>
          <w:tcPr>
            <w:tcW w:type="dxa" w:w="1295"/>
          </w:tcPr>
          <w:p>
            <w:pPr>
              <w:pStyle w:val="Compact"/>
              <w:spacing w:before="20" w:after="20" w:line="240" w:lineRule="auto"/>
              <w:jc w:val="center"/>
              <w:keepNext/>
            </w:pPr>
            <w:r>
              <w:rPr>
                <w:sz w:val="13"/>
                <w:szCs w:val="13"/>
              </w:rPr>
              <w:t xml:space="preserve">0.771</w:t>
            </w:r>
          </w:p>
        </w:tc>
        <w:tc>
          <w:tcPr>
            <w:tcW w:type="dxa" w:w="1583"/>
          </w:tcPr>
          <w:p>
            <w:pPr>
              <w:pStyle w:val="Compact"/>
              <w:spacing w:before="20" w:after="20" w:line="240" w:lineRule="auto"/>
              <w:jc w:val="center"/>
              <w:keepNext/>
            </w:pPr>
            <w:r>
              <w:rPr>
                <w:sz w:val="13"/>
                <w:szCs w:val="13"/>
              </w:rPr>
              <w:t xml:space="preserve">0.050***</w:t>
            </w:r>
          </w:p>
        </w:tc>
      </w:tr>
      <w:tr>
        <w:trPr>
          <w:cantSplit/>
        </w:trPr>
        <w:tc>
          <w:tcPr>
            <w:tcW w:type="dxa" w:w="3302"/>
          </w:tcPr>
          <w:p>
            <w:pPr>
              <w:pStyle w:val="Compact"/>
              <w:spacing w:before="20" w:after="20" w:line="240" w:lineRule="auto"/>
              <w:keepNext/>
            </w:pPr>
            <w:r>
              <w:rPr>
                <w:sz w:val="13"/>
                <w:szCs w:val="13"/>
              </w:rPr>
              <w:t xml:space="preserve">무관 용법 제외</w:t>
            </w:r>
          </w:p>
        </w:tc>
        <w:tc>
          <w:tcPr>
            <w:tcW w:type="dxa" w:w="461"/>
          </w:tcPr>
          <w:p>
            <w:pPr>
              <w:pStyle w:val="Compact"/>
              <w:spacing w:before="20" w:after="20" w:line="240" w:lineRule="auto"/>
              <w:jc w:val="right"/>
              <w:keepNext/>
            </w:pPr>
            <w:r>
              <w:rPr>
                <w:sz w:val="13"/>
                <w:szCs w:val="13"/>
              </w:rPr>
              <w:t xml:space="preserve">712</w:t>
            </w:r>
          </w:p>
        </w:tc>
        <w:tc>
          <w:tcPr>
            <w:tcW w:type="dxa" w:w="1137"/>
          </w:tcPr>
          <w:p>
            <w:pPr>
              <w:pStyle w:val="Compact"/>
              <w:spacing w:before="20" w:after="20" w:line="240" w:lineRule="auto"/>
              <w:jc w:val="center"/>
              <w:keepNext/>
            </w:pPr>
            <w:r>
              <w:rPr>
                <w:sz w:val="13"/>
                <w:szCs w:val="13"/>
              </w:rPr>
              <w:t xml:space="preserve">3.981**</w:t>
            </w:r>
          </w:p>
        </w:tc>
        <w:tc>
          <w:tcPr>
            <w:tcW w:type="dxa" w:w="1295"/>
          </w:tcPr>
          <w:p>
            <w:pPr>
              <w:pStyle w:val="Compact"/>
              <w:spacing w:before="20" w:after="20" w:line="240" w:lineRule="auto"/>
              <w:jc w:val="center"/>
              <w:keepNext/>
            </w:pPr>
            <w:r>
              <w:rPr>
                <w:sz w:val="13"/>
                <w:szCs w:val="13"/>
              </w:rPr>
              <w:t xml:space="preserve">1.817</w:t>
            </w:r>
          </w:p>
        </w:tc>
        <w:tc>
          <w:tcPr>
            <w:tcW w:type="dxa" w:w="1295"/>
          </w:tcPr>
          <w:p>
            <w:pPr>
              <w:pStyle w:val="Compact"/>
              <w:spacing w:before="20" w:after="20" w:line="240" w:lineRule="auto"/>
              <w:jc w:val="center"/>
              <w:keepNext/>
            </w:pPr>
            <w:r>
              <w:rPr>
                <w:sz w:val="13"/>
                <w:szCs w:val="13"/>
              </w:rPr>
              <w:t xml:space="preserve">0.738</w:t>
            </w:r>
          </w:p>
        </w:tc>
        <w:tc>
          <w:tcPr>
            <w:tcW w:type="dxa" w:w="1583"/>
          </w:tcPr>
          <w:p>
            <w:pPr>
              <w:pStyle w:val="Compact"/>
              <w:spacing w:before="20" w:after="20" w:line="240" w:lineRule="auto"/>
              <w:jc w:val="center"/>
              <w:keepNext/>
            </w:pPr>
            <w:r>
              <w:rPr>
                <w:sz w:val="13"/>
                <w:szCs w:val="13"/>
              </w:rPr>
              <w:t xml:space="preserve">0.185**</w:t>
            </w:r>
          </w:p>
        </w:tc>
      </w:tr>
      <w:tr>
        <w:trPr>
          <w:cantSplit/>
        </w:trPr>
        <w:tc>
          <w:tcPr>
            <w:tcW w:type="dxa" w:w="3302"/>
          </w:tcPr>
          <w:p>
            <w:pPr>
              <w:pStyle w:val="Compact"/>
              <w:spacing w:before="20" w:after="20" w:line="240" w:lineRule="auto"/>
              <w:keepNext/>
            </w:pPr>
            <w:r>
              <w:rPr>
                <w:sz w:val="13"/>
                <w:szCs w:val="13"/>
              </w:rPr>
              <w:t xml:space="preserve">2023–2024년 제외</w:t>
            </w:r>
          </w:p>
        </w:tc>
        <w:tc>
          <w:tcPr>
            <w:tcW w:type="dxa" w:w="461"/>
          </w:tcPr>
          <w:p>
            <w:pPr>
              <w:pStyle w:val="Compact"/>
              <w:spacing w:before="20" w:after="20" w:line="240" w:lineRule="auto"/>
              <w:jc w:val="right"/>
              <w:keepNext/>
            </w:pPr>
            <w:r>
              <w:rPr>
                <w:sz w:val="13"/>
                <w:szCs w:val="13"/>
              </w:rPr>
              <w:t xml:space="preserve">619</w:t>
            </w:r>
          </w:p>
        </w:tc>
        <w:tc>
          <w:tcPr>
            <w:tcW w:type="dxa" w:w="1137"/>
          </w:tcPr>
          <w:p>
            <w:pPr>
              <w:pStyle w:val="Compact"/>
              <w:spacing w:before="20" w:after="20" w:line="240" w:lineRule="auto"/>
              <w:jc w:val="center"/>
              <w:keepNext/>
            </w:pPr>
            <w:r>
              <w:rPr>
                <w:sz w:val="13"/>
                <w:szCs w:val="13"/>
              </w:rPr>
              <w:t xml:space="preserve">9.620***</w:t>
            </w:r>
          </w:p>
        </w:tc>
        <w:tc>
          <w:tcPr>
            <w:tcW w:type="dxa" w:w="1295"/>
          </w:tcPr>
          <w:p>
            <w:pPr>
              <w:pStyle w:val="Compact"/>
              <w:spacing w:before="20" w:after="20" w:line="240" w:lineRule="auto"/>
              <w:jc w:val="center"/>
              <w:keepNext/>
            </w:pPr>
            <w:r>
              <w:rPr>
                <w:sz w:val="13"/>
                <w:szCs w:val="13"/>
              </w:rPr>
              <w:t xml:space="preserve">2.337**</w:t>
            </w:r>
          </w:p>
        </w:tc>
        <w:tc>
          <w:tcPr>
            <w:tcW w:type="dxa" w:w="1295"/>
          </w:tcPr>
          <w:p>
            <w:pPr>
              <w:pStyle w:val="Compact"/>
              <w:spacing w:before="20" w:after="20" w:line="240" w:lineRule="auto"/>
              <w:jc w:val="center"/>
              <w:keepNext/>
            </w:pPr>
            <w:r>
              <w:rPr>
                <w:sz w:val="13"/>
                <w:szCs w:val="13"/>
              </w:rPr>
              <w:t xml:space="preserve">0.863</w:t>
            </w:r>
          </w:p>
        </w:tc>
        <w:tc>
          <w:tcPr>
            <w:tcW w:type="dxa" w:w="1583"/>
          </w:tcPr>
          <w:p>
            <w:pPr>
              <w:pStyle w:val="Compact"/>
              <w:spacing w:before="20" w:after="20" w:line="240" w:lineRule="auto"/>
              <w:jc w:val="center"/>
              <w:keepNext/>
            </w:pPr>
            <w:r>
              <w:rPr>
                <w:sz w:val="13"/>
                <w:szCs w:val="13"/>
              </w:rPr>
              <w:t xml:space="preserve">0.090***</w:t>
            </w:r>
          </w:p>
        </w:tc>
      </w:tr>
      <w:tr>
        <w:trPr>
          <w:cantSplit/>
        </w:trPr>
        <w:tc>
          <w:tcPr>
            <w:tcW w:type="dxa" w:w="3302"/>
          </w:tcPr>
          <w:p>
            <w:pPr>
              <w:pStyle w:val="Compact"/>
              <w:spacing w:before="20" w:after="20" w:line="240" w:lineRule="auto"/>
              <w:keepNext/>
            </w:pPr>
            <w:r>
              <w:rPr>
                <w:sz w:val="13"/>
                <w:szCs w:val="13"/>
              </w:rPr>
              <w:t xml:space="preserve">핵심 기술을 24/08·24/80으로 한정</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14.474***</w:t>
            </w:r>
          </w:p>
        </w:tc>
        <w:tc>
          <w:tcPr>
            <w:tcW w:type="dxa" w:w="1295"/>
          </w:tcPr>
          <w:p>
            <w:pPr>
              <w:pStyle w:val="Compact"/>
              <w:spacing w:before="20" w:after="20" w:line="240" w:lineRule="auto"/>
              <w:jc w:val="center"/>
              <w:keepNext/>
            </w:pPr>
            <w:r>
              <w:rPr>
                <w:sz w:val="13"/>
                <w:szCs w:val="13"/>
              </w:rPr>
              <w:t xml:space="preserve">3.445***</w:t>
            </w:r>
          </w:p>
        </w:tc>
        <w:tc>
          <w:tcPr>
            <w:tcW w:type="dxa" w:w="1295"/>
          </w:tcPr>
          <w:p>
            <w:pPr>
              <w:pStyle w:val="Compact"/>
              <w:spacing w:before="20" w:after="20" w:line="240" w:lineRule="auto"/>
              <w:jc w:val="center"/>
              <w:keepNext/>
            </w:pPr>
            <w:r>
              <w:rPr>
                <w:sz w:val="13"/>
                <w:szCs w:val="13"/>
              </w:rPr>
              <w:t xml:space="preserve">0.732</w:t>
            </w:r>
          </w:p>
        </w:tc>
        <w:tc>
          <w:tcPr>
            <w:tcW w:type="dxa" w:w="1583"/>
          </w:tcPr>
          <w:p>
            <w:pPr>
              <w:pStyle w:val="Compact"/>
              <w:spacing w:before="20" w:after="20" w:line="240" w:lineRule="auto"/>
              <w:jc w:val="center"/>
              <w:keepNext/>
            </w:pPr>
            <w:r>
              <w:rPr>
                <w:sz w:val="13"/>
                <w:szCs w:val="13"/>
              </w:rPr>
              <w:t xml:space="preserve">0.051***</w:t>
            </w:r>
          </w:p>
        </w:tc>
      </w:tr>
    </w:tbl>
    <w:p>
      <w:pPr>
        <w:pStyle w:val="BodyText"/>
      </w:pPr>
      <w:r>
        <w:rPr>
          <w:i/>
          <w:iCs/>
        </w:rPr>
        <w:t xml:space="preserve">주:</w:t>
      </w:r>
      <w:r>
        <w:t xml:space="preserve"> </w:t>
      </w:r>
      <w:r>
        <w:t xml:space="preserve">좁은 전공정 정의에서는 조립 단계 공정 기호만 가진 출원을 조립 단독형으로 다시 분류하므로 표본 수는 같고 통합형이 338건이 된다. 제목에</w:t>
      </w:r>
      <w:r>
        <w:t xml:space="preserve"> </w:t>
      </w:r>
      <w:r>
        <w:rPr>
          <w:i/>
          <w:iCs/>
        </w:rPr>
        <w:t xml:space="preserve">hybrid bonding</w:t>
      </w:r>
      <w:r>
        <w:t xml:space="preserve">이 있는 핵심 표본은 2020년 이전에 핵심 기술이 없는 접합 출원이 12건뿐이어서 추정하지 않았다.</w:t>
      </w:r>
    </w:p>
    <w:bookmarkEnd w:id="48"/>
    <w:bookmarkStart w:id="49" w:name="가설-판정"/>
    <w:p>
      <w:pPr>
        <w:pStyle w:val="Heading3"/>
      </w:pPr>
      <w:r>
        <w:t xml:space="preserve">5.5 가설 판정</w:t>
      </w:r>
    </w:p>
    <w:p>
      <w:pPr>
        <w:pStyle w:val="FirstParagraph"/>
      </w:pPr>
      <w:r>
        <w:t xml:space="preserve">표 13은 기준 모형(표 9, 표 10)과 제5.4절의 재추정 결과를 함께 고려한 가설 판정이다.</w:t>
      </w:r>
    </w:p>
    <w:p>
      <w:pPr>
        <w:pStyle w:val="BodyText"/>
        <w:keepNext/>
      </w:pPr>
      <w:r>
        <w:rPr>
          <w:b/>
          <w:bCs/>
        </w:rPr>
        <w:t xml:space="preserve">표 13.</w:t>
      </w:r>
      <w:r>
        <w:t xml:space="preserve"> </w:t>
      </w:r>
      <w:r>
        <w:t xml:space="preserve">가설과 결과 요약(* p &lt; 0.10, ** p &lt; 0.05, *** p &lt; 0.01; 95% CI는 로그 계수 ± 1.96 × 표준오차를 지수 변환한 값).</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587"/>
        <w:gridCol w:w="2641"/>
        <w:gridCol w:w="3492"/>
        <w:gridCol w:w="2348"/>
      </w:tblGrid>
      <w:tr>
        <w:trPr>
          <w:tblHeader w:val="on"/>
          <w:cantSplit/>
        </w:trPr>
        <w:tc>
          <w:tcPr>
            <w:tcW w:type="dxa" w:w="587"/>
            <w:tcBorders>
              <w:bottom w:val="single" w:sz="4" w:space="0" w:color="000000"/>
            </w:tcBorders>
          </w:tcPr>
          <w:p>
            <w:pPr>
              <w:pStyle w:val="Compact"/>
              <w:spacing w:before="20" w:after="20" w:line="240" w:lineRule="auto"/>
              <w:keepNext/>
            </w:pPr>
            <w:r>
              <w:rPr>
                <w:sz w:val="14"/>
                <w:szCs w:val="14"/>
              </w:rPr>
              <w:t xml:space="preserve">가설</w:t>
            </w:r>
          </w:p>
        </w:tc>
        <w:tc>
          <w:tcPr>
            <w:tcW w:type="dxa" w:w="2641"/>
            <w:tcBorders>
              <w:bottom w:val="single" w:sz="4" w:space="0" w:color="000000"/>
            </w:tcBorders>
          </w:tcPr>
          <w:p>
            <w:pPr>
              <w:pStyle w:val="Compact"/>
              <w:spacing w:before="20" w:after="20" w:line="240" w:lineRule="auto"/>
              <w:keepNext/>
            </w:pPr>
            <w:r>
              <w:rPr>
                <w:sz w:val="14"/>
                <w:szCs w:val="14"/>
              </w:rPr>
              <w:t xml:space="preserve">예측</w:t>
            </w:r>
          </w:p>
        </w:tc>
        <w:tc>
          <w:tcPr>
            <w:tcW w:type="dxa" w:w="3492"/>
            <w:tcBorders>
              <w:bottom w:val="single" w:sz="4" w:space="0" w:color="000000"/>
            </w:tcBorders>
          </w:tcPr>
          <w:p>
            <w:pPr>
              <w:pStyle w:val="Compact"/>
              <w:spacing w:before="20" w:after="20" w:line="240" w:lineRule="auto"/>
              <w:keepNext/>
            </w:pPr>
            <w:r>
              <w:rPr>
                <w:sz w:val="14"/>
                <w:szCs w:val="14"/>
              </w:rPr>
              <w:t xml:space="preserve">주요 증거</w:t>
            </w:r>
          </w:p>
        </w:tc>
        <w:tc>
          <w:tcPr>
            <w:tcW w:type="dxa" w:w="2348"/>
            <w:tcBorders>
              <w:bottom w:val="single" w:sz="4" w:space="0" w:color="000000"/>
            </w:tcBorders>
          </w:tcPr>
          <w:p>
            <w:pPr>
              <w:pStyle w:val="Compact"/>
              <w:spacing w:before="20" w:after="20" w:line="240" w:lineRule="auto"/>
              <w:keepNext/>
            </w:pPr>
            <w:r>
              <w:rPr>
                <w:sz w:val="14"/>
                <w:szCs w:val="14"/>
              </w:rPr>
              <w:t xml:space="preserve">판정</w:t>
            </w:r>
          </w:p>
        </w:tc>
      </w:tr>
      <w:tr>
        <w:trPr>
          <w:cantSplit/>
        </w:trPr>
        <w:tc>
          <w:tcPr>
            <w:tcW w:type="dxa" w:w="587"/>
          </w:tcPr>
          <w:p>
            <w:pPr>
              <w:pStyle w:val="Compact"/>
              <w:spacing w:before="20" w:after="20" w:line="240" w:lineRule="auto"/>
              <w:keepNext/>
            </w:pPr>
            <w:r>
              <w:rPr>
                <w:sz w:val="14"/>
                <w:szCs w:val="14"/>
              </w:rPr>
              <w:t xml:space="preserve">H1</w:t>
            </w:r>
          </w:p>
        </w:tc>
        <w:tc>
          <w:tcPr>
            <w:tcW w:type="dxa" w:w="2641"/>
          </w:tcPr>
          <w:p>
            <w:pPr>
              <w:pStyle w:val="Compact"/>
              <w:spacing w:before="20" w:after="20" w:line="240" w:lineRule="auto"/>
              <w:keepNext/>
            </w:pPr>
            <w:r>
              <w:rPr>
                <w:sz w:val="14"/>
                <w:szCs w:val="14"/>
              </w:rPr>
              <w:t xml:space="preserve">세부 기술이 다양할수록 통합형</w:t>
            </w:r>
          </w:p>
        </w:tc>
        <w:tc>
          <w:tcPr>
            <w:tcW w:type="dxa" w:w="3492"/>
          </w:tcPr>
          <w:p>
            <w:pPr>
              <w:pStyle w:val="Compact"/>
              <w:spacing w:before="20" w:after="20" w:line="240" w:lineRule="auto"/>
              <w:keepNext/>
            </w:pPr>
            <w:r>
              <w:rPr>
                <w:sz w:val="14"/>
                <w:szCs w:val="14"/>
              </w:rPr>
              <w:t xml:space="preserve">RRR 1.403***(95% CI 1.321–1.489; 표 9); 세 시기 모두 1.179–1.513***; 모든 재추정에서 1.295–1.485***(표 11)</w:t>
            </w:r>
          </w:p>
        </w:tc>
        <w:tc>
          <w:tcPr>
            <w:tcW w:type="dxa" w:w="2348"/>
          </w:tcPr>
          <w:p>
            <w:pPr>
              <w:pStyle w:val="Compact"/>
              <w:spacing w:before="20" w:after="20" w:line="240" w:lineRule="auto"/>
              <w:keepNext/>
            </w:pPr>
            <w:r>
              <w:rPr>
                <w:sz w:val="14"/>
                <w:szCs w:val="14"/>
              </w:rPr>
              <w:t xml:space="preserve">지지(구성적 연관)</w:t>
            </w:r>
          </w:p>
        </w:tc>
      </w:tr>
      <w:tr>
        <w:trPr>
          <w:cantSplit/>
        </w:trPr>
        <w:tc>
          <w:tcPr>
            <w:tcW w:type="dxa" w:w="587"/>
          </w:tcPr>
          <w:p>
            <w:pPr>
              <w:pStyle w:val="Compact"/>
              <w:spacing w:before="20" w:after="20" w:line="240" w:lineRule="auto"/>
              <w:keepNext/>
            </w:pPr>
            <w:r>
              <w:rPr>
                <w:sz w:val="14"/>
                <w:szCs w:val="14"/>
              </w:rPr>
              <w:t xml:space="preserve">H2</w:t>
            </w:r>
          </w:p>
        </w:tc>
        <w:tc>
          <w:tcPr>
            <w:tcW w:type="dxa" w:w="2641"/>
          </w:tcPr>
          <w:p>
            <w:pPr>
              <w:pStyle w:val="Compact"/>
              <w:spacing w:before="20" w:after="20" w:line="240" w:lineRule="auto"/>
              <w:keepNext/>
            </w:pPr>
            <w:r>
              <w:rPr>
                <w:sz w:val="14"/>
                <w:szCs w:val="14"/>
              </w:rPr>
              <w:t xml:space="preserve">최근 출원일수록 공정 단독형이 드묾</w:t>
            </w:r>
          </w:p>
        </w:tc>
        <w:tc>
          <w:tcPr>
            <w:tcW w:type="dxa" w:w="3492"/>
          </w:tcPr>
          <w:p>
            <w:pPr>
              <w:pStyle w:val="Compact"/>
              <w:spacing w:before="20" w:after="20" w:line="240" w:lineRule="auto"/>
              <w:keepNext/>
            </w:pPr>
            <w:r>
              <w:rPr>
                <w:sz w:val="14"/>
                <w:szCs w:val="14"/>
              </w:rPr>
              <w:t xml:space="preserve">RRR 0.913***(95% CI 0.887–0.940; 표 9); 기간 더미 0.273***/0.101***; 재추정에서 0.820–0.935***(표 11); 다만 2015년 이전 출원이 30건뿐인 핵심 표본에서는 시간 추세가 식별되지 않음</w:t>
            </w:r>
          </w:p>
        </w:tc>
        <w:tc>
          <w:tcPr>
            <w:tcW w:type="dxa" w:w="2348"/>
          </w:tcPr>
          <w:p>
            <w:pPr>
              <w:pStyle w:val="Compact"/>
              <w:spacing w:before="20" w:after="20" w:line="240" w:lineRule="auto"/>
              <w:keepNext/>
            </w:pPr>
            <w:r>
              <w:rPr>
                <w:sz w:val="14"/>
                <w:szCs w:val="14"/>
              </w:rPr>
              <w:t xml:space="preserve">지지</w:t>
            </w:r>
          </w:p>
        </w:tc>
      </w:tr>
      <w:tr>
        <w:trPr>
          <w:cantSplit/>
        </w:trPr>
        <w:tc>
          <w:tcPr>
            <w:tcW w:type="dxa" w:w="587"/>
          </w:tcPr>
          <w:p>
            <w:pPr>
              <w:pStyle w:val="Compact"/>
              <w:spacing w:before="20" w:after="20" w:line="240" w:lineRule="auto"/>
              <w:keepNext/>
            </w:pPr>
            <w:r>
              <w:rPr>
                <w:sz w:val="14"/>
                <w:szCs w:val="14"/>
              </w:rPr>
              <w:t xml:space="preserve">H3</w:t>
            </w:r>
          </w:p>
        </w:tc>
        <w:tc>
          <w:tcPr>
            <w:tcW w:type="dxa" w:w="2641"/>
          </w:tcPr>
          <w:p>
            <w:pPr>
              <w:pStyle w:val="Compact"/>
              <w:spacing w:before="20" w:after="20" w:line="240" w:lineRule="auto"/>
              <w:keepNext/>
            </w:pPr>
            <w:r>
              <w:rPr>
                <w:sz w:val="14"/>
                <w:szCs w:val="14"/>
              </w:rPr>
              <w:t xml:space="preserve">핵심 기술을 담은 출원은 통합형이 많지만 그 차이는 최근일수록 줄어듦</w:t>
            </w:r>
          </w:p>
        </w:tc>
        <w:tc>
          <w:tcPr>
            <w:tcW w:type="dxa" w:w="3492"/>
          </w:tcPr>
          <w:p>
            <w:pPr>
              <w:pStyle w:val="Compact"/>
              <w:spacing w:before="20" w:after="20" w:line="240" w:lineRule="auto"/>
              <w:keepNext/>
            </w:pPr>
            <w:r>
              <w:rPr>
                <w:sz w:val="14"/>
                <w:szCs w:val="14"/>
              </w:rPr>
              <w:t xml:space="preserve">핵심 기술의 승산비 2014년 이전 11.071***(95% CI 4.211–29.107), 2015–2019년 2.452**, 2020–2024년 0.658(비유의; 표 10); 2020–2024년 상호작용 0.059***; 모든 재추정에서 상호작용 0.050–0.185(5% 수준 이하 유의; 표 12)</w:t>
            </w:r>
          </w:p>
        </w:tc>
        <w:tc>
          <w:tcPr>
            <w:tcW w:type="dxa" w:w="2348"/>
          </w:tcPr>
          <w:p>
            <w:pPr>
              <w:pStyle w:val="Compact"/>
              <w:spacing w:before="20" w:after="20" w:line="240" w:lineRule="auto"/>
              <w:keepNext/>
            </w:pPr>
            <w:r>
              <w:rPr>
                <w:sz w:val="14"/>
                <w:szCs w:val="14"/>
              </w:rPr>
              <w:t xml:space="preserve">지지</w:t>
            </w:r>
          </w:p>
        </w:tc>
      </w:tr>
    </w:tbl>
    <w:bookmarkEnd w:id="49"/>
    <w:bookmarkEnd w:id="50"/>
    <w:bookmarkStart w:id="54" w:name="논의"/>
    <w:p>
      <w:pPr>
        <w:pStyle w:val="Heading2"/>
      </w:pPr>
      <w:r>
        <w:t xml:space="preserve">6. 논의</w:t>
      </w:r>
    </w:p>
    <w:bookmarkStart w:id="51" w:name="이론적-함의"/>
    <w:p>
      <w:pPr>
        <w:pStyle w:val="Heading3"/>
      </w:pPr>
      <w:r>
        <w:t xml:space="preserve">6.1 이론적 함의</w:t>
      </w:r>
    </w:p>
    <w:p>
      <w:pPr>
        <w:pStyle w:val="FirstParagraph"/>
      </w:pPr>
      <w:r>
        <w:rPr>
          <w:b/>
          <w:bCs/>
        </w:rPr>
        <w:t xml:space="preserve">세 국면으로 전개된 공정 간 융합.</w:t>
      </w:r>
      <w:r>
        <w:t xml:space="preserve"> </w:t>
      </w:r>
      <w:r>
        <w:t xml:space="preserve">이 논문의 결과를 시간 순서로 엮으면 표 14와 같다. 융합을 단순하게 생각하면 경계를 넘는 특허의 비중이 시간이 갈수록 계속 늘 것으로 기대하게 된다. 결과는 그렇지 않았다. 형성기(2014년 이전)에는 평탄화, 표면 활성화, 웨이퍼 접합 같은 제조공정 발명이 홀로 나오는 경우가 가장 많았고(공정 단독형 43.6%), 접합의 핵심을 다루는 발명은 대부분 제조공정 지식을 함께 담았다(핵심 기술의 승산비 11.071). 확산기(2015–2019년)에는 공정 발명이 홀로 분류되기보다 접합 기술과 함께 분류되면서 통합형이 62.2%로 정점에 이르렀다. 재편기(2020–2024년)에는 통합형이 44.3%로 낮아지고 조립 단독형이 45.4%로 늘었다. 이 시기에 핵심 기술을 담은 출원은 그렇지 않은 출원보다 더 자주 경계를 넘지 않았고(승산비 0.658), 제조공정과의 결합은 임시 지지 기판과 봉지 같은 다이 취급 공정에서 나타났다. 핵심 기술이 없는 접합 출원의 통합형 비중은 오히려 27.7%에서 56.9%로 높아졌다. 출원당 기호 수도 같은 방향이다. 접합 계열(H01L24) 기호는 2014년 이전 3.03개에서 2015–2019년 4.73개로 늘었다가 2020–2024년 3.91개로 줄었고, 제조공정 계열(H01L21) 기호는 2.12개와 2.23개에서 1.46개로 줄었다.</w:t>
      </w:r>
    </w:p>
    <w:p>
      <w:pPr>
        <w:pStyle w:val="BodyText"/>
        <w:keepNext/>
      </w:pPr>
      <w:r>
        <w:rPr>
          <w:b/>
          <w:bCs/>
        </w:rPr>
        <w:t xml:space="preserve">표 14.</w:t>
      </w:r>
      <w:r>
        <w:t xml:space="preserve"> </w:t>
      </w:r>
      <w:r>
        <w:t xml:space="preserve">하이브리드 본딩에서 공정단계 간 융합의 세 국면(유형 비중은 표 7, 핵심 기술은 표 10과 제4.4절).</w:t>
      </w:r>
    </w:p>
    <w:tbl>
      <w:tblPr>
        <w:tblStyle w:val="Table"/>
        <w:tblW w:type="dxa" w:w="9073"/>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08"/>
        <w:gridCol w:w="824"/>
        <w:gridCol w:w="824"/>
        <w:gridCol w:w="824"/>
        <w:gridCol w:w="1514"/>
        <w:gridCol w:w="1055"/>
        <w:gridCol w:w="2324"/>
      </w:tblGrid>
      <w:tr>
        <w:trPr>
          <w:tblHeader w:val="on"/>
          <w:cantSplit/>
        </w:trPr>
        <w:tc>
          <w:tcPr>
            <w:tcW w:type="dxa" w:w="1708"/>
            <w:tcBorders>
              <w:bottom w:val="single" w:sz="4" w:space="0" w:color="000000"/>
            </w:tcBorders>
          </w:tcPr>
          <w:p>
            <w:pPr>
              <w:pStyle w:val="Compact"/>
              <w:spacing w:before="20" w:after="20" w:line="240" w:lineRule="auto"/>
              <w:keepNext/>
            </w:pPr>
            <w:r>
              <w:rPr>
                <w:sz w:val="13"/>
                <w:szCs w:val="13"/>
              </w:rPr>
              <w:t xml:space="preserve">국면(시기)</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통합형(%)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공정 단독형(%)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조립 단독형(%)</w:t>
            </w:r>
          </w:p>
        </w:tc>
        <w:tc>
          <w:tcPr>
            <w:tcW w:type="dxa" w:w="1514"/>
            <w:tcBorders>
              <w:bottom w:val="single" w:sz="4" w:space="0" w:color="000000"/>
            </w:tcBorders>
          </w:tcPr>
          <w:p>
            <w:pPr>
              <w:pStyle w:val="Compact"/>
              <w:spacing w:before="20" w:after="20" w:line="240" w:lineRule="auto"/>
              <w:jc w:val="right"/>
              <w:keepNext/>
            </w:pPr>
            <w:r>
              <w:rPr>
                <w:sz w:val="13"/>
                <w:szCs w:val="13"/>
              </w:rPr>
              <w:t xml:space="preserve">핵심 기술 비중(접합 출원, %)</w:t>
            </w:r>
          </w:p>
        </w:tc>
        <w:tc>
          <w:tcPr>
            <w:tcW w:type="dxa" w:w="1055"/>
            <w:tcBorders>
              <w:bottom w:val="single" w:sz="4" w:space="0" w:color="000000"/>
            </w:tcBorders>
          </w:tcPr>
          <w:p>
            <w:pPr>
              <w:pStyle w:val="Compact"/>
              <w:spacing w:before="20" w:after="20" w:line="240" w:lineRule="auto"/>
              <w:jc w:val="center"/>
              <w:keepNext/>
            </w:pPr>
            <w:r>
              <w:rPr>
                <w:sz w:val="13"/>
                <w:szCs w:val="13"/>
              </w:rPr>
              <w:t xml:space="preserve">핵심 기술의 승산비</w:t>
            </w:r>
          </w:p>
        </w:tc>
        <w:tc>
          <w:tcPr>
            <w:tcW w:type="dxa" w:w="2324"/>
            <w:tcBorders>
              <w:bottom w:val="single" w:sz="4" w:space="0" w:color="000000"/>
            </w:tcBorders>
          </w:tcPr>
          <w:p>
            <w:pPr>
              <w:pStyle w:val="Compact"/>
              <w:spacing w:before="20" w:after="20" w:line="240" w:lineRule="auto"/>
              <w:keepNext/>
            </w:pPr>
            <w:r>
              <w:rPr>
                <w:sz w:val="13"/>
                <w:szCs w:val="13"/>
              </w:rPr>
              <w:t xml:space="preserve">핵심 기술과 결합한 주요 제조공정</w:t>
            </w:r>
          </w:p>
        </w:tc>
      </w:tr>
      <w:tr>
        <w:trPr>
          <w:cantSplit/>
        </w:trPr>
        <w:tc>
          <w:tcPr>
            <w:tcW w:type="dxa" w:w="1708"/>
          </w:tcPr>
          <w:p>
            <w:pPr>
              <w:pStyle w:val="Compact"/>
              <w:spacing w:before="20" w:after="20" w:line="240" w:lineRule="auto"/>
              <w:keepNext/>
            </w:pPr>
            <w:r>
              <w:rPr>
                <w:sz w:val="13"/>
                <w:szCs w:val="13"/>
              </w:rPr>
              <w:t xml:space="preserve">형성기(–2014)</w:t>
            </w:r>
          </w:p>
        </w:tc>
        <w:tc>
          <w:tcPr>
            <w:tcW w:type="dxa" w:w="824"/>
          </w:tcPr>
          <w:p>
            <w:pPr>
              <w:pStyle w:val="Compact"/>
              <w:spacing w:before="20" w:after="20" w:line="240" w:lineRule="auto"/>
              <w:jc w:val="right"/>
              <w:keepNext/>
            </w:pPr>
            <w:r>
              <w:rPr>
                <w:sz w:val="13"/>
                <w:szCs w:val="13"/>
              </w:rPr>
              <w:t xml:space="preserve">31.3</w:t>
            </w:r>
          </w:p>
        </w:tc>
        <w:tc>
          <w:tcPr>
            <w:tcW w:type="dxa" w:w="824"/>
          </w:tcPr>
          <w:p>
            <w:pPr>
              <w:pStyle w:val="Compact"/>
              <w:spacing w:before="20" w:after="20" w:line="240" w:lineRule="auto"/>
              <w:jc w:val="right"/>
              <w:keepNext/>
            </w:pPr>
            <w:r>
              <w:rPr>
                <w:sz w:val="13"/>
                <w:szCs w:val="13"/>
              </w:rPr>
              <w:t xml:space="preserve">43.6</w:t>
            </w:r>
          </w:p>
        </w:tc>
        <w:tc>
          <w:tcPr>
            <w:tcW w:type="dxa" w:w="824"/>
          </w:tcPr>
          <w:p>
            <w:pPr>
              <w:pStyle w:val="Compact"/>
              <w:spacing w:before="20" w:after="20" w:line="240" w:lineRule="auto"/>
              <w:jc w:val="right"/>
              <w:keepNext/>
            </w:pPr>
            <w:r>
              <w:rPr>
                <w:sz w:val="13"/>
                <w:szCs w:val="13"/>
              </w:rPr>
              <w:t xml:space="preserve">25.1</w:t>
            </w:r>
          </w:p>
        </w:tc>
        <w:tc>
          <w:tcPr>
            <w:tcW w:type="dxa" w:w="1514"/>
          </w:tcPr>
          <w:p>
            <w:pPr>
              <w:pStyle w:val="Compact"/>
              <w:spacing w:before="20" w:after="20" w:line="240" w:lineRule="auto"/>
              <w:jc w:val="right"/>
              <w:keepNext/>
            </w:pPr>
            <w:r>
              <w:rPr>
                <w:sz w:val="13"/>
                <w:szCs w:val="13"/>
              </w:rPr>
              <w:t xml:space="preserve">53.5</w:t>
            </w:r>
          </w:p>
        </w:tc>
        <w:tc>
          <w:tcPr>
            <w:tcW w:type="dxa" w:w="1055"/>
          </w:tcPr>
          <w:p>
            <w:pPr>
              <w:pStyle w:val="Compact"/>
              <w:spacing w:before="20" w:after="20" w:line="240" w:lineRule="auto"/>
              <w:jc w:val="center"/>
              <w:keepNext/>
            </w:pPr>
            <w:r>
              <w:rPr>
                <w:sz w:val="13"/>
                <w:szCs w:val="13"/>
              </w:rPr>
              <w:t xml:space="preserve">11.071***</w:t>
            </w:r>
          </w:p>
        </w:tc>
        <w:tc>
          <w:tcPr>
            <w:tcW w:type="dxa" w:w="2324"/>
          </w:tcPr>
          <w:p>
            <w:pPr>
              <w:pStyle w:val="Compact"/>
              <w:spacing w:before="20" w:after="20" w:line="240" w:lineRule="auto"/>
              <w:keepNext/>
            </w:pPr>
            <w:r>
              <w:rPr>
                <w:sz w:val="13"/>
                <w:szCs w:val="13"/>
              </w:rPr>
              <w:t xml:space="preserve">패키지 부품 제조(21/48)</w:t>
            </w:r>
          </w:p>
        </w:tc>
      </w:tr>
      <w:tr>
        <w:trPr>
          <w:cantSplit/>
        </w:trPr>
        <w:tc>
          <w:tcPr>
            <w:tcW w:type="dxa" w:w="1708"/>
          </w:tcPr>
          <w:p>
            <w:pPr>
              <w:pStyle w:val="Compact"/>
              <w:spacing w:before="20" w:after="20" w:line="240" w:lineRule="auto"/>
              <w:keepNext/>
            </w:pPr>
            <w:r>
              <w:rPr>
                <w:sz w:val="13"/>
                <w:szCs w:val="13"/>
              </w:rPr>
              <w:t xml:space="preserve">확산기(2015–2019)</w:t>
            </w:r>
          </w:p>
        </w:tc>
        <w:tc>
          <w:tcPr>
            <w:tcW w:type="dxa" w:w="824"/>
          </w:tcPr>
          <w:p>
            <w:pPr>
              <w:pStyle w:val="Compact"/>
              <w:spacing w:before="20" w:after="20" w:line="240" w:lineRule="auto"/>
              <w:jc w:val="right"/>
              <w:keepNext/>
            </w:pPr>
            <w:r>
              <w:rPr>
                <w:sz w:val="13"/>
                <w:szCs w:val="13"/>
              </w:rPr>
              <w:t xml:space="preserve">62.2</w:t>
            </w:r>
          </w:p>
        </w:tc>
        <w:tc>
          <w:tcPr>
            <w:tcW w:type="dxa" w:w="824"/>
          </w:tcPr>
          <w:p>
            <w:pPr>
              <w:pStyle w:val="Compact"/>
              <w:spacing w:before="20" w:after="20" w:line="240" w:lineRule="auto"/>
              <w:jc w:val="right"/>
              <w:keepNext/>
            </w:pPr>
            <w:r>
              <w:rPr>
                <w:sz w:val="13"/>
                <w:szCs w:val="13"/>
              </w:rPr>
              <w:t xml:space="preserve">14.8</w:t>
            </w:r>
          </w:p>
        </w:tc>
        <w:tc>
          <w:tcPr>
            <w:tcW w:type="dxa" w:w="824"/>
          </w:tcPr>
          <w:p>
            <w:pPr>
              <w:pStyle w:val="Compact"/>
              <w:spacing w:before="20" w:after="20" w:line="240" w:lineRule="auto"/>
              <w:jc w:val="right"/>
              <w:keepNext/>
            </w:pPr>
            <w:r>
              <w:rPr>
                <w:sz w:val="13"/>
                <w:szCs w:val="13"/>
              </w:rPr>
              <w:t xml:space="preserve">23.0</w:t>
            </w:r>
          </w:p>
        </w:tc>
        <w:tc>
          <w:tcPr>
            <w:tcW w:type="dxa" w:w="1514"/>
          </w:tcPr>
          <w:p>
            <w:pPr>
              <w:pStyle w:val="Compact"/>
              <w:spacing w:before="20" w:after="20" w:line="240" w:lineRule="auto"/>
              <w:jc w:val="right"/>
              <w:keepNext/>
            </w:pPr>
            <w:r>
              <w:rPr>
                <w:sz w:val="13"/>
                <w:szCs w:val="13"/>
              </w:rPr>
              <w:t xml:space="preserve">78.7</w:t>
            </w:r>
          </w:p>
        </w:tc>
        <w:tc>
          <w:tcPr>
            <w:tcW w:type="dxa" w:w="1055"/>
          </w:tcPr>
          <w:p>
            <w:pPr>
              <w:pStyle w:val="Compact"/>
              <w:spacing w:before="20" w:after="20" w:line="240" w:lineRule="auto"/>
              <w:jc w:val="center"/>
              <w:keepNext/>
            </w:pPr>
            <w:r>
              <w:rPr>
                <w:sz w:val="13"/>
                <w:szCs w:val="13"/>
              </w:rPr>
              <w:t xml:space="preserve">2.452**</w:t>
            </w:r>
          </w:p>
        </w:tc>
        <w:tc>
          <w:tcPr>
            <w:tcW w:type="dxa" w:w="2324"/>
          </w:tcPr>
          <w:p>
            <w:pPr>
              <w:pStyle w:val="Compact"/>
              <w:spacing w:before="20" w:after="20" w:line="240" w:lineRule="auto"/>
              <w:keepNext/>
            </w:pPr>
            <w:r>
              <w:rPr>
                <w:sz w:val="13"/>
                <w:szCs w:val="13"/>
              </w:rPr>
              <w:t xml:space="preserve">반도체 몸체끼리의 접합(21/187), 기판 관통 배선(21/76898)</w:t>
            </w:r>
          </w:p>
        </w:tc>
      </w:tr>
      <w:tr>
        <w:trPr>
          <w:cantSplit/>
        </w:trPr>
        <w:tc>
          <w:tcPr>
            <w:tcW w:type="dxa" w:w="1708"/>
          </w:tcPr>
          <w:p>
            <w:pPr>
              <w:pStyle w:val="Compact"/>
              <w:spacing w:before="20" w:after="20" w:line="240" w:lineRule="auto"/>
              <w:keepNext/>
            </w:pPr>
            <w:r>
              <w:rPr>
                <w:sz w:val="13"/>
                <w:szCs w:val="13"/>
              </w:rPr>
              <w:t xml:space="preserve">재편기(2020–2024)</w:t>
            </w:r>
          </w:p>
        </w:tc>
        <w:tc>
          <w:tcPr>
            <w:tcW w:type="dxa" w:w="824"/>
          </w:tcPr>
          <w:p>
            <w:pPr>
              <w:pStyle w:val="Compact"/>
              <w:spacing w:before="20" w:after="20" w:line="240" w:lineRule="auto"/>
              <w:jc w:val="right"/>
              <w:keepNext/>
            </w:pPr>
            <w:r>
              <w:rPr>
                <w:sz w:val="13"/>
                <w:szCs w:val="13"/>
              </w:rPr>
              <w:t xml:space="preserve">44.3</w:t>
            </w:r>
          </w:p>
        </w:tc>
        <w:tc>
          <w:tcPr>
            <w:tcW w:type="dxa" w:w="824"/>
          </w:tcPr>
          <w:p>
            <w:pPr>
              <w:pStyle w:val="Compact"/>
              <w:spacing w:before="20" w:after="20" w:line="240" w:lineRule="auto"/>
              <w:jc w:val="right"/>
              <w:keepNext/>
            </w:pPr>
            <w:r>
              <w:rPr>
                <w:sz w:val="13"/>
                <w:szCs w:val="13"/>
              </w:rPr>
              <w:t xml:space="preserve">10.4</w:t>
            </w:r>
          </w:p>
        </w:tc>
        <w:tc>
          <w:tcPr>
            <w:tcW w:type="dxa" w:w="824"/>
          </w:tcPr>
          <w:p>
            <w:pPr>
              <w:pStyle w:val="Compact"/>
              <w:spacing w:before="20" w:after="20" w:line="240" w:lineRule="auto"/>
              <w:jc w:val="right"/>
              <w:keepNext/>
            </w:pPr>
            <w:r>
              <w:rPr>
                <w:sz w:val="13"/>
                <w:szCs w:val="13"/>
              </w:rPr>
              <w:t xml:space="preserve">45.4</w:t>
            </w:r>
          </w:p>
        </w:tc>
        <w:tc>
          <w:tcPr>
            <w:tcW w:type="dxa" w:w="1514"/>
          </w:tcPr>
          <w:p>
            <w:pPr>
              <w:pStyle w:val="Compact"/>
              <w:spacing w:before="20" w:after="20" w:line="240" w:lineRule="auto"/>
              <w:jc w:val="right"/>
              <w:keepNext/>
            </w:pPr>
            <w:r>
              <w:rPr>
                <w:sz w:val="13"/>
                <w:szCs w:val="13"/>
              </w:rPr>
              <w:t xml:space="preserve">88.0</w:t>
            </w:r>
          </w:p>
        </w:tc>
        <w:tc>
          <w:tcPr>
            <w:tcW w:type="dxa" w:w="1055"/>
          </w:tcPr>
          <w:p>
            <w:pPr>
              <w:pStyle w:val="Compact"/>
              <w:spacing w:before="20" w:after="20" w:line="240" w:lineRule="auto"/>
              <w:jc w:val="center"/>
              <w:keepNext/>
            </w:pPr>
            <w:r>
              <w:rPr>
                <w:sz w:val="13"/>
                <w:szCs w:val="13"/>
              </w:rPr>
              <w:t xml:space="preserve">0.658</w:t>
            </w:r>
          </w:p>
        </w:tc>
        <w:tc>
          <w:tcPr>
            <w:tcW w:type="dxa" w:w="2324"/>
          </w:tcPr>
          <w:p>
            <w:pPr>
              <w:pStyle w:val="Compact"/>
              <w:spacing w:before="20" w:after="20" w:line="240" w:lineRule="auto"/>
              <w:keepNext/>
            </w:pPr>
            <w:r>
              <w:rPr>
                <w:sz w:val="13"/>
                <w:szCs w:val="13"/>
              </w:rPr>
              <w:t xml:space="preserve">임시 지지 기판을 이용한 취급(21/6835), 봉지 공정용 임시 기판(21/568)</w:t>
            </w:r>
          </w:p>
        </w:tc>
      </w:tr>
    </w:tbl>
    <w:p>
      <w:pPr>
        <w:pStyle w:val="BodyText"/>
      </w:pPr>
      <w:r>
        <w:rPr>
          <w:i/>
          <w:iCs/>
        </w:rPr>
        <w:t xml:space="preserve">주:</w:t>
      </w:r>
      <w:r>
        <w:t xml:space="preserve"> </w:t>
      </w:r>
      <w:r>
        <w:t xml:space="preserve">핵심 기술의 승산비는 핵심 기술을 담은 접합 출원이 통합형일 승산을 담지 않은 접합 출원과 비교한 값이다(** p &lt; 0.05, *** p &lt; 0.01). 주요 제조공정은 핵심 기술을 담은 통합형 출원에서 가장 흔한 H01L21 기호다.</w:t>
      </w:r>
    </w:p>
    <w:p>
      <w:pPr>
        <w:pStyle w:val="BodyText"/>
      </w:pPr>
      <w:r>
        <w:t xml:space="preserve">이 전개는 지배적 설계가 자리 잡으면 인터페이스가 굳고 이후의 혁신이 정해진 설계 안의 점진적 개선으로 바뀐다는 기술 순환 모형(Anderson and Tushman, 1990)과 맞는다. 접합 출원 가운데 핵심 기술을 담은 비중이 53.5%에서 88.0%로 높아진 것은 발명이 하나의 핵심 설계로 모여들었다는 뜻이고, 그 핵심을 다루는 발명이 더 이상 제조공정 지식을 따로 담지 않게 된 것은 핵심 요소의 설계가 굳으면 그와 얽힌 요소를 함께 바꿀 필요가 줄어든다는 Murmann과 Frenken(2006)의 논리와 통한다. 적용이 웨이퍼 단위에서 다이 단위 접합으로 넓어지고 HBM과 칩렛이 양산에 가까워지면서(Lau, 2021, 2022), 두 공정이 만나는 지점도 접합 원리에서 다이를 다루고 쌓는 공정으로 옮겨 간 것으로 읽힌다. 따라서 공정 단계 간 융합은 더 많은 특허가 경계를 넘는 방식으로 쌓인 것이 아니라, 경계를 넘는 내용과 자리가 국면마다 바뀌는 방식으로 전개되었다. 이는 Hacklin et al.(2009)의 공진화 논리를 하나의 기술 안에서 관찰한 것에 해당한다.</w:t>
      </w:r>
    </w:p>
    <w:p>
      <w:pPr>
        <w:pStyle w:val="BodyText"/>
      </w:pPr>
      <w:r>
        <w:rPr>
          <w:b/>
          <w:bCs/>
        </w:rPr>
        <w:t xml:space="preserve">산업 안에서 일어나는 융합.</w:t>
      </w:r>
      <w:r>
        <w:t xml:space="preserve"> </w:t>
      </w:r>
      <w:r>
        <w:t xml:space="preserve">기존 문헌은 융합을 주로 산업과 산업, 기술 분야와 기술 분야 사이의 일로 다루어 왔다(Hacklin et al., 2010; Curran and Leker, 2011). 본 연구의 결과는 같은 개념이 한 산업을 가로지르는 경계, 곧 반도체 제조의 제조공정 영역과 접합 영역 사이에도 적용되며, 그 경계 넘기를 개별 특허에서 관찰할 수 있음을 보여준다. 하이브리드 본딩 관련 특허의 45.8%는 두 영역의 기호를 함께 가지며, 보수적 정의에서도 37.2%가 그렇다. Jacobides et al.(2006)의 말대로 산업 아키텍처가 분업의 틀이라면, 단계 사이의 인터페이스가 흔들릴 때 발명이 그 양쪽을 함께 담기 시작하는 것은 그 틀이 다시 짜이는 데 선행할 수 있는 기술적 상호의존의 확대이며, 본 연구는 이를 특허 공동분류로 포착한다. Kapoor(2013)가 보인 것이 분업 속에서도 조직적 통합이 이어졌다는 사실이라면, 본 연구에서 관찰된 것은 그 통합의 기술적 바탕, 곧 두 영역의 지식이 개별 발명 안에서 결합되고 있다는 사실이다. 융합의 단계 논리(Hacklin et al., 2010)에 따르면 기술의 결합이 조직의 결합에 앞서므로, 경계를 넘는 특허의 분포는 조직 경계의 변화에 앞서 나타나는 지표가 될 수 있다는 가설을 후속 연구에 남긴다.</w:t>
      </w:r>
    </w:p>
    <w:p>
      <w:pPr>
        <w:pStyle w:val="BodyText"/>
      </w:pPr>
      <w:r>
        <w:rPr>
          <w:b/>
          <w:bCs/>
        </w:rPr>
        <w:t xml:space="preserve">경계를 넘는 특허의 구성.</w:t>
      </w:r>
      <w:r>
        <w:t xml:space="preserve"> </w:t>
      </w:r>
      <w:r>
        <w:t xml:space="preserve">Kodama(1992)의 융합은 기업의 연구개발 조직 수준에서, 융합 지수는 분야 수준에서 정의되었다. 본 연구의 특허 수준 증거는 그 메커니즘을 개별 발명의 기술적 다양성에 놓는다. 더 많은 세부 기술에 걸치는 출원이 제조공정과 접합 기호를 함께 가지는 출원이고, 좁은 출원은 한 영역에 머문다. 이 연관은 형성기, 확산기, 재편기 모두에서 나타났으므로, 융합의 자리가 옮겨 가는 동안에도 경계를 넘는 특허의 구성은 같았다. 이는 범위가 가치를 지닌다는 Lerner(1994)의 발견, 잘게 나뉜 기술 시장에서 넓은 포트폴리오가 유리하다는 Ziedonis(2004)의 설명과 맞닿아 있다. 수율이 이웃 단계의 역량에 달린 기술에서 넓은 기술적 다양성은 보호 전략일 뿐 아니라 융합이 분류 속에서 취하는 형태다.</w:t>
      </w:r>
    </w:p>
    <w:p>
      <w:pPr>
        <w:pStyle w:val="BodyText"/>
      </w:pPr>
      <w:r>
        <w:rPr>
          <w:b/>
          <w:bCs/>
        </w:rPr>
        <w:t xml:space="preserve">산업 아키텍처와 인터페이스의 재안정.</w:t>
      </w:r>
      <w:r>
        <w:t xml:space="preserve"> </w:t>
      </w:r>
      <w:r>
        <w:t xml:space="preserve">제2.2절에서 보았듯이 공정 단계 사이의 인터페이스가 안정적일 때 전문화가 가능하다면(Jacobides et al., 2006), 형성기와 확산기의 융합은 인터페이스가 흔들린 흔적이고, 재편기에 핵심 기술이 접합 영역 안에서 기술되기 시작한 것은 그 인터페이스가 다시 안정되는 과정의 초기 신호일 수 있다. 그렇다면 핵심을 둘러싼 분업은 다시 짜일 여지가 있고, 융합의 압력은 다이 취급과 적층 같은 새 인터페이스로 옮겨 간다. 다만 이 해석에는 대안이 있다. 금속끼리와 절연막끼리의 직접 접합이 접합의 인덱싱 코드(H01L2224)로 기술되는 것처럼, 분류 체계와 심사 관행이 핵심 기술을 접합 클래스 안에서 기술하게 되었을 가능성이다. 이는 기술 지식이 체계화된 결과일 수도, 분류 관행만 바뀐 결과일 수도 있다. 최근 출원의 분류가 아직 끝나지 않았을 가능성까지 포함해, 본 연구의 자료로는 이 대안들을 배제하지 못한다.</w:t>
      </w:r>
    </w:p>
    <w:bookmarkEnd w:id="51"/>
    <w:bookmarkStart w:id="52" w:name="실무적정책적-함의"/>
    <w:p>
      <w:pPr>
        <w:pStyle w:val="Heading3"/>
      </w:pPr>
      <w:r>
        <w:t xml:space="preserve">6.2 실무적·정책적 함의</w:t>
      </w:r>
    </w:p>
    <w:p>
      <w:pPr>
        <w:pStyle w:val="FirstParagraph"/>
      </w:pPr>
      <w:r>
        <w:t xml:space="preserve">상당수 출원이 제조공정과 접합 기술을 함께 포함한다는 결과는, 하이브리드 본딩에서 접합 장비를 잘 다루는 것만으로는 충분하지 않고 표면 평탄화, 오염 제어, 표면 화학, 정렬까지 아우르는 인접 공정 지식이 중요해질 수 있음을 시사한다. KnowMade(2024)의 독립적 산업 분석이 파운드리, 종합반도체기업, 라이선싱 기업을 특허 활동을 주도하는 출원인으로 꼽는 것도 같은 방향이다. 제조공정과 접합 기술의 공동분류가 빈번하다는 사실은 두 공정 영역을 잇는 지식 범위가 하이브리드 본딩 관련 특허 활동에서 중요함을 보여주며, Kapoor와 Adner(2012)가 말한 지식 경계의 논리와도 통한다.</w:t>
      </w:r>
    </w:p>
    <w:p>
      <w:pPr>
        <w:pStyle w:val="BodyText"/>
      </w:pPr>
      <w:r>
        <w:t xml:space="preserve">재편기에 하이브리드 본딩의 핵심 원리를 담은 발명은 접합 영역 안에서 기술되고, 제조공정과의 결합은 임시 지지 기판, 봉지, 다이싱처럼 다이를 다루고 패키지로 만드는 공정에서 늘었다. 경쟁의 초점이 핵심 원리의 발명에서 그 원리를 다이 단위 공정과 결합하는 응용의 발명으로 옮겨 가고 있을 수 있다는 뜻이다. 차세대 HBM을 하이브리드 본딩에 기대고 있는 한국 메모리 산업에 이 결과가 던지는 시사점은, 패키징 경쟁력이 접합 원리 하나에 달려 있지 않을 수 있다는 점이다. 평탄화, 표면 화학, 정렬 계측 같은 제조공정 역량에 더해, 다이를 얇게 다루고 쌓는 공정까지 하나의 특허출원에서 통합적으로 보호하는 능력이 함께 필요할 수 있다.</w:t>
      </w:r>
    </w:p>
    <w:bookmarkEnd w:id="52"/>
    <w:bookmarkStart w:id="53" w:name="한계와-향후-연구"/>
    <w:p>
      <w:pPr>
        <w:pStyle w:val="Heading3"/>
      </w:pPr>
      <w:r>
        <w:t xml:space="preserve">6.3 한계와 향후 연구</w:t>
      </w:r>
    </w:p>
    <w:p>
      <w:pPr>
        <w:pStyle w:val="FirstParagraph"/>
      </w:pPr>
      <w:r>
        <w:t xml:space="preserve">본 연구의 한계는 여섯 가지로 정리된다. 첫째, 구성타당성이다. H01L21–H01L24 공동분류는 공정 단계 간 기술융합의 대리측정치이며, H01L21에는 조립 단계의 제조공정도 들어 있고, 기술범위는 유형과 같은 CPC 정보에서 만들어진다. 좁은 정의로도 회귀 결과는 유지되지만 통합형의 비중 같은 기술통계는 정의에 따라 달라진다. 둘째, 표본 선택이다. 제목 키워드 검색은 정밀하지만 제목에 관련어가 없는 출원을 놓치고,</w:t>
      </w:r>
      <w:r>
        <w:t xml:space="preserve"> </w:t>
      </w:r>
      <w:r>
        <w:rPr>
          <w:i/>
          <w:iCs/>
        </w:rPr>
        <w:t xml:space="preserve">direct bonding</w:t>
      </w:r>
      <w:r>
        <w:t xml:space="preserve">은 뜻이 넓어 무관한 용법 68건을 따로 걸러야 했다. 셋째, 관측단위와 중복이다. 분석단위는 출원이며 공식 패밀리 식별자가 없어 동일 제목으로 근사 조정했으므로, 관측치의 독립성은 완전히 보장되지 않는다. 넷째, 누락변수다. 출원인과 기업 유형, 국적, 응용처, 웨이퍼 단위와 다이 단위 접합의 구분이 자료에 없고, 두 클래스 밖의 CPC 기호는 회귀 자료에 없다. 기술 클러스터와 기술 네트워크 표의 인덱싱 코드는 같은 출원의 전체 CPC 기호를 따로 집계한 것이어서, 핵심 기술 변수는 회귀 자료에 있는 접합 기호 네 개로만 정의했다. 핵심 기술의 경계도 출원 200건이라는 기준에 기댄다. 다만 가장 강한 쌍(24/08, 24/80)으로 좁혀도 결과는 같았다. PATSTAT의 출원인 정보와 정식 패밀리 식별자, 전체 CPC 기호를 결합하는 것이 다음 단계다. 다섯째, 시간과 공개 시차다. 초기 출원은 드물고, 연도 효과는 선형으로 가정했으며, 2023–2024년 출원은 불완전하게 관측된다. 또한 CPC는 주기적으로 개정되며 과거 출원도 소급 재분류될 수 있다. 본 연구는 사용된 PATSTAT 판본의 분류 스냅샷을 이용했으므로, 관찰된 시간 패턴의 일부는 기술 변화뿐 아니라 분류 관행의 변화도 반영할 수 있다. 여섯째, 인과성이다. 다양성과 유형은 함께 결정될 가능성이 높고 적절한 도구변수가 없으므로 인과관계는 주장하지 않으며, 출원청은 통제변수로만 넣었다. H3의 시기 구분도 지배적 설계의 형성 시점을 직접 잰 것이 아니라 출원 시기로 근사한 것이다. 끝으로 융합의 신호로 쓴 CPC 공동분류는 재현 가능하지만 발명보다 늦게 부여된다. 텍스트 기반 방법(Preschitschek et al., 2013; Zhu and Motohashi, 2022)은 더 이른 탐지가 가능하지만 학습된 모형에 의존한다. H01L21과 H01L24의 경계가 제도적으로 명확한 본 연구에서는 재현가능성을 택했다.</w:t>
      </w:r>
    </w:p>
    <w:p>
      <w:pPr>
        <w:pStyle w:val="BodyText"/>
      </w:pPr>
      <w:r>
        <w:t xml:space="preserve">본 연구의 설계는 다른 맥락에도 그대로 적용할 수 있다. 디스플레이의 첨단 리소그래피, 배터리의 셀-투-팩 통합, 항공우주 조립의 적층제조처럼 하류 단계가 상류 역량에 의존하기 시작한 공정기술은 모두 같은 두 클래스 규칙과 이산선택 모형으로 살필 수 있다. 여러 사례를 비교하면 여기서 본 재구성의 움직임이 일반적인지 알 수 있을 것이다. 또한 각 특허가 여러 기호의 집합이라는 점을 살려 고차 공출현을 보존하는 표현이나 일반성 지수(Petralia, 2020)를 쓰면, 하이브리드 본딩이 로직, 메모리, 이미지센서로 퍼져 가는 범용기술적 성격을 직접 검정할 수 있다.</w:t>
      </w:r>
    </w:p>
    <w:bookmarkEnd w:id="53"/>
    <w:bookmarkEnd w:id="54"/>
    <w:bookmarkStart w:id="55" w:name="결론"/>
    <w:p>
      <w:pPr>
        <w:pStyle w:val="Heading2"/>
      </w:pPr>
      <w:r>
        <w:t xml:space="preserve">7. 결론</w:t>
      </w:r>
    </w:p>
    <w:p>
      <w:pPr>
        <w:pStyle w:val="FirstParagraph"/>
      </w:pPr>
      <w:r>
        <w:t xml:space="preserve">기술융합은 그동안 주로 산업과 산업의 만남으로, 그리고 융합의 정도가 늘었는가의 문제로 연구되어 왔다. 본 연구는 융합이 한 산업의 공정 단계 사이에서도 일어나는지, 그리고 그 융합이 시간이 지나면서 어떤 양태로 전개되는지를 개별 출원 수준에서 물었다. 하이브리드 본딩 관련 출원 928건에 부여된 CPC 기호를 기준으로 각 출원을 조립 단독형, 공정 단독형, 통합형으로 나누고, 어떤 특허가 두 공정의 경계를 넘는지와 그 양상이 시기마다 어떻게 바뀌었는지를 추정하였다.</w:t>
      </w:r>
    </w:p>
    <w:p>
      <w:pPr>
        <w:pStyle w:val="BodyText"/>
      </w:pPr>
      <w:r>
        <w:t xml:space="preserve">결과는 세 가지로 요약된다. 첫째, 공정 단계 간 융합은 예외적인 현상이 아니다. 통합형은 45.8%로 가장 많은 유형이었고 보수적 정의로도 37.2%였으며, 세부 기술을 더 다양하게 담은 특허일수록 경계를 넘었다. 둘째, 융합은 세 국면을 거쳐 전개되었다. 형성기에는 제조공정 발명이 홀로 나오는 경우가 가장 많았고, 확산기에는 두 공정을 함께 담은 통합형이 62.2%로 정점에 이르렀으며, 재편기에는 통합형이 줄고 접합 기술만 담은 출원이 늘었다. 공정 단독형의 감소는 표본과 정의를 어떻게 바꾸어도 유지되어, 융합의 무게중심은 접합 쪽으로 옮겨 갔다. 셋째, 융합이 일어나는 자리가 옮겨 갔다. 기술 클러스터와 기술 네트워크로 찾은 핵심 기술을 담은 출원은 형성기에 제조공정 분류를 함께 가질 승산이 11.1배였지만, 그 차이는 재편기에 사라졌고, 그 대신 다이 취급 공정과의 결합이 늘었다. 이 감소는 모든 재추정에서 살아남았다.</w:t>
      </w:r>
    </w:p>
    <w:p>
      <w:pPr>
        <w:pStyle w:val="BodyText"/>
      </w:pPr>
      <w:r>
        <w:t xml:space="preserve">이 결과는 공정 단계 간 융합이 한 방향으로 쌓이는 과정이 아니라, 핵심 기술의 설계가 굳어 가면서 융합의 자리가 핵심에서 주변으로 옮겨 가는 과정이었음을 보여준다.</w:t>
      </w:r>
    </w:p>
    <w:p>
      <w:pPr>
        <w:pStyle w:val="BodyText"/>
      </w:pPr>
      <w:r>
        <w:t xml:space="preserve">본 연구의 핵심 기여는 새로운 융합지수를 제안한 데 있지 않다. 공동분류를 개별 특허의 유형으로 재구성하여 특허 수준의 이질성과 그 시간 변화를 추정할 수 있게 하고, 기술 클러스터와 기술 네트워크로 찾은 핵심 기술에 연결하여 융합의 내용과 자리가 국면마다 바뀌는 과정을 보인 데 있다. 이를 산업 내 공정 단계 간 융합이라는 새로운 사례에 적용하였다.</w:t>
      </w:r>
    </w:p>
    <w:p>
      <w:r>
        <w:pict>
          <v:rect style="width:0;height:1.5pt" o:hralign="center" o:hrstd="t" o:hr="t"/>
        </w:pict>
      </w:r>
    </w:p>
    <w:bookmarkEnd w:id="55"/>
    <w:bookmarkStart w:id="56" w:name="참고문헌-references"/>
    <w:p>
      <w:pPr>
        <w:pStyle w:val="Heading2"/>
      </w:pPr>
      <w:r>
        <w:t xml:space="preserve">참고문헌 (References)</w:t>
      </w:r>
    </w:p>
    <w:p>
      <w:pPr>
        <w:pStyle w:val="FirstParagraph"/>
      </w:pPr>
      <w:r>
        <w:t xml:space="preserve">Anderson, P., Tushman, M.L., 1990. Technological discontinuities and dominant designs: A cyclical model of technological change. Administrative Science Quarterly 35 (4), 604–633. https://doi.org/10.2307/2393511</w:t>
      </w:r>
    </w:p>
    <w:p>
      <w:pPr>
        <w:pStyle w:val="BodyText"/>
      </w:pPr>
      <w:r>
        <w:t xml:space="preserve">Applied Materials, 2025. Kinex die-to-wafer hybrid bonding system [Web page]. Applied Materials, Santa Clara, CA.</w:t>
      </w:r>
    </w:p>
    <w:p>
      <w:pPr>
        <w:pStyle w:val="BodyText"/>
      </w:pPr>
      <w:r>
        <w:t xml:space="preserve">Arden, W., Brillouët, M., Cogez, P., Graef, M., Huizing, B., Mahnkopf, R., 2010.</w:t>
      </w:r>
      <w:r>
        <w:t xml:space="preserve"> </w:t>
      </w:r>
      <w:r>
        <w:t xml:space="preserve">“More-than-Moore”</w:t>
      </w:r>
      <w:r>
        <w:t xml:space="preserve"> </w:t>
      </w:r>
      <w:r>
        <w:t xml:space="preserve">white paper. International Technology Roadmap for Semiconductors (ITRS).</w:t>
      </w:r>
    </w:p>
    <w:p>
      <w:pPr>
        <w:pStyle w:val="BodyText"/>
      </w:pPr>
      <w:r>
        <w:t xml:space="preserve">Breschi, S., Lissoni, F., Malerba, F., 2003. Knowledge-relatedness in firm technological diversification. Research Policy 32 (1), 69–87. https://doi.org/10.1016/S0048-7333(02)00004-5</w:t>
      </w:r>
    </w:p>
    <w:p>
      <w:pPr>
        <w:pStyle w:val="BodyText"/>
      </w:pPr>
      <w:r>
        <w:t xml:space="preserve">Brown, C., Linden, G., 2009. Chips and Change: How Crisis Reshapes the Semiconductor Industry. MIT Press, Cambridge, MA.</w:t>
      </w:r>
    </w:p>
    <w:p>
      <w:pPr>
        <w:pStyle w:val="BodyText"/>
      </w:pPr>
      <w:r>
        <w:t xml:space="preserve">Brusoni, S., Prencipe, A., Pavitt, K., 2001. Knowledge specialization, organizational coupling, and the boundaries of the firm: Why do firms know more than they make? Administrative Science Quarterly 46 (4), 597–621. https://doi.org/10.2307/3094825</w:t>
      </w:r>
    </w:p>
    <w:p>
      <w:pPr>
        <w:pStyle w:val="BodyText"/>
      </w:pPr>
      <w:r>
        <w:t xml:space="preserve">Bröring, S., Cloutier, L.M., Leker, J., 2006. The front end of innovation in an era of industry convergence: Evidence from nutraceuticals and functional foods. R&amp;D Management 36 (5), 487–498. https://doi.org/10.1111/j.1467-9310.2006.00449.x</w:t>
      </w:r>
    </w:p>
    <w:p>
      <w:pPr>
        <w:pStyle w:val="BodyText"/>
      </w:pPr>
      <w:r>
        <w:t xml:space="preserve">Caviggioli, F., 2016. Technology fusion: Identification and analysis of the drivers of technology convergence using patent data. Technovation 55–56, 22–32. https://doi.org/10.1016/j.technovation.2016.04.003</w:t>
      </w:r>
    </w:p>
    <w:p>
      <w:pPr>
        <w:pStyle w:val="BodyText"/>
      </w:pPr>
      <w:r>
        <w:t xml:space="preserve">Cho, Y., Kim, M., 2014. Entropy and gravity concepts as new methodological indexes to investigate technological convergence: Patent network-based approach. PLOS ONE 9 (6), e98009. https://doi.org/10.1371/journal.pone.0098009</w:t>
      </w:r>
    </w:p>
    <w:p>
      <w:pPr>
        <w:pStyle w:val="BodyText"/>
      </w:pPr>
      <w:r>
        <w:t xml:space="preserve">Curran, C.-S., Bröring, S., Leker, J., 2010. Anticipating converging industries using publicly available data. Technological Forecasting and Social Change 77 (3), 385–395. https://doi.org/10.1016/j.techfore.2009.10.002</w:t>
      </w:r>
    </w:p>
    <w:p>
      <w:pPr>
        <w:pStyle w:val="BodyText"/>
      </w:pPr>
      <w:r>
        <w:t xml:space="preserve">Curran, C.-S., Leker, J., 2011. Patent indicators for monitoring convergence – Examples from NFF and ICT. Technological Forecasting and Social Change 78 (2), 256–273. https://doi.org/10.1016/j.techfore.2010.06.021</w:t>
      </w:r>
    </w:p>
    <w:p>
      <w:pPr>
        <w:pStyle w:val="BodyText"/>
      </w:pPr>
      <w:r>
        <w:t xml:space="preserve">Deca Technologies, 2023. Conference presentation. 19th International Conference and Exhibition on Device Packaging (DPC 2023), International Microelectronics Assembly and Packaging Society (IMAPS).</w:t>
      </w:r>
    </w:p>
    <w:p>
      <w:pPr>
        <w:pStyle w:val="BodyText"/>
      </w:pPr>
      <w:r>
        <w:t xml:space="preserve">European Patent Office, 2025. PATSTAT Global (2025 edition) [Database]. EPO, Vienna.</w:t>
      </w:r>
    </w:p>
    <w:p>
      <w:pPr>
        <w:pStyle w:val="BodyText"/>
      </w:pPr>
      <w:r>
        <w:t xml:space="preserve">Gambardella, A., Torrisi, S., 1998. Does technological convergence imply convergence in markets? Evidence from the electronics industry. Research Policy 27 (5), 445–463. https://doi.org/10.1016/S0048-7333(98)00062-6</w:t>
      </w:r>
    </w:p>
    <w:p>
      <w:pPr>
        <w:pStyle w:val="BodyText"/>
      </w:pPr>
      <w:r>
        <w:t xml:space="preserve">Geum, Y., Kim, M.-S., Lee, S., 2016. How industrial convergence happens: A taxonomical approach based on empirical evidences. Technological Forecasting and Social Change 107, 112–120. https://doi.org/10.1016/j.techfore.2016.03.020</w:t>
      </w:r>
    </w:p>
    <w:p>
      <w:pPr>
        <w:pStyle w:val="BodyText"/>
      </w:pPr>
      <w:r>
        <w:t xml:space="preserve">Hacklin, F., Marxt, C., Fahrni, F., 2009. Coevolutionary cycles of convergence: An extrapolation from the ICT industry. Technological Forecasting and Social Change 76 (6), 723–736. https://doi.org/10.1016/j.techfore.2009.03.003</w:t>
      </w:r>
    </w:p>
    <w:p>
      <w:pPr>
        <w:pStyle w:val="BodyText"/>
      </w:pPr>
      <w:r>
        <w:t xml:space="preserve">Hacklin, F., Marxt, C., Fahrni, F., 2010. An evolutionary perspective on convergence: Inducing a stage model of inter-industry innovation. International Journal of Technology Management 49 (1–3), 220–249. https://doi.org/10.1504/IJTM.2010.029419</w:t>
      </w:r>
    </w:p>
    <w:p>
      <w:pPr>
        <w:pStyle w:val="BodyText"/>
      </w:pPr>
      <w:r>
        <w:t xml:space="preserve">Hall, B.H., Ziedonis, R.H., 2001. The patent paradox revisited: An empirical study of patenting in the U.S. semiconductor industry, 1979–1995. RAND Journal of Economics 32 (1), 101–128. https://doi.org/10.2307/2696400</w:t>
      </w:r>
    </w:p>
    <w:p>
      <w:pPr>
        <w:pStyle w:val="BodyText"/>
      </w:pPr>
      <w:r>
        <w:t xml:space="preserve">Hosmer, D.W., Lemeshow, S., Sturdivant, R.X., 2013. Applied Logistic Regression, 3rd ed. Wiley, Hoboken, NJ.</w:t>
      </w:r>
    </w:p>
    <w:p>
      <w:pPr>
        <w:pStyle w:val="BodyText"/>
      </w:pPr>
      <w:r>
        <w:t xml:space="preserve">Hwang, I., 2020. The effect of collaborative innovation on ICT-based technological convergence: A patent-based analysis. PLOS ONE 15 (2), e0228616. https://doi.org/10.1371/journal.pone.0228616</w:t>
      </w:r>
    </w:p>
    <w:p>
      <w:pPr>
        <w:pStyle w:val="BodyText"/>
      </w:pPr>
      <w:r>
        <w:t xml:space="preserve">Iyer, S.S., 2016. Heterogeneous integration for performance and scaling. IEEE Transactions on Components, Packaging and Manufacturing Technology 6 (7), 973–982. https://doi.org/10.1109/TCPMT.2015.2511626</w:t>
      </w:r>
    </w:p>
    <w:p>
      <w:pPr>
        <w:pStyle w:val="BodyText"/>
      </w:pPr>
      <w:r>
        <w:t xml:space="preserve">Jacobides, M.G., Knudsen, T., Augier, M., 2006. Benefiting from innovation: Value creation, value appropriation and the role of industry architectures. Research Policy 35 (8), 1200–1221. https://doi.org/10.1016/j.respol.2006.09.005</w:t>
      </w:r>
    </w:p>
    <w:p>
      <w:pPr>
        <w:pStyle w:val="BodyText"/>
      </w:pPr>
      <w:r>
        <w:t xml:space="preserve">Jeong, S., Kim, J.-C., Choi, J.Y., 2015. Technology convergence: What developmental stage are we in? Scientometrics 104 (3), 841–871. https://doi.org/10.1007/s11192-015-1606-6</w:t>
      </w:r>
    </w:p>
    <w:p>
      <w:pPr>
        <w:pStyle w:val="BodyText"/>
      </w:pPr>
      <w:r>
        <w:t xml:space="preserve">Kapoor, R., 2013. Persistence of integration in the face of specialization: How firms navigated the winds of disintegration and shaped the architecture of the semiconductor industry. Organization Science 24 (4), 1195–1213. https://doi.org/10.1287/orsc.1120.0802</w:t>
      </w:r>
    </w:p>
    <w:p>
      <w:pPr>
        <w:pStyle w:val="BodyText"/>
      </w:pPr>
      <w:r>
        <w:t xml:space="preserve">Kapoor, R., Adner, R., 2012. What firms make vs. what they know: How firms’ production and knowledge boundaries affect competitive advantage in the face of technological change. Organization Science 23 (5), 1227–1248. https://doi.org/10.1287/orsc.1110.0686</w:t>
      </w:r>
    </w:p>
    <w:p>
      <w:pPr>
        <w:pStyle w:val="BodyText"/>
      </w:pPr>
      <w:r>
        <w:t xml:space="preserve">Karvonen, M., Kässi, T., 2012. Industry convergence analysis with patent citations in changing value systems. International Journal of Business and Systems Research 6 (2), 150–175. https://doi.org/10.1504/IJBSR.2012.046353</w:t>
      </w:r>
    </w:p>
    <w:p>
      <w:pPr>
        <w:pStyle w:val="BodyText"/>
      </w:pPr>
      <w:r>
        <w:t xml:space="preserve">Khan, H.N., Hounshell, D.A., Fuchs, E.R.H., 2018. Science and research policy at the end of Moore’s law. Nature Electronics 1 (1), 14–21. https://doi.org/10.1038/s41928-017-0005-9</w:t>
      </w:r>
    </w:p>
    <w:p>
      <w:pPr>
        <w:pStyle w:val="BodyText"/>
      </w:pPr>
      <w:r>
        <w:t xml:space="preserve">KnowMade, 2024. Hybrid Bonding Patent Landscape Analysis 2024 [Industry report]. KnowMade (Yole Group), Sophia Antipolis. https://www.knowmade.com/patent-analytics-services/patent-report/semiconductor-patent-landscape/semiconductor-advanced-packaging-patent-landscape/hybrid-bonding-patent-landscape-analysis-2024/</w:t>
      </w:r>
    </w:p>
    <w:p>
      <w:pPr>
        <w:pStyle w:val="BodyText"/>
      </w:pPr>
      <w:r>
        <w:t xml:space="preserve">Kodama, F., 1992. Technology fusion and the new R&amp;D. Harvard Business Review 70 (4), 70–78.</w:t>
      </w:r>
    </w:p>
    <w:p>
      <w:pPr>
        <w:pStyle w:val="BodyText"/>
      </w:pPr>
      <w:r>
        <w:t xml:space="preserve">Kwon, O., An, Y., Kim, M., Lee, C., 2020. Anticipating technology-driven industry convergence: Evidence from large-scale patent analysis. Technology Analysis &amp; Strategic Management 32 (4), 363–378. https://doi.org/10.1080/09537325.2019.1661374</w:t>
      </w:r>
    </w:p>
    <w:p>
      <w:pPr>
        <w:pStyle w:val="BodyText"/>
      </w:pPr>
      <w:r>
        <w:t xml:space="preserve">Langlois, R.N., Steinmueller, W.E., 1999. The evolution of competitive advantage in the worldwide semiconductor industry, 1947–1996. In: Mowery, D.C., Nelson, R.R. (Eds.), Sources of Industrial Leadership: Studies of Seven Industries. Cambridge University Press, Cambridge, pp. 19–78.</w:t>
      </w:r>
    </w:p>
    <w:p>
      <w:pPr>
        <w:pStyle w:val="BodyText"/>
      </w:pPr>
      <w:r>
        <w:t xml:space="preserve">Lau, J.H., 2021. State-of-the-art and outlooks of chiplets heterogeneous integration and hybrid bonding. Journal of Microelectronics and Electronic Packaging 18 (4), 145–160. https://doi.org/10.4071/imaps.1542066</w:t>
      </w:r>
    </w:p>
    <w:p>
      <w:pPr>
        <w:pStyle w:val="BodyText"/>
      </w:pPr>
      <w:r>
        <w:t xml:space="preserve">Lau, J.H., 2022. Recent advances and trends in advanced packaging. IEEE Transactions on Components, Packaging and Manufacturing Technology 12 (2), 228–252. https://doi.org/10.1109/TCPMT.2022.3144461</w:t>
      </w:r>
    </w:p>
    <w:p>
      <w:pPr>
        <w:pStyle w:val="BodyText"/>
      </w:pPr>
      <w:r>
        <w:t xml:space="preserve">Lee, W.S., Han, E.J., Sohn, S.Y., 2015. Predicting the pattern of technology convergence using big-data technology on large-scale triadic patents. Technological Forecasting and Social Change 100, 317–329. https://doi.org/10.1016/j.techfore.2015.07.022</w:t>
      </w:r>
    </w:p>
    <w:p>
      <w:pPr>
        <w:pStyle w:val="BodyText"/>
      </w:pPr>
      <w:r>
        <w:t xml:space="preserve">Lerner, J., 1994. The importance of patent scope: An empirical analysis. RAND Journal of Economics 25 (2), 319–333. https://doi.org/10.2307/2555833</w:t>
      </w:r>
    </w:p>
    <w:p>
      <w:pPr>
        <w:pStyle w:val="BodyText"/>
      </w:pPr>
      <w:r>
        <w:t xml:space="preserve">Macher, J.T., Mowery, D.C., 2004. Vertical specialization and industry structure in high technology industries. In: Baum, J.A.C., McGahan, A.M. (Eds.), Business Strategy over the Industry Lifecycle. Advances in Strategic Management, vol. 21. Emerald, Bingley, pp. 317–355. https://doi.org/10.1016/S0742-3322(04)21011-7</w:t>
      </w:r>
    </w:p>
    <w:p>
      <w:pPr>
        <w:pStyle w:val="BodyText"/>
      </w:pPr>
      <w:r>
        <w:t xml:space="preserve">McFadden, D., 1974. Conditional logit analysis of qualitative choice behavior. In: Zarembka, P. (Ed.), Frontiers in Econometrics. Academic Press, New York, pp. 105–142.</w:t>
      </w:r>
    </w:p>
    <w:p>
      <w:pPr>
        <w:pStyle w:val="BodyText"/>
      </w:pPr>
      <w:r>
        <w:t xml:space="preserve">Murmann, J.P., Frenken, K., 2006. Toward a systematic framework for research on dominant designs, technological innovations, and industrial change. Research Policy 35 (7), 925–952. https://doi.org/10.1016/j.respol.2006.04.011</w:t>
      </w:r>
    </w:p>
    <w:p>
      <w:pPr>
        <w:pStyle w:val="BodyText"/>
      </w:pPr>
      <w:r>
        <w:t xml:space="preserve">No, H.J., Park, Y., 2010. Trajectory patterns of technology fusion: Trend analysis and taxonomical grouping in nanobiotechnology. Technological Forecasting and Social Change 77 (1), 63–75. https://doi.org/10.1016/j.techfore.2009.06.006</w:t>
      </w:r>
    </w:p>
    <w:p>
      <w:pPr>
        <w:pStyle w:val="BodyText"/>
      </w:pPr>
      <w:r>
        <w:t xml:space="preserve">Petralia, S., 2020. Mapping general purpose technologies with patent data. Research Policy 49 (7), 104013. https://doi.org/10.1016/j.respol.2020.104013</w:t>
      </w:r>
    </w:p>
    <w:p>
      <w:pPr>
        <w:pStyle w:val="BodyText"/>
      </w:pPr>
      <w:r>
        <w:t xml:space="preserve">Preschitschek, N., Niemann, H., Leker, J., Moehrle, M.G., 2013. Anticipating industry convergence: Semantic analyses vs IPC co-classification analyses of patents. Foresight 15 (6), 446–464. https://doi.org/10.1108/FS-10-2012-0075</w:t>
      </w:r>
    </w:p>
    <w:p>
      <w:pPr>
        <w:pStyle w:val="BodyText"/>
      </w:pPr>
      <w:r>
        <w:t xml:space="preserve">Rosenberg, N., 1963. Technological change in the machine tool industry, 1840–1910. Journal of Economic History 23 (4), 414–443. https://doi.org/10.1017/S0022050700109155</w:t>
      </w:r>
    </w:p>
    <w:p>
      <w:pPr>
        <w:pStyle w:val="BodyText"/>
      </w:pPr>
      <w:r>
        <w:t xml:space="preserve">Sick, N., Bröring, S., 2022. Exploring the research landscape of convergence from a TIM perspective: A review and research agenda. Technological Forecasting and Social Change 175, 121321. https://doi.org/10.1016/j.techfore.2021.121321</w:t>
      </w:r>
    </w:p>
    <w:p>
      <w:pPr>
        <w:pStyle w:val="BodyText"/>
      </w:pPr>
      <w:r>
        <w:t xml:space="preserve">Song, C.H., Elvers, D., Leker, J., 2017. Anticipation of converging technology areas — A refined approach for the identification of attractive fields of innovation. Technological Forecasting and Social Change 116, 98–115. https://doi.org/10.1016/j.techfore.2016.11.001</w:t>
      </w:r>
    </w:p>
    <w:p>
      <w:pPr>
        <w:pStyle w:val="BodyText"/>
      </w:pPr>
      <w:r>
        <w:t xml:space="preserve">Sternitzke, C., Bartkowski, A., Schramm, R., 2008. Visualizing patent statistics by means of social network analysis tools. World Patent Information 30 (2), 115–131. https://doi.org/10.1016/j.wpi.2007.08.003</w:t>
      </w:r>
    </w:p>
    <w:p>
      <w:pPr>
        <w:pStyle w:val="BodyText"/>
      </w:pPr>
      <w:r>
        <w:t xml:space="preserve">Zhu, C., Motohashi, K., 2022. Identifying the technology convergence using patent text information: A graph convolutional networks (GCN)-based approach. Technological Forecasting and Social Change 176, 121477. https://doi.org/10.1016/j.techfore.2022.121477</w:t>
      </w:r>
    </w:p>
    <w:p>
      <w:pPr>
        <w:pStyle w:val="BodyText"/>
      </w:pPr>
      <w:r>
        <w:t xml:space="preserve">Ziedonis, R.H., 2004. Don’t fence me in: Fragmented markets for technology and the patent acquisition strategies of firms. Management Science 50 (6), 804–820. https://doi.org/10.1287/mnsc.1040.0208</w:t>
      </w:r>
    </w:p>
    <w:p>
      <w:r>
        <w:pict>
          <v:rect style="width:0;height:1.5pt" o:hralign="center" o:hrstd="t" o:hr="t"/>
        </w:pict>
      </w:r>
    </w:p>
    <w:bookmarkEnd w:id="56"/>
    <w:bookmarkStart w:id="59" w:name="부록"/>
    <w:p>
      <w:pPr>
        <w:pStyle w:val="Heading2"/>
      </w:pPr>
      <w:r>
        <w:t xml:space="preserve">부록</w:t>
      </w:r>
    </w:p>
    <w:bookmarkStart w:id="57" w:name="부록-a.-재추정-결과-전체"/>
    <w:p>
      <w:pPr>
        <w:pStyle w:val="Heading3"/>
      </w:pPr>
      <w:r>
        <w:t xml:space="preserve">부록 A. 재추정 결과 전체</w:t>
      </w:r>
    </w:p>
    <w:p>
      <w:pPr>
        <w:pStyle w:val="FirstParagraph"/>
      </w:pPr>
      <w:r>
        <w:t xml:space="preserve">표 A1과 A2는 본문의 강건성 요약표(표 11)에 실은 재추정의 전체 계수다. 각 열은 표본 또는 변수 정의를 하나씩 바꾼 다항 로짓이며, 기준 열은 본문의 다항 로짓 표와 같다. 모든 열에 출원청 더미를 통제변수로 넣었으나 계수는 생략하였다. 조정 범위는 출원이 보유한 클래스마다 최소 1개 기호를 차감한 유형 최소치 조정 CPC 범위(breadth_adj)를, 동일 제목 중복 제거는 같은 제목의 출원 가운데 가장 이른 1건만 남긴 표본을, 좁은 전공정 정의는 H01L21의 조립 단계 공정 기호를 제조공정으로 세지 않은 변수를, 무관 용법 제외는 부록 B의 68건을 뺀 표본을, 핵심 표본은 제목에 hybrid bonding이 들어 있는 출원만 남긴 표본을, 2023–2024년 제외는 공개 시차의 영향을 받는 두 해를 뺀 표본을 뜻한다. 2010년 이후 표본은 본문 제5.2절에서 언급한 것이다.</w:t>
      </w:r>
    </w:p>
    <w:p>
      <w:pPr>
        <w:pStyle w:val="BodyText"/>
      </w:pPr>
      <w:r>
        <w:rPr>
          <w:b/>
          <w:bCs/>
        </w:rPr>
        <w:t xml:space="preserve">표 A1.</w:t>
      </w:r>
      <w:r>
        <w:t xml:space="preserve"> </w:t>
      </w:r>
      <w:r>
        <w:t xml:space="preserve">다항 로짓의 통합형 방정식: 표본·변수별 상대위험비(기준 범주 = 조립 단독형; 출원청 더미 포함; 괄호 안은 로그 계수의 표준오차; * p &lt; 0.10, ** p &lt; 0.05, *** p &lt; 0.01).</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980"/>
        <w:gridCol w:w="980"/>
        <w:gridCol w:w="980"/>
        <w:gridCol w:w="980"/>
        <w:gridCol w:w="980"/>
        <w:gridCol w:w="980"/>
        <w:gridCol w:w="1106"/>
        <w:gridCol w:w="980"/>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980"/>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좁은 전공정 정의</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핵심 표본</w:t>
            </w:r>
          </w:p>
        </w:tc>
        <w:tc>
          <w:tcPr>
            <w:tcW w:type="dxa" w:w="1106"/>
            <w:tcBorders>
              <w:bottom w:val="single" w:sz="4" w:space="0" w:color="000000"/>
            </w:tcBorders>
          </w:tcPr>
          <w:p>
            <w:pPr>
              <w:pStyle w:val="Compact"/>
              <w:spacing w:before="20" w:after="20" w:line="240" w:lineRule="auto"/>
              <w:jc w:val="center"/>
              <w:keepNext/>
            </w:pPr>
            <w:r>
              <w:rPr>
                <w:sz w:val="13"/>
                <w:szCs w:val="13"/>
              </w:rPr>
              <w:t xml:space="preserve">2023–2024년 제외</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980"/>
          </w:tcPr>
          <w:p>
            <w:pPr>
              <w:pStyle w:val="Compact"/>
              <w:spacing w:before="20" w:after="20" w:line="240" w:lineRule="auto"/>
              <w:jc w:val="center"/>
              <w:keepNext/>
            </w:pPr>
            <w:r>
              <w:rPr>
                <w:sz w:val="13"/>
                <w:szCs w:val="13"/>
              </w:rPr>
              <w:t xml:space="preserve">0.993 (0.015)</w:t>
            </w:r>
          </w:p>
        </w:tc>
        <w:tc>
          <w:tcPr>
            <w:tcW w:type="dxa" w:w="980"/>
          </w:tcPr>
          <w:p>
            <w:pPr>
              <w:pStyle w:val="Compact"/>
              <w:spacing w:before="20" w:after="20" w:line="240" w:lineRule="auto"/>
              <w:jc w:val="center"/>
              <w:keepNext/>
            </w:pPr>
            <w:r>
              <w:rPr>
                <w:sz w:val="13"/>
                <w:szCs w:val="13"/>
              </w:rPr>
              <w:t xml:space="preserve">1.002 (0.014)</w:t>
            </w:r>
          </w:p>
        </w:tc>
        <w:tc>
          <w:tcPr>
            <w:tcW w:type="dxa" w:w="980"/>
          </w:tcPr>
          <w:p>
            <w:pPr>
              <w:pStyle w:val="Compact"/>
              <w:spacing w:before="20" w:after="20" w:line="240" w:lineRule="auto"/>
              <w:jc w:val="center"/>
              <w:keepNext/>
            </w:pPr>
            <w:r>
              <w:rPr>
                <w:sz w:val="13"/>
                <w:szCs w:val="13"/>
              </w:rPr>
              <w:t xml:space="preserve">0.997 (0.018)</w:t>
            </w:r>
          </w:p>
        </w:tc>
        <w:tc>
          <w:tcPr>
            <w:tcW w:type="dxa" w:w="980"/>
          </w:tcPr>
          <w:p>
            <w:pPr>
              <w:pStyle w:val="Compact"/>
              <w:spacing w:before="20" w:after="20" w:line="240" w:lineRule="auto"/>
              <w:jc w:val="center"/>
              <w:keepNext/>
            </w:pPr>
            <w:r>
              <w:rPr>
                <w:sz w:val="13"/>
                <w:szCs w:val="13"/>
              </w:rPr>
              <w:t xml:space="preserve">0.967** (0.015)</w:t>
            </w:r>
          </w:p>
        </w:tc>
        <w:tc>
          <w:tcPr>
            <w:tcW w:type="dxa" w:w="980"/>
          </w:tcPr>
          <w:p>
            <w:pPr>
              <w:pStyle w:val="Compact"/>
              <w:spacing w:before="20" w:after="20" w:line="240" w:lineRule="auto"/>
              <w:jc w:val="center"/>
              <w:keepNext/>
            </w:pPr>
            <w:r>
              <w:rPr>
                <w:sz w:val="13"/>
                <w:szCs w:val="13"/>
              </w:rPr>
              <w:t xml:space="preserve">0.949** (0.022)</w:t>
            </w:r>
          </w:p>
        </w:tc>
        <w:tc>
          <w:tcPr>
            <w:tcW w:type="dxa" w:w="980"/>
          </w:tcPr>
          <w:p>
            <w:pPr>
              <w:pStyle w:val="Compact"/>
              <w:spacing w:before="20" w:after="20" w:line="240" w:lineRule="auto"/>
              <w:jc w:val="center"/>
              <w:keepNext/>
            </w:pPr>
            <w:r>
              <w:rPr>
                <w:sz w:val="13"/>
                <w:szCs w:val="13"/>
              </w:rPr>
              <w:t xml:space="preserve">0.965 (0.033)</w:t>
            </w:r>
          </w:p>
        </w:tc>
        <w:tc>
          <w:tcPr>
            <w:tcW w:type="dxa" w:w="1106"/>
          </w:tcPr>
          <w:p>
            <w:pPr>
              <w:pStyle w:val="Compact"/>
              <w:spacing w:before="20" w:after="20" w:line="240" w:lineRule="auto"/>
              <w:jc w:val="center"/>
              <w:keepNext/>
            </w:pPr>
            <w:r>
              <w:rPr>
                <w:sz w:val="13"/>
                <w:szCs w:val="13"/>
              </w:rPr>
              <w:t xml:space="preserve">0.989 (0.018)</w:t>
            </w:r>
          </w:p>
        </w:tc>
        <w:tc>
          <w:tcPr>
            <w:tcW w:type="dxa" w:w="980"/>
          </w:tcPr>
          <w:p>
            <w:pPr>
              <w:pStyle w:val="Compact"/>
              <w:spacing w:before="20" w:after="20" w:line="240" w:lineRule="auto"/>
              <w:jc w:val="center"/>
              <w:keepNext/>
            </w:pPr>
            <w:r>
              <w:rPr>
                <w:sz w:val="13"/>
                <w:szCs w:val="13"/>
              </w:rPr>
              <w:t xml:space="preserve">0.934** (0.027)</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980"/>
          </w:tcPr>
          <w:p>
            <w:pPr>
              <w:pStyle w:val="Compact"/>
              <w:spacing w:before="20" w:after="20" w:line="240" w:lineRule="auto"/>
              <w:jc w:val="center"/>
              <w:keepNext/>
            </w:pPr>
            <w:r>
              <w:rPr>
                <w:sz w:val="13"/>
                <w:szCs w:val="13"/>
              </w:rPr>
              <w:t xml:space="preserve">1.403*** (0.031)</w:t>
            </w:r>
          </w:p>
        </w:tc>
        <w:tc>
          <w:tcPr>
            <w:tcW w:type="dxa" w:w="980"/>
          </w:tcPr>
          <w:p>
            <w:pPr>
              <w:pStyle w:val="Compact"/>
              <w:spacing w:before="20" w:after="20" w:line="240" w:lineRule="auto"/>
              <w:jc w:val="center"/>
              <w:keepNext/>
            </w:pPr>
            <w:r>
              <w:rPr>
                <w:sz w:val="13"/>
                <w:szCs w:val="13"/>
              </w:rPr>
              <w:t xml:space="preserve">1.262*** (0.027)</w:t>
            </w:r>
          </w:p>
        </w:tc>
        <w:tc>
          <w:tcPr>
            <w:tcW w:type="dxa" w:w="980"/>
          </w:tcPr>
          <w:p>
            <w:pPr>
              <w:pStyle w:val="Compact"/>
              <w:spacing w:before="20" w:after="20" w:line="240" w:lineRule="auto"/>
              <w:jc w:val="center"/>
              <w:keepNext/>
            </w:pPr>
            <w:r>
              <w:rPr>
                <w:sz w:val="13"/>
                <w:szCs w:val="13"/>
              </w:rPr>
              <w:t xml:space="preserve">1.295*** (0.039)</w:t>
            </w:r>
          </w:p>
        </w:tc>
        <w:tc>
          <w:tcPr>
            <w:tcW w:type="dxa" w:w="980"/>
          </w:tcPr>
          <w:p>
            <w:pPr>
              <w:pStyle w:val="Compact"/>
              <w:spacing w:before="20" w:after="20" w:line="240" w:lineRule="auto"/>
              <w:jc w:val="center"/>
              <w:keepNext/>
            </w:pPr>
            <w:r>
              <w:rPr>
                <w:sz w:val="13"/>
                <w:szCs w:val="13"/>
              </w:rPr>
              <w:t xml:space="preserve">1.352*** (0.028)</w:t>
            </w:r>
          </w:p>
        </w:tc>
        <w:tc>
          <w:tcPr>
            <w:tcW w:type="dxa" w:w="980"/>
          </w:tcPr>
          <w:p>
            <w:pPr>
              <w:pStyle w:val="Compact"/>
              <w:spacing w:before="20" w:after="20" w:line="240" w:lineRule="auto"/>
              <w:jc w:val="center"/>
              <w:keepNext/>
            </w:pPr>
            <w:r>
              <w:rPr>
                <w:sz w:val="13"/>
                <w:szCs w:val="13"/>
              </w:rPr>
              <w:t xml:space="preserve">1.384*** (0.031)</w:t>
            </w:r>
          </w:p>
        </w:tc>
        <w:tc>
          <w:tcPr>
            <w:tcW w:type="dxa" w:w="980"/>
          </w:tcPr>
          <w:p>
            <w:pPr>
              <w:pStyle w:val="Compact"/>
              <w:spacing w:before="20" w:after="20" w:line="240" w:lineRule="auto"/>
              <w:jc w:val="center"/>
              <w:keepNext/>
            </w:pPr>
            <w:r>
              <w:rPr>
                <w:sz w:val="13"/>
                <w:szCs w:val="13"/>
              </w:rPr>
              <w:t xml:space="preserve">1.485*** (0.044)</w:t>
            </w:r>
          </w:p>
        </w:tc>
        <w:tc>
          <w:tcPr>
            <w:tcW w:type="dxa" w:w="1106"/>
          </w:tcPr>
          <w:p>
            <w:pPr>
              <w:pStyle w:val="Compact"/>
              <w:spacing w:before="20" w:after="20" w:line="240" w:lineRule="auto"/>
              <w:jc w:val="center"/>
              <w:keepNext/>
            </w:pPr>
            <w:r>
              <w:rPr>
                <w:sz w:val="13"/>
                <w:szCs w:val="13"/>
              </w:rPr>
              <w:t xml:space="preserve">1.418*** (0.034)</w:t>
            </w:r>
          </w:p>
        </w:tc>
        <w:tc>
          <w:tcPr>
            <w:tcW w:type="dxa" w:w="980"/>
          </w:tcPr>
          <w:p>
            <w:pPr>
              <w:pStyle w:val="Compact"/>
              <w:spacing w:before="20" w:after="20" w:line="240" w:lineRule="auto"/>
              <w:jc w:val="center"/>
              <w:keepNext/>
            </w:pPr>
            <w:r>
              <w:rPr>
                <w:sz w:val="13"/>
                <w:szCs w:val="13"/>
              </w:rPr>
              <w:t xml:space="preserve">1.385*** (0.032)</w:t>
            </w:r>
          </w:p>
        </w:tc>
      </w:tr>
      <w:tr>
        <w:trPr>
          <w:cantSplit/>
        </w:trPr>
        <w:tc>
          <w:tcPr>
            <w:tcW w:type="dxa" w:w="1106"/>
          </w:tcPr>
          <w:p>
            <w:pPr>
              <w:pStyle w:val="Compact"/>
              <w:spacing w:before="20" w:after="20" w:line="240" w:lineRule="auto"/>
              <w:keepNext/>
            </w:pPr>
            <w:r>
              <w:rPr>
                <w:sz w:val="13"/>
                <w:szCs w:val="13"/>
              </w:rPr>
              <w:t xml:space="preserve">N</w:t>
            </w:r>
          </w:p>
        </w:tc>
        <w:tc>
          <w:tcPr>
            <w:tcW w:type="dxa" w:w="980"/>
          </w:tcPr>
          <w:p>
            <w:pPr>
              <w:pStyle w:val="Compact"/>
              <w:spacing w:before="20" w:after="20" w:line="240" w:lineRule="auto"/>
              <w:jc w:val="center"/>
              <w:keepNext/>
            </w:pPr>
            <w:r>
              <w:rPr>
                <w:sz w:val="13"/>
                <w:szCs w:val="13"/>
              </w:rPr>
              <w:t xml:space="preserve">928</w:t>
            </w:r>
          </w:p>
        </w:tc>
        <w:tc>
          <w:tcPr>
            <w:tcW w:type="dxa" w:w="980"/>
          </w:tcPr>
          <w:p>
            <w:pPr>
              <w:pStyle w:val="Compact"/>
              <w:spacing w:before="20" w:after="20" w:line="240" w:lineRule="auto"/>
              <w:jc w:val="center"/>
              <w:keepNext/>
            </w:pPr>
            <w:r>
              <w:rPr>
                <w:sz w:val="13"/>
                <w:szCs w:val="13"/>
              </w:rPr>
              <w:t xml:space="preserve">928</w:t>
            </w:r>
          </w:p>
        </w:tc>
        <w:tc>
          <w:tcPr>
            <w:tcW w:type="dxa" w:w="980"/>
          </w:tcPr>
          <w:p>
            <w:pPr>
              <w:pStyle w:val="Compact"/>
              <w:spacing w:before="20" w:after="20" w:line="240" w:lineRule="auto"/>
              <w:jc w:val="center"/>
              <w:keepNext/>
            </w:pPr>
            <w:r>
              <w:rPr>
                <w:sz w:val="13"/>
                <w:szCs w:val="13"/>
              </w:rPr>
              <w:t xml:space="preserve">473</w:t>
            </w:r>
          </w:p>
        </w:tc>
        <w:tc>
          <w:tcPr>
            <w:tcW w:type="dxa" w:w="980"/>
          </w:tcPr>
          <w:p>
            <w:pPr>
              <w:pStyle w:val="Compact"/>
              <w:spacing w:before="20" w:after="20" w:line="240" w:lineRule="auto"/>
              <w:jc w:val="center"/>
              <w:keepNext/>
            </w:pPr>
            <w:r>
              <w:rPr>
                <w:sz w:val="13"/>
                <w:szCs w:val="13"/>
              </w:rPr>
              <w:t xml:space="preserve">908</w:t>
            </w:r>
          </w:p>
        </w:tc>
        <w:tc>
          <w:tcPr>
            <w:tcW w:type="dxa" w:w="980"/>
          </w:tcPr>
          <w:p>
            <w:pPr>
              <w:pStyle w:val="Compact"/>
              <w:spacing w:before="20" w:after="20" w:line="240" w:lineRule="auto"/>
              <w:jc w:val="center"/>
              <w:keepNext/>
            </w:pPr>
            <w:r>
              <w:rPr>
                <w:sz w:val="13"/>
                <w:szCs w:val="13"/>
              </w:rPr>
              <w:t xml:space="preserve">860</w:t>
            </w:r>
          </w:p>
        </w:tc>
        <w:tc>
          <w:tcPr>
            <w:tcW w:type="dxa" w:w="980"/>
          </w:tcPr>
          <w:p>
            <w:pPr>
              <w:pStyle w:val="Compact"/>
              <w:spacing w:before="20" w:after="20" w:line="240" w:lineRule="auto"/>
              <w:jc w:val="center"/>
              <w:keepNext/>
            </w:pPr>
            <w:r>
              <w:rPr>
                <w:sz w:val="13"/>
                <w:szCs w:val="13"/>
              </w:rPr>
              <w:t xml:space="preserve">467</w:t>
            </w:r>
          </w:p>
        </w:tc>
        <w:tc>
          <w:tcPr>
            <w:tcW w:type="dxa" w:w="1106"/>
          </w:tcPr>
          <w:p>
            <w:pPr>
              <w:pStyle w:val="Compact"/>
              <w:spacing w:before="20" w:after="20" w:line="240" w:lineRule="auto"/>
              <w:jc w:val="center"/>
              <w:keepNext/>
            </w:pPr>
            <w:r>
              <w:rPr>
                <w:sz w:val="13"/>
                <w:szCs w:val="13"/>
              </w:rPr>
              <w:t xml:space="preserve">753</w:t>
            </w:r>
          </w:p>
        </w:tc>
        <w:tc>
          <w:tcPr>
            <w:tcW w:type="dxa" w:w="980"/>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980"/>
          </w:tcPr>
          <w:p>
            <w:pPr>
              <w:pStyle w:val="Compact"/>
              <w:spacing w:before="20" w:after="20" w:line="240" w:lineRule="auto"/>
              <w:jc w:val="center"/>
              <w:keepNext/>
            </w:pPr>
            <w:r>
              <w:rPr>
                <w:sz w:val="13"/>
                <w:szCs w:val="13"/>
              </w:rPr>
              <w:t xml:space="preserve">−774.5</w:t>
            </w:r>
          </w:p>
        </w:tc>
        <w:tc>
          <w:tcPr>
            <w:tcW w:type="dxa" w:w="980"/>
          </w:tcPr>
          <w:p>
            <w:pPr>
              <w:pStyle w:val="Compact"/>
              <w:spacing w:before="20" w:after="20" w:line="240" w:lineRule="auto"/>
              <w:jc w:val="center"/>
              <w:keepNext/>
            </w:pPr>
            <w:r>
              <w:rPr>
                <w:sz w:val="13"/>
                <w:szCs w:val="13"/>
              </w:rPr>
              <w:t xml:space="preserve">−829.4</w:t>
            </w:r>
          </w:p>
        </w:tc>
        <w:tc>
          <w:tcPr>
            <w:tcW w:type="dxa" w:w="980"/>
          </w:tcPr>
          <w:p>
            <w:pPr>
              <w:pStyle w:val="Compact"/>
              <w:spacing w:before="20" w:after="20" w:line="240" w:lineRule="auto"/>
              <w:jc w:val="center"/>
              <w:keepNext/>
            </w:pPr>
            <w:r>
              <w:rPr>
                <w:sz w:val="13"/>
                <w:szCs w:val="13"/>
              </w:rPr>
              <w:t xml:space="preserve">−425.3</w:t>
            </w:r>
          </w:p>
        </w:tc>
        <w:tc>
          <w:tcPr>
            <w:tcW w:type="dxa" w:w="980"/>
          </w:tcPr>
          <w:p>
            <w:pPr>
              <w:pStyle w:val="Compact"/>
              <w:spacing w:before="20" w:after="20" w:line="240" w:lineRule="auto"/>
              <w:jc w:val="center"/>
              <w:keepNext/>
            </w:pPr>
            <w:r>
              <w:rPr>
                <w:sz w:val="13"/>
                <w:szCs w:val="13"/>
              </w:rPr>
              <w:t xml:space="preserve">−755.9</w:t>
            </w:r>
          </w:p>
        </w:tc>
        <w:tc>
          <w:tcPr>
            <w:tcW w:type="dxa" w:w="980"/>
          </w:tcPr>
          <w:p>
            <w:pPr>
              <w:pStyle w:val="Compact"/>
              <w:spacing w:before="20" w:after="20" w:line="240" w:lineRule="auto"/>
              <w:jc w:val="center"/>
              <w:keepNext/>
            </w:pPr>
            <w:r>
              <w:rPr>
                <w:sz w:val="13"/>
                <w:szCs w:val="13"/>
              </w:rPr>
              <w:t xml:space="preserve">−682.7</w:t>
            </w:r>
          </w:p>
        </w:tc>
        <w:tc>
          <w:tcPr>
            <w:tcW w:type="dxa" w:w="980"/>
          </w:tcPr>
          <w:p>
            <w:pPr>
              <w:pStyle w:val="Compact"/>
              <w:spacing w:before="20" w:after="20" w:line="240" w:lineRule="auto"/>
              <w:jc w:val="center"/>
              <w:keepNext/>
            </w:pPr>
            <w:r>
              <w:rPr>
                <w:sz w:val="13"/>
                <w:szCs w:val="13"/>
              </w:rPr>
              <w:t xml:space="preserve">−364.0</w:t>
            </w:r>
          </w:p>
        </w:tc>
        <w:tc>
          <w:tcPr>
            <w:tcW w:type="dxa" w:w="1106"/>
          </w:tcPr>
          <w:p>
            <w:pPr>
              <w:pStyle w:val="Compact"/>
              <w:spacing w:before="20" w:after="20" w:line="240" w:lineRule="auto"/>
              <w:jc w:val="center"/>
              <w:keepNext/>
            </w:pPr>
            <w:r>
              <w:rPr>
                <w:sz w:val="13"/>
                <w:szCs w:val="13"/>
              </w:rPr>
              <w:t xml:space="preserve">−607.4</w:t>
            </w:r>
          </w:p>
        </w:tc>
        <w:tc>
          <w:tcPr>
            <w:tcW w:type="dxa" w:w="980"/>
          </w:tcPr>
          <w:p>
            <w:pPr>
              <w:pStyle w:val="Compact"/>
              <w:spacing w:before="20" w:after="20" w:line="240" w:lineRule="auto"/>
              <w:jc w:val="center"/>
              <w:keepNext/>
            </w:pPr>
            <w:r>
              <w:rPr>
                <w:sz w:val="13"/>
                <w:szCs w:val="13"/>
              </w:rPr>
              <w:t xml:space="preserve">−683.0</w:t>
            </w:r>
          </w:p>
        </w:tc>
      </w:tr>
    </w:tbl>
    <w:p>
      <w:pPr>
        <w:pStyle w:val="BodyText"/>
      </w:pPr>
      <w:r>
        <w:rPr>
          <w:b/>
          <w:bCs/>
        </w:rPr>
        <w:t xml:space="preserve">표 A2.</w:t>
      </w:r>
      <w:r>
        <w:t xml:space="preserve"> </w:t>
      </w:r>
      <w:r>
        <w:t xml:space="preserve">다항 로짓의 공정 단독형 방정식: 표본·변수별 상대위험비(기준 범주 = 조립 단독형; 출원청 더미 포함; 괄호 안은 로그 계수의 표준오차; * p &lt; 0.10, ** p &lt; 0.05, *** p &lt; 0.01).</w:t>
      </w:r>
    </w:p>
    <w:tbl>
      <w:tblPr>
        <w:tblStyle w:val="Table"/>
        <w:tblW w:type="dxa" w:w="9074"/>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997"/>
        <w:gridCol w:w="997"/>
        <w:gridCol w:w="997"/>
        <w:gridCol w:w="997"/>
        <w:gridCol w:w="997"/>
        <w:gridCol w:w="880"/>
        <w:gridCol w:w="1106"/>
        <w:gridCol w:w="997"/>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997"/>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997"/>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997"/>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997"/>
            <w:tcBorders>
              <w:bottom w:val="single" w:sz="4" w:space="0" w:color="000000"/>
            </w:tcBorders>
          </w:tcPr>
          <w:p>
            <w:pPr>
              <w:pStyle w:val="Compact"/>
              <w:spacing w:before="20" w:after="20" w:line="240" w:lineRule="auto"/>
              <w:jc w:val="center"/>
              <w:keepNext/>
            </w:pPr>
            <w:r>
              <w:rPr>
                <w:sz w:val="13"/>
                <w:szCs w:val="13"/>
              </w:rPr>
              <w:t xml:space="preserve">좁은 전공정 정의</w:t>
            </w:r>
          </w:p>
        </w:tc>
        <w:tc>
          <w:tcPr>
            <w:tcW w:type="dxa" w:w="997"/>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880"/>
            <w:tcBorders>
              <w:bottom w:val="single" w:sz="4" w:space="0" w:color="000000"/>
            </w:tcBorders>
          </w:tcPr>
          <w:p>
            <w:pPr>
              <w:pStyle w:val="Compact"/>
              <w:spacing w:before="20" w:after="20" w:line="240" w:lineRule="auto"/>
              <w:jc w:val="center"/>
              <w:keepNext/>
            </w:pPr>
            <w:r>
              <w:rPr>
                <w:sz w:val="13"/>
                <w:szCs w:val="13"/>
              </w:rPr>
              <w:t xml:space="preserve">핵심 표본</w:t>
            </w:r>
          </w:p>
        </w:tc>
        <w:tc>
          <w:tcPr>
            <w:tcW w:type="dxa" w:w="1106"/>
            <w:tcBorders>
              <w:bottom w:val="single" w:sz="4" w:space="0" w:color="000000"/>
            </w:tcBorders>
          </w:tcPr>
          <w:p>
            <w:pPr>
              <w:pStyle w:val="Compact"/>
              <w:spacing w:before="20" w:after="20" w:line="240" w:lineRule="auto"/>
              <w:jc w:val="center"/>
              <w:keepNext/>
            </w:pPr>
            <w:r>
              <w:rPr>
                <w:sz w:val="13"/>
                <w:szCs w:val="13"/>
              </w:rPr>
              <w:t xml:space="preserve">2023–2024년 제외</w:t>
            </w:r>
          </w:p>
        </w:tc>
        <w:tc>
          <w:tcPr>
            <w:tcW w:type="dxa" w:w="997"/>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997"/>
          </w:tcPr>
          <w:p>
            <w:pPr>
              <w:pStyle w:val="Compact"/>
              <w:spacing w:before="20" w:after="20" w:line="240" w:lineRule="auto"/>
              <w:jc w:val="center"/>
              <w:keepNext/>
            </w:pPr>
            <w:r>
              <w:rPr>
                <w:sz w:val="13"/>
                <w:szCs w:val="13"/>
              </w:rPr>
              <w:t xml:space="preserve">0.913*** (0.015)</w:t>
            </w:r>
          </w:p>
        </w:tc>
        <w:tc>
          <w:tcPr>
            <w:tcW w:type="dxa" w:w="997"/>
          </w:tcPr>
          <w:p>
            <w:pPr>
              <w:pStyle w:val="Compact"/>
              <w:spacing w:before="20" w:after="20" w:line="240" w:lineRule="auto"/>
              <w:jc w:val="center"/>
              <w:keepNext/>
            </w:pPr>
            <w:r>
              <w:rPr>
                <w:sz w:val="13"/>
                <w:szCs w:val="13"/>
              </w:rPr>
              <w:t xml:space="preserve">0.911*** (0.015)</w:t>
            </w:r>
          </w:p>
        </w:tc>
        <w:tc>
          <w:tcPr>
            <w:tcW w:type="dxa" w:w="997"/>
          </w:tcPr>
          <w:p>
            <w:pPr>
              <w:pStyle w:val="Compact"/>
              <w:spacing w:before="20" w:after="20" w:line="240" w:lineRule="auto"/>
              <w:jc w:val="center"/>
              <w:keepNext/>
            </w:pPr>
            <w:r>
              <w:rPr>
                <w:sz w:val="13"/>
                <w:szCs w:val="13"/>
              </w:rPr>
              <w:t xml:space="preserve">0.935*** (0.016)</w:t>
            </w:r>
          </w:p>
        </w:tc>
        <w:tc>
          <w:tcPr>
            <w:tcW w:type="dxa" w:w="997"/>
          </w:tcPr>
          <w:p>
            <w:pPr>
              <w:pStyle w:val="Compact"/>
              <w:spacing w:before="20" w:after="20" w:line="240" w:lineRule="auto"/>
              <w:jc w:val="center"/>
              <w:keepNext/>
            </w:pPr>
            <w:r>
              <w:rPr>
                <w:sz w:val="13"/>
                <w:szCs w:val="13"/>
              </w:rPr>
              <w:t xml:space="preserve">0.898*** (0.015)</w:t>
            </w:r>
          </w:p>
        </w:tc>
        <w:tc>
          <w:tcPr>
            <w:tcW w:type="dxa" w:w="997"/>
          </w:tcPr>
          <w:p>
            <w:pPr>
              <w:pStyle w:val="Compact"/>
              <w:spacing w:before="20" w:after="20" w:line="240" w:lineRule="auto"/>
              <w:jc w:val="center"/>
              <w:keepNext/>
            </w:pPr>
            <w:r>
              <w:rPr>
                <w:sz w:val="13"/>
                <w:szCs w:val="13"/>
              </w:rPr>
              <w:t xml:space="preserve">0.820*** (0.023)</w:t>
            </w:r>
          </w:p>
        </w:tc>
        <w:tc>
          <w:tcPr>
            <w:tcW w:type="dxa" w:w="880"/>
          </w:tcPr>
          <w:p>
            <w:pPr>
              <w:pStyle w:val="Compact"/>
              <w:spacing w:before="20" w:after="20" w:line="240" w:lineRule="auto"/>
              <w:jc w:val="center"/>
              <w:keepNext/>
            </w:pPr>
            <w:r>
              <w:rPr>
                <w:sz w:val="13"/>
                <w:szCs w:val="13"/>
              </w:rPr>
              <w:t xml:space="preserve">1.029 (0.057)</w:t>
            </w:r>
          </w:p>
        </w:tc>
        <w:tc>
          <w:tcPr>
            <w:tcW w:type="dxa" w:w="1106"/>
          </w:tcPr>
          <w:p>
            <w:pPr>
              <w:pStyle w:val="Compact"/>
              <w:spacing w:before="20" w:after="20" w:line="240" w:lineRule="auto"/>
              <w:jc w:val="center"/>
              <w:keepNext/>
            </w:pPr>
            <w:r>
              <w:rPr>
                <w:sz w:val="13"/>
                <w:szCs w:val="13"/>
              </w:rPr>
              <w:t xml:space="preserve">0.909*** (0.016)</w:t>
            </w:r>
          </w:p>
        </w:tc>
        <w:tc>
          <w:tcPr>
            <w:tcW w:type="dxa" w:w="997"/>
          </w:tcPr>
          <w:p>
            <w:pPr>
              <w:pStyle w:val="Compact"/>
              <w:spacing w:before="20" w:after="20" w:line="240" w:lineRule="auto"/>
              <w:jc w:val="center"/>
              <w:keepNext/>
            </w:pPr>
            <w:r>
              <w:rPr>
                <w:sz w:val="13"/>
                <w:szCs w:val="13"/>
              </w:rPr>
              <w:t xml:space="preserve">0.862*** (0.033)</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997"/>
          </w:tcPr>
          <w:p>
            <w:pPr>
              <w:pStyle w:val="Compact"/>
              <w:spacing w:before="20" w:after="20" w:line="240" w:lineRule="auto"/>
              <w:jc w:val="center"/>
              <w:keepNext/>
            </w:pPr>
            <w:r>
              <w:rPr>
                <w:sz w:val="13"/>
                <w:szCs w:val="13"/>
              </w:rPr>
              <w:t xml:space="preserve">0.905** (0.048)</w:t>
            </w:r>
          </w:p>
        </w:tc>
        <w:tc>
          <w:tcPr>
            <w:tcW w:type="dxa" w:w="997"/>
          </w:tcPr>
          <w:p>
            <w:pPr>
              <w:pStyle w:val="Compact"/>
              <w:spacing w:before="20" w:after="20" w:line="240" w:lineRule="auto"/>
              <w:jc w:val="center"/>
              <w:keepNext/>
            </w:pPr>
            <w:r>
              <w:rPr>
                <w:sz w:val="13"/>
                <w:szCs w:val="13"/>
              </w:rPr>
              <w:t xml:space="preserve">0.915** (0.044)</w:t>
            </w:r>
          </w:p>
        </w:tc>
        <w:tc>
          <w:tcPr>
            <w:tcW w:type="dxa" w:w="997"/>
          </w:tcPr>
          <w:p>
            <w:pPr>
              <w:pStyle w:val="Compact"/>
              <w:spacing w:before="20" w:after="20" w:line="240" w:lineRule="auto"/>
              <w:jc w:val="center"/>
              <w:keepNext/>
            </w:pPr>
            <w:r>
              <w:rPr>
                <w:sz w:val="13"/>
                <w:szCs w:val="13"/>
              </w:rPr>
              <w:t xml:space="preserve">0.826*** (0.061)</w:t>
            </w:r>
          </w:p>
        </w:tc>
        <w:tc>
          <w:tcPr>
            <w:tcW w:type="dxa" w:w="997"/>
          </w:tcPr>
          <w:p>
            <w:pPr>
              <w:pStyle w:val="Compact"/>
              <w:spacing w:before="20" w:after="20" w:line="240" w:lineRule="auto"/>
              <w:jc w:val="center"/>
              <w:keepNext/>
            </w:pPr>
            <w:r>
              <w:rPr>
                <w:sz w:val="13"/>
                <w:szCs w:val="13"/>
              </w:rPr>
              <w:t xml:space="preserve">0.923* (0.045)</w:t>
            </w:r>
          </w:p>
        </w:tc>
        <w:tc>
          <w:tcPr>
            <w:tcW w:type="dxa" w:w="997"/>
          </w:tcPr>
          <w:p>
            <w:pPr>
              <w:pStyle w:val="Compact"/>
              <w:spacing w:before="20" w:after="20" w:line="240" w:lineRule="auto"/>
              <w:jc w:val="center"/>
              <w:keepNext/>
            </w:pPr>
            <w:r>
              <w:rPr>
                <w:sz w:val="13"/>
                <w:szCs w:val="13"/>
              </w:rPr>
              <w:t xml:space="preserve">0.916* (0.050)</w:t>
            </w:r>
          </w:p>
        </w:tc>
        <w:tc>
          <w:tcPr>
            <w:tcW w:type="dxa" w:w="880"/>
          </w:tcPr>
          <w:p>
            <w:pPr>
              <w:pStyle w:val="Compact"/>
              <w:spacing w:before="20" w:after="20" w:line="240" w:lineRule="auto"/>
              <w:jc w:val="center"/>
              <w:keepNext/>
            </w:pPr>
            <w:r>
              <w:rPr>
                <w:sz w:val="13"/>
                <w:szCs w:val="13"/>
              </w:rPr>
              <w:t xml:space="preserve">1.129* (0.062)</w:t>
            </w:r>
          </w:p>
        </w:tc>
        <w:tc>
          <w:tcPr>
            <w:tcW w:type="dxa" w:w="1106"/>
          </w:tcPr>
          <w:p>
            <w:pPr>
              <w:pStyle w:val="Compact"/>
              <w:spacing w:before="20" w:after="20" w:line="240" w:lineRule="auto"/>
              <w:jc w:val="center"/>
              <w:keepNext/>
            </w:pPr>
            <w:r>
              <w:rPr>
                <w:sz w:val="13"/>
                <w:szCs w:val="13"/>
              </w:rPr>
              <w:t xml:space="preserve">0.908* (0.054)</w:t>
            </w:r>
          </w:p>
        </w:tc>
        <w:tc>
          <w:tcPr>
            <w:tcW w:type="dxa" w:w="997"/>
          </w:tcPr>
          <w:p>
            <w:pPr>
              <w:pStyle w:val="Compact"/>
              <w:spacing w:before="20" w:after="20" w:line="240" w:lineRule="auto"/>
              <w:jc w:val="center"/>
              <w:keepNext/>
            </w:pPr>
            <w:r>
              <w:rPr>
                <w:sz w:val="13"/>
                <w:szCs w:val="13"/>
              </w:rPr>
              <w:t xml:space="preserve">0.910* (0.051)</w:t>
            </w:r>
          </w:p>
        </w:tc>
      </w:tr>
      <w:tr>
        <w:trPr>
          <w:cantSplit/>
        </w:trPr>
        <w:tc>
          <w:tcPr>
            <w:tcW w:type="dxa" w:w="1106"/>
          </w:tcPr>
          <w:p>
            <w:pPr>
              <w:pStyle w:val="Compact"/>
              <w:spacing w:before="20" w:after="20" w:line="240" w:lineRule="auto"/>
              <w:keepNext/>
            </w:pPr>
            <w:r>
              <w:rPr>
                <w:sz w:val="13"/>
                <w:szCs w:val="13"/>
              </w:rPr>
              <w:t xml:space="preserve">N</w:t>
            </w:r>
          </w:p>
        </w:tc>
        <w:tc>
          <w:tcPr>
            <w:tcW w:type="dxa" w:w="997"/>
          </w:tcPr>
          <w:p>
            <w:pPr>
              <w:pStyle w:val="Compact"/>
              <w:spacing w:before="20" w:after="20" w:line="240" w:lineRule="auto"/>
              <w:jc w:val="center"/>
              <w:keepNext/>
            </w:pPr>
            <w:r>
              <w:rPr>
                <w:sz w:val="13"/>
                <w:szCs w:val="13"/>
              </w:rPr>
              <w:t xml:space="preserve">928</w:t>
            </w:r>
          </w:p>
        </w:tc>
        <w:tc>
          <w:tcPr>
            <w:tcW w:type="dxa" w:w="997"/>
          </w:tcPr>
          <w:p>
            <w:pPr>
              <w:pStyle w:val="Compact"/>
              <w:spacing w:before="20" w:after="20" w:line="240" w:lineRule="auto"/>
              <w:jc w:val="center"/>
              <w:keepNext/>
            </w:pPr>
            <w:r>
              <w:rPr>
                <w:sz w:val="13"/>
                <w:szCs w:val="13"/>
              </w:rPr>
              <w:t xml:space="preserve">928</w:t>
            </w:r>
          </w:p>
        </w:tc>
        <w:tc>
          <w:tcPr>
            <w:tcW w:type="dxa" w:w="997"/>
          </w:tcPr>
          <w:p>
            <w:pPr>
              <w:pStyle w:val="Compact"/>
              <w:spacing w:before="20" w:after="20" w:line="240" w:lineRule="auto"/>
              <w:jc w:val="center"/>
              <w:keepNext/>
            </w:pPr>
            <w:r>
              <w:rPr>
                <w:sz w:val="13"/>
                <w:szCs w:val="13"/>
              </w:rPr>
              <w:t xml:space="preserve">473</w:t>
            </w:r>
          </w:p>
        </w:tc>
        <w:tc>
          <w:tcPr>
            <w:tcW w:type="dxa" w:w="997"/>
          </w:tcPr>
          <w:p>
            <w:pPr>
              <w:pStyle w:val="Compact"/>
              <w:spacing w:before="20" w:after="20" w:line="240" w:lineRule="auto"/>
              <w:jc w:val="center"/>
              <w:keepNext/>
            </w:pPr>
            <w:r>
              <w:rPr>
                <w:sz w:val="13"/>
                <w:szCs w:val="13"/>
              </w:rPr>
              <w:t xml:space="preserve">908</w:t>
            </w:r>
          </w:p>
        </w:tc>
        <w:tc>
          <w:tcPr>
            <w:tcW w:type="dxa" w:w="997"/>
          </w:tcPr>
          <w:p>
            <w:pPr>
              <w:pStyle w:val="Compact"/>
              <w:spacing w:before="20" w:after="20" w:line="240" w:lineRule="auto"/>
              <w:jc w:val="center"/>
              <w:keepNext/>
            </w:pPr>
            <w:r>
              <w:rPr>
                <w:sz w:val="13"/>
                <w:szCs w:val="13"/>
              </w:rPr>
              <w:t xml:space="preserve">860</w:t>
            </w:r>
          </w:p>
        </w:tc>
        <w:tc>
          <w:tcPr>
            <w:tcW w:type="dxa" w:w="880"/>
          </w:tcPr>
          <w:p>
            <w:pPr>
              <w:pStyle w:val="Compact"/>
              <w:spacing w:before="20" w:after="20" w:line="240" w:lineRule="auto"/>
              <w:jc w:val="center"/>
              <w:keepNext/>
            </w:pPr>
            <w:r>
              <w:rPr>
                <w:sz w:val="13"/>
                <w:szCs w:val="13"/>
              </w:rPr>
              <w:t xml:space="preserve">467</w:t>
            </w:r>
          </w:p>
        </w:tc>
        <w:tc>
          <w:tcPr>
            <w:tcW w:type="dxa" w:w="1106"/>
          </w:tcPr>
          <w:p>
            <w:pPr>
              <w:pStyle w:val="Compact"/>
              <w:spacing w:before="20" w:after="20" w:line="240" w:lineRule="auto"/>
              <w:jc w:val="center"/>
              <w:keepNext/>
            </w:pPr>
            <w:r>
              <w:rPr>
                <w:sz w:val="13"/>
                <w:szCs w:val="13"/>
              </w:rPr>
              <w:t xml:space="preserve">753</w:t>
            </w:r>
          </w:p>
        </w:tc>
        <w:tc>
          <w:tcPr>
            <w:tcW w:type="dxa" w:w="997"/>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997"/>
          </w:tcPr>
          <w:p>
            <w:pPr>
              <w:pStyle w:val="Compact"/>
              <w:spacing w:before="20" w:after="20" w:line="240" w:lineRule="auto"/>
              <w:jc w:val="center"/>
              <w:keepNext/>
            </w:pPr>
            <w:r>
              <w:rPr>
                <w:sz w:val="13"/>
                <w:szCs w:val="13"/>
              </w:rPr>
              <w:t xml:space="preserve">−774.5</w:t>
            </w:r>
          </w:p>
        </w:tc>
        <w:tc>
          <w:tcPr>
            <w:tcW w:type="dxa" w:w="997"/>
          </w:tcPr>
          <w:p>
            <w:pPr>
              <w:pStyle w:val="Compact"/>
              <w:spacing w:before="20" w:after="20" w:line="240" w:lineRule="auto"/>
              <w:jc w:val="center"/>
              <w:keepNext/>
            </w:pPr>
            <w:r>
              <w:rPr>
                <w:sz w:val="13"/>
                <w:szCs w:val="13"/>
              </w:rPr>
              <w:t xml:space="preserve">−829.4</w:t>
            </w:r>
          </w:p>
        </w:tc>
        <w:tc>
          <w:tcPr>
            <w:tcW w:type="dxa" w:w="997"/>
          </w:tcPr>
          <w:p>
            <w:pPr>
              <w:pStyle w:val="Compact"/>
              <w:spacing w:before="20" w:after="20" w:line="240" w:lineRule="auto"/>
              <w:jc w:val="center"/>
              <w:keepNext/>
            </w:pPr>
            <w:r>
              <w:rPr>
                <w:sz w:val="13"/>
                <w:szCs w:val="13"/>
              </w:rPr>
              <w:t xml:space="preserve">−425.3</w:t>
            </w:r>
          </w:p>
        </w:tc>
        <w:tc>
          <w:tcPr>
            <w:tcW w:type="dxa" w:w="997"/>
          </w:tcPr>
          <w:p>
            <w:pPr>
              <w:pStyle w:val="Compact"/>
              <w:spacing w:before="20" w:after="20" w:line="240" w:lineRule="auto"/>
              <w:jc w:val="center"/>
              <w:keepNext/>
            </w:pPr>
            <w:r>
              <w:rPr>
                <w:sz w:val="13"/>
                <w:szCs w:val="13"/>
              </w:rPr>
              <w:t xml:space="preserve">−755.9</w:t>
            </w:r>
          </w:p>
        </w:tc>
        <w:tc>
          <w:tcPr>
            <w:tcW w:type="dxa" w:w="997"/>
          </w:tcPr>
          <w:p>
            <w:pPr>
              <w:pStyle w:val="Compact"/>
              <w:spacing w:before="20" w:after="20" w:line="240" w:lineRule="auto"/>
              <w:jc w:val="center"/>
              <w:keepNext/>
            </w:pPr>
            <w:r>
              <w:rPr>
                <w:sz w:val="13"/>
                <w:szCs w:val="13"/>
              </w:rPr>
              <w:t xml:space="preserve">−682.7</w:t>
            </w:r>
          </w:p>
        </w:tc>
        <w:tc>
          <w:tcPr>
            <w:tcW w:type="dxa" w:w="880"/>
          </w:tcPr>
          <w:p>
            <w:pPr>
              <w:pStyle w:val="Compact"/>
              <w:spacing w:before="20" w:after="20" w:line="240" w:lineRule="auto"/>
              <w:jc w:val="center"/>
              <w:keepNext/>
            </w:pPr>
            <w:r>
              <w:rPr>
                <w:sz w:val="13"/>
                <w:szCs w:val="13"/>
              </w:rPr>
              <w:t xml:space="preserve">−364.0</w:t>
            </w:r>
          </w:p>
        </w:tc>
        <w:tc>
          <w:tcPr>
            <w:tcW w:type="dxa" w:w="1106"/>
          </w:tcPr>
          <w:p>
            <w:pPr>
              <w:pStyle w:val="Compact"/>
              <w:spacing w:before="20" w:after="20" w:line="240" w:lineRule="auto"/>
              <w:jc w:val="center"/>
              <w:keepNext/>
            </w:pPr>
            <w:r>
              <w:rPr>
                <w:sz w:val="13"/>
                <w:szCs w:val="13"/>
              </w:rPr>
              <w:t xml:space="preserve">−607.4</w:t>
            </w:r>
          </w:p>
        </w:tc>
        <w:tc>
          <w:tcPr>
            <w:tcW w:type="dxa" w:w="997"/>
          </w:tcPr>
          <w:p>
            <w:pPr>
              <w:pStyle w:val="Compact"/>
              <w:spacing w:before="20" w:after="20" w:line="240" w:lineRule="auto"/>
              <w:jc w:val="center"/>
              <w:keepNext/>
            </w:pPr>
            <w:r>
              <w:rPr>
                <w:sz w:val="13"/>
                <w:szCs w:val="13"/>
              </w:rPr>
              <w:t xml:space="preserve">−683.0</w:t>
            </w:r>
          </w:p>
        </w:tc>
      </w:tr>
    </w:tbl>
    <w:p>
      <w:pPr>
        <w:pStyle w:val="BodyText"/>
      </w:pPr>
      <w:r>
        <w:rPr>
          <w:b/>
          <w:bCs/>
        </w:rPr>
        <w:t xml:space="preserve">대안 제외 민감도 분석.</w:t>
      </w:r>
      <w:r>
        <w:t xml:space="preserve"> </w:t>
      </w:r>
      <w:r>
        <w:t xml:space="preserve">IIA 가정과 관련된 민감성을 간접적으로 살피기 위해 공정 단독형을 제외한 표본(N = 763)에서 통합형 대 조립 단독형의 이항 로짓을 추정하였다. 기술범위 OR 1.463, 출원연도 0.987로, 주요 계수의 방향과 상대적 크기는 다항 로짓 통합형 방정식의 값(1.403, 0.993)과 유사했다. 이는 공정 단독형을 제외해도 통합형 관련 결과의 실질적 해석이 크게 달라지지 않음을 보여주는 민감도 분석이며, 정식 IIA 검정(Hausman–McFadden, Small–Hsiao)을 대체하지는 않는다. 본문의 핵심 기술 모형(H3)도 같은 표본을 쓴다.</w:t>
      </w:r>
    </w:p>
    <w:bookmarkEnd w:id="57"/>
    <w:bookmarkStart w:id="58" w:name="부록-b.-검색어의-무관한-용법"/>
    <w:p>
      <w:pPr>
        <w:pStyle w:val="Heading3"/>
      </w:pPr>
      <w:r>
        <w:t xml:space="preserve">부록 B. 검색어의 무관한 용법</w:t>
      </w:r>
    </w:p>
    <w:p>
      <w:pPr>
        <w:pStyle w:val="FirstParagraph"/>
      </w:pPr>
      <w:r>
        <w:t xml:space="preserve">키워드 필터의</w:t>
      </w:r>
      <w:r>
        <w:t xml:space="preserve"> </w:t>
      </w:r>
      <w:r>
        <w:rPr>
          <w:i/>
          <w:iCs/>
        </w:rPr>
        <w:t xml:space="preserve">direct bonding</w:t>
      </w:r>
      <w:r>
        <w:t xml:space="preserve">은 하이브리드 본딩과 무관한 뜻으로도 쓰인다. 제목에 다음 용어가 들어 있는 출원을 무관한 용법으로 판정하였다: 세라믹·DBC(direct bonded copper)·알루미나·지르코니아·질화알루미늄 기판, 구리 합금, 다이아몬드–몰리브덴 접합, 레이저 전구체, 정전 척, 전력 모듈·전력소자 기판, 히트 스프레더, 직접 접합 금속 기판, 직접 접합 회로 조립체, sp3–sp2 하이브리드 결합(화학 결합의 뜻). 해당 출원은 68건이며 표 B1에 분포를 보인다. 2010년 이전 출원 가운데 무관 용법을 뺀 뒤 남는 출원의 상당수는 실리콘 웨이퍼 직접 접합(SOI 웨이퍼 제조 등) 출원으로, 하이브리드 본딩의 유전체 접합을 이루는 전구 기술이므로 표본에 남겼다. 68건의 제목 목록은 저자에게 요청하면 제공한다.</w:t>
      </w:r>
    </w:p>
    <w:p>
      <w:pPr>
        <w:pStyle w:val="BodyText"/>
      </w:pPr>
      <w:r>
        <w:rPr>
          <w:b/>
          <w:bCs/>
        </w:rPr>
        <w:t xml:space="preserve">표 B1.</w:t>
      </w:r>
      <w:r>
        <w:t xml:space="preserve"> </w:t>
      </w:r>
      <w:r>
        <w:t xml:space="preserve">무관 용법으로 판정한 출원 68건의 분포.</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7342"/>
        <w:gridCol w:w="1727"/>
      </w:tblGrid>
      <w:tr>
        <w:trPr>
          <w:tblHeader w:val="on"/>
          <w:cantSplit/>
        </w:trPr>
        <w:tc>
          <w:tcPr>
            <w:tcW w:type="dxa" w:w="7342"/>
            <w:tcBorders>
              <w:bottom w:val="single" w:sz="4" w:space="0" w:color="000000"/>
            </w:tcBorders>
          </w:tcPr>
          <w:p>
            <w:pPr>
              <w:pStyle w:val="Compact"/>
              <w:spacing w:before="20" w:after="20" w:line="240" w:lineRule="auto"/>
              <w:keepNext/>
            </w:pPr>
            <w:r>
              <w:rPr>
                <w:sz w:val="18"/>
                <w:szCs w:val="18"/>
              </w:rPr>
              <w:t xml:space="preserve">구분</w:t>
            </w:r>
          </w:p>
        </w:tc>
        <w:tc>
          <w:tcPr>
            <w:tcW w:type="dxa" w:w="1727"/>
            <w:tcBorders>
              <w:bottom w:val="single" w:sz="4" w:space="0" w:color="000000"/>
            </w:tcBorders>
          </w:tcPr>
          <w:p>
            <w:pPr>
              <w:pStyle w:val="Compact"/>
              <w:spacing w:before="20" w:after="20" w:line="240" w:lineRule="auto"/>
              <w:jc w:val="right"/>
              <w:keepNext/>
            </w:pPr>
            <w:r>
              <w:rPr>
                <w:sz w:val="18"/>
                <w:szCs w:val="18"/>
              </w:rPr>
              <w:t xml:space="preserve">건수</w:t>
            </w:r>
          </w:p>
        </w:tc>
      </w:tr>
      <w:tr>
        <w:trPr>
          <w:cantSplit/>
        </w:trPr>
        <w:tc>
          <w:tcPr>
            <w:tcW w:type="dxa" w:w="7342"/>
          </w:tcPr>
          <w:p>
            <w:pPr>
              <w:pStyle w:val="Compact"/>
              <w:spacing w:before="20" w:after="20" w:line="240" w:lineRule="auto"/>
              <w:keepNext/>
            </w:pPr>
            <w:r>
              <w:rPr>
                <w:sz w:val="18"/>
                <w:szCs w:val="18"/>
              </w:rPr>
              <w:t xml:space="preserve">유형: 조립 단독형</w:t>
            </w:r>
          </w:p>
        </w:tc>
        <w:tc>
          <w:tcPr>
            <w:tcW w:type="dxa" w:w="1727"/>
          </w:tcPr>
          <w:p>
            <w:pPr>
              <w:pStyle w:val="Compact"/>
              <w:spacing w:before="20" w:after="20" w:line="240" w:lineRule="auto"/>
              <w:jc w:val="right"/>
              <w:keepNext/>
            </w:pPr>
            <w:r>
              <w:rPr>
                <w:sz w:val="18"/>
                <w:szCs w:val="18"/>
              </w:rPr>
              <w:t xml:space="preserve">34</w:t>
            </w:r>
          </w:p>
        </w:tc>
      </w:tr>
      <w:tr>
        <w:trPr>
          <w:cantSplit/>
        </w:trPr>
        <w:tc>
          <w:tcPr>
            <w:tcW w:type="dxa" w:w="7342"/>
          </w:tcPr>
          <w:p>
            <w:pPr>
              <w:pStyle w:val="Compact"/>
              <w:spacing w:before="20" w:after="20" w:line="240" w:lineRule="auto"/>
              <w:keepNext/>
            </w:pPr>
            <w:r>
              <w:rPr>
                <w:sz w:val="18"/>
                <w:szCs w:val="18"/>
              </w:rPr>
              <w:t xml:space="preserve">유형: 통합형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유형: 공정 단독형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출원 시기: 2014년 이전</w:t>
            </w:r>
          </w:p>
        </w:tc>
        <w:tc>
          <w:tcPr>
            <w:tcW w:type="dxa" w:w="1727"/>
          </w:tcPr>
          <w:p>
            <w:pPr>
              <w:pStyle w:val="Compact"/>
              <w:spacing w:before="20" w:after="20" w:line="240" w:lineRule="auto"/>
              <w:jc w:val="right"/>
              <w:keepNext/>
            </w:pPr>
            <w:r>
              <w:rPr>
                <w:sz w:val="18"/>
                <w:szCs w:val="18"/>
              </w:rPr>
              <w:t xml:space="preserve">36</w:t>
            </w:r>
          </w:p>
        </w:tc>
      </w:tr>
      <w:tr>
        <w:trPr>
          <w:cantSplit/>
        </w:trPr>
        <w:tc>
          <w:tcPr>
            <w:tcW w:type="dxa" w:w="7342"/>
          </w:tcPr>
          <w:p>
            <w:pPr>
              <w:pStyle w:val="Compact"/>
              <w:spacing w:before="20" w:after="20" w:line="240" w:lineRule="auto"/>
              <w:keepNext/>
            </w:pPr>
            <w:r>
              <w:rPr>
                <w:sz w:val="18"/>
                <w:szCs w:val="18"/>
              </w:rPr>
              <w:t xml:space="preserve">출원 시기: 2015년 이후</w:t>
            </w:r>
          </w:p>
        </w:tc>
        <w:tc>
          <w:tcPr>
            <w:tcW w:type="dxa" w:w="1727"/>
          </w:tcPr>
          <w:p>
            <w:pPr>
              <w:pStyle w:val="Compact"/>
              <w:spacing w:before="20" w:after="20" w:line="240" w:lineRule="auto"/>
              <w:jc w:val="right"/>
              <w:keepNext/>
            </w:pPr>
            <w:r>
              <w:rPr>
                <w:sz w:val="18"/>
                <w:szCs w:val="18"/>
              </w:rPr>
              <w:t xml:space="preserve">32</w:t>
            </w:r>
          </w:p>
        </w:tc>
      </w:tr>
    </w:tbl>
    <w:bookmarkEnd w:id="58"/>
    <w:bookmarkEnd w:id="59"/>
    <w:bookmarkEnd w:id="60"/>
    <w:sectPr>
      <w:footnotePr>
        <w:numRestart w:val="eachSect"/>
      </w:footnote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9" Type="http://schemas.openxmlformats.org/officeDocument/2006/relationships/image" Target="media/rId29.png"/><Relationship Id="rId39" Type="http://schemas.openxmlformats.org/officeDocument/2006/relationships/image" Target="media/rId39.png"/><Relationship Id="rId33" Type="http://schemas.openxmlformats.org/officeDocument/2006/relationships/image" Target="media/rId33.png"/><Relationship Id="rId23" Type="http://schemas.openxmlformats.org/officeDocument/2006/relationships/image" Target="media/rId23.png"/><Relationship Id="rId20" Type="http://schemas.openxmlformats.org/officeDocument/2006/relationships/image" Target="media/rId20.png"/><Relationship Id="rId43" Type="http://schemas.openxmlformats.org/officeDocument/2006/relationships/image" Target="media/rId43.png"/><Relationship Id="rId11" Type="http://schemas.openxmlformats.org/officeDocument/2006/relationships/image" Target="media/rId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2026-10-07T19:44:42Z</dcterms:created>
  <dcterms:modified xsi:type="dcterms:W3CDTF">2026-10-07T19:44:42Z</dcterms:modified>
</cp:coreProperties>
</file>

<file path=docProps/custom.xml><?xml version="1.0" encoding="utf-8"?>
<Properties xmlns="http://schemas.openxmlformats.org/officeDocument/2006/custom-properties" xmlns:vt="http://schemas.openxmlformats.org/officeDocument/2006/docPropsVTypes"/>
</file>