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이형규</w:t>
      </w:r>
      <w:r>
        <w:t xml:space="preserve"> </w:t>
      </w:r>
      <w:r>
        <w:t xml:space="preserve">(한양대학교 기술경영학과)</w:t>
      </w:r>
    </w:p>
    <w:p>
      <w:pPr>
        <w:pStyle w:val="BodyText"/>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HyungKyu Lee</w:t>
      </w:r>
      <w:r>
        <w:t xml:space="preserve"> </w:t>
      </w:r>
      <w:r>
        <w:t xml:space="preserve">(Department of Management of Technology, Hanyang University)</w:t>
      </w:r>
    </w:p>
    <w:p>
      <w:pPr>
        <w:pStyle w:val="BodyText"/>
      </w:pPr>
      <w:r>
        <w:rPr>
          <w:b/>
          <w:bCs/>
        </w:rPr>
        <w:t xml:space="preserve">요 약</w:t>
      </w:r>
      <w:r>
        <w:t xml:space="preserve"> </w:t>
      </w:r>
      <w:r>
        <w:t xml:space="preserve">반도체 제조는 웨이퍼 위에 소자를 만드는 전공정과 그 웨이퍼를 잘라 조립하는 후공정으로 오랫동안 나뉘어 왔다. 하이브리드 본딩은 후공정의 접합 기술이지만 표면 평탄화와 표면 처리 같은 전공정의 제조공정 기술 없이는 성능이 나오지 않는다. 본 연구는 두 영역의 기술이 하나의 특허출원 안에 함께 담기는지, 어떤 출원이 그러한지를 유럽특허청 PATSTAT의 하이브리드 본딩 관련 특허출원 928건으로 분석하였다. 출원마다 부여된 CPC 기호를 기준으로 접합 기술 분류(H01L24)만 있으면 조립 단독형, 제조공정 기술 분류(H01L21)만 있으면 공정 단독형, 둘이 함께 있으면 통합형으로 구분하고, 두 클래스의 공동분류를 제조공정 영역과 접합 영역 사이의 경계 넘기를 재는 대리측정치로 사용하였다. 기준 정의에서는 통합형이 45.8%로 가장 많았고, 조립 단계 공정을 제외한 보수적 정의에서도 37.2%였다. 음이항 회귀와 다항 로짓 분석 결과, 두 클래스 안에서 세부 기술을 더 다양하게 포함한 출원일수록 통합형일 가능성이 높았으며(조립 단독형 대비 상대위험비 1.40), 최근 출원일수록 공정 단독형의 상대적 가능성은 낮았고(2014년 이전 43.6%에서 2020–2024년 10.4%), 중국 출원청 출원은 미국 출원청 출원보다 클래스 내 CPC 범위가 좁았다. 중국 출원청의 공정 단독형 편중은 최근 출원에 민감한 제한적 결과였다. 이 결과는 기술융합이 산업 사이만이 아니라 한 산업의 공정 단계 사이에서도 일어난다는 견해와 정합적인 특허 수준의 증거를 제공한다.</w:t>
      </w:r>
    </w:p>
    <w:p>
      <w:pPr>
        <w:pStyle w:val="BodyText"/>
      </w:pPr>
      <w:r>
        <w:rPr>
          <w:b/>
          <w:bCs/>
        </w:rPr>
        <w:t xml:space="preserve">Abstract</w:t>
      </w:r>
      <w:r>
        <w:t xml:space="preserve"> </w:t>
      </w:r>
      <w:r>
        <w:t xml:space="preserve">Semiconductor manufacturing has long been divided into front-end wafer fabrication and back-end assembly. Hybrid bonding belongs to the back end, yet it depends on front-end fabrication capabilities such as surface planarisation and surface treatment. Using 928 hybrid-bonding-related patent applications from EPO PATSTAT, this study asks whether the two bodies of technology are combined within single applications and which applications do so. Each application is classified by its CPC symbols as assembly-only (H01L24 only), process-only (H01L21 only) or integrated (both), and co-classification in the two classes is used as a patent-based proxy for boundary spanning between the fabrication-process and bonding domains. Integrated applications form the largest group at 45.8% (37.2% under a narrower definition that excludes assembly-stage processes). Negative binomial and multinomial logit estimates show that applications spanning more diverse technical elements within the two classes are more likely to be integrated (relative-risk ratio 1.40 against assembly-only), that process-only classification is relatively less likely for recent filings (43.6% before 2015 to 10.4% in 2020–2024), and that applications filed at the Chinese office are narrower in within-class CPC breadth than those filed at the US office, whereas their tilt towards process-only classification is sensitive to the most recent filings. The findings provide patent-level evidence consistent with technological convergence across the process stages of a single industry.</w:t>
      </w:r>
    </w:p>
    <w:p>
      <w:pPr>
        <w:pStyle w:val="BodyText"/>
      </w:pPr>
      <w:r>
        <w:rPr>
          <w:b/>
          <w:bCs/>
        </w:rPr>
        <w:t xml:space="preserve">Keywords :</w:t>
      </w:r>
      <w:r>
        <w:t xml:space="preserve"> </w:t>
      </w:r>
      <w:r>
        <w:t xml:space="preserve">Technological Convergence, Industry Architecture, Hybrid Bonding, Advanced Packaging, Within-class CPC Breadth, Multinomial Logit</w:t>
      </w:r>
    </w:p>
    <w:bookmarkStart w:id="9" w:name="서론"/>
    <w:p>
      <w:pPr>
        <w:pStyle w:val="Heading2"/>
      </w:pPr>
      <w:r>
        <w:t xml:space="preserve">1. 서론</w:t>
      </w:r>
    </w:p>
    <w:p>
      <w:pPr>
        <w:pStyle w:val="FirstParagraph"/>
      </w:pPr>
      <w:r>
        <w:t xml:space="preserve">반도체 산업의 분업 구조는 반세기 넘게 이어져 왔다. 트랜지스터를 웨이퍼 위에 만드는 전공정은 종합반도체기업(IDM)과 파운드리의 대규모 팹에 집중되었고[1], 완성된 웨이퍼를 잘라 조립하고 포장하는 후공정은 조립·테스트 전문업체(OSAT)로 외주화되었다[2,3]. 두 단계 사이의 인터페이스가 안정적으로 관리되었기에 기업 간 전문화가 가능했다. 그러나 미세화가 한계에 부딪히면서 산업은 다이를 나누고 쌓고 연결하는 방식에서 성능 향상의 여지를 찾기 시작했고[4,5], 그 중심에 있는 하이브리드 본딩은 이 전제를 흔든다. 솔더 범프 없이 구리 패드와 산화막을 직접 맞붙이는 이 기술은 10 µm 이하의 연결 간격을 열어 주지만[6,7], 그 성패는 표면 평탄화, 표면 활성화, 정밀 정렬처럼 전통적으로 전공정에 속해 온 제조공정 역량에 달려 있다. 상호의존이 커지자 선도 파운드리가 첨단 패키징 역량을 내부에 두려는 움직임도 나타났다[7,8].</w:t>
      </w:r>
    </w:p>
    <w:p>
      <w:pPr>
        <w:pStyle w:val="BodyText"/>
      </w:pPr>
      <w:r>
        <w:t xml:space="preserve">기술융합 문헌은 서로 구분되던 기술 영역이 겹치고 결합하는 과정을 다루어 왔지만[9-12], 그 실증 연구는 정보통신과 가전[13], 식품과 제약[14], 나노기술과 바이오기술[15]처럼 서로 다른 산업이 겹치는 경우에 집중되어 왔다. 한 산업 안에서 공정 단계를 가로지르는 융합은 좀처럼 다루어지지 않았으며, 가치사슬 상·하류 기업 간 특허 인용을 분석한 Karvonen과 Kässi[41]도 하나의 기술이 공정 단계의 경계를 넘는지를 특허 단위에서 검정하지는 않았다. 본 연구는 유럽특허청(EPO) PATSTAT의 하이브리드 본딩 관련 특허출원 928건을 협력적 특허분류(CPC) 기호에 따라 접합·인터커넥트 기술(H01L24)만 있는 조립 단독형, 제조공정 기술(H01L21)만 있는 공정 단독형, 둘이 함께 있는 통합형으로 나누고, 공동분류[11,16]를 두 산업 사이가 아니라 한 산업을 가로지르는 경계에 적용한다. 연구 질문은 셋이다. 제조공정과 접합 기술의 공동분류는 얼마나 일반적이며 시간에 따라 어떻게 변했는가, 어떤 특허 특성이 공동분류 유형과 관련되는가, 이러한 유형과 기술범위는 출원청별로 어떻게 다른가이다.</w:t>
      </w:r>
    </w:p>
    <w:bookmarkEnd w:id="9"/>
    <w:bookmarkStart w:id="15" w:name="이론적-배경"/>
    <w:p>
      <w:pPr>
        <w:pStyle w:val="Heading2"/>
      </w:pPr>
      <w:r>
        <w:t xml:space="preserve">2. 이론적 배경</w:t>
      </w:r>
    </w:p>
    <w:bookmarkStart w:id="10" w:name="기술융합과-특허-기반-측정"/>
    <w:p>
      <w:pPr>
        <w:pStyle w:val="Heading3"/>
      </w:pPr>
      <w:r>
        <w:t xml:space="preserve">2.1 기술융합과 특허 기반 측정</w:t>
      </w:r>
    </w:p>
    <w:p>
      <w:pPr>
        <w:pStyle w:val="FirstParagraph"/>
      </w:pPr>
      <w:r>
        <w:t xml:space="preserve">Rosenberg[9]는 한 제품을 위해 개발된 가공 기술이 다른 제품에도 쓰이게 되는 과정을 기술적 수렴이라 불렀고, Kodama[10]는 분리되어 있던 기술 분야를 결합해 어느 한쪽도 홀로 갖지 못한 역량을 만드는 과정을 기술융합이라 개념화했다. Hacklin et al.[32]은 융합이 지식, 기술, 응용, 산업의 융합으로 단계적으로 진행된다는 단계 모형을 제시했고, 이 단계들이 되먹임하며 공진화적 순환을 이룬다고 보았다[13]. Curran과 Leker[11]는 이를 특허 지표로 관찰하는 방법을 제시했다[12,17-19]. 이 문헌에서 융합은 보통 두 분야 사이의 공동분류나 인용을 집계한 분야 수준의 지표로 측정된다[20-26]. 이런 지표는 두 분야가 융합하는지, 언제 융합하는지를 알려 주지만 어떤 발명이 융합을 담고 있는지는 알려 주지 못한다. 본 연구는 공동분류를 분야 수준으로 집계하는 대신 개별 출원을 세 공동분류 유형으로 나눈다. CPC 기호는 심사관이 발명의 기술 내용에 부여하는 것이므로 공동분류는 두 영역의 기술이 한 발명에 함께 담겼다는 사실의 대리측정치이지 법적 청구범위의 측정치는 아니다.</w:t>
      </w:r>
    </w:p>
    <w:bookmarkEnd w:id="10"/>
    <w:bookmarkStart w:id="14" w:name="반도체-공정단계-사이의-융합과-산업-아키텍처"/>
    <w:p>
      <w:pPr>
        <w:pStyle w:val="Heading3"/>
      </w:pPr>
      <w:r>
        <w:t xml:space="preserve">2.2 반도체 공정단계 사이의 융합과 산업 아키텍처</w:t>
      </w:r>
    </w:p>
    <w:p>
      <w:pPr>
        <w:pStyle w:val="FirstParagraph"/>
      </w:pPr>
      <w:r>
        <w:t xml:space="preserve">반도체 산업의 공정 단계 경계는 수직 전문화 연구의 오랜 대상이었다[2,3,27]. Kapoor[1]는 전문화 속에서도 여러 단계에 걸친 역량을 유지한 기업이 기술 전환에 다르게 대응했고 그 선택이 산업 아키텍처를 만들어 왔음을, Kapoor와 Adner[42]는 부품과 시스템이 얽혀 있을 때 직접 만드는 범위보다 넓은 지식이 유리함을 보였다. 산업 아키텍처[28]는 공정 단계 사이의 인터페이스가 안정적일 때 전문화를 허용한다. 새 기술이 한 단계의 성능을 다른 단계의 지식에 의존하게 만들면 인터페이스가 불안정해지고, 기업은 경계 반대편의 지식을 획득해야 하며, 이 결합은 먼저 발명 수준에서 나타난다. 특허의 공동분류는 그 흔적이다. 하이브리드 본딩은 유전체 안에 구리 패드가 새겨진 두 평탄한 표면을 맞대어 상온에서 유전체끼리, 저온 어닐링 뒤 구리끼리 붙게 하는 기술로[6,7], 수율을 좌우하는 화학적 기계연마(CMP), 표면 활성화, 파티클 제어, 정밀 정렬은 CPC 분류상 접합 클래스(H01L24)가 아니라 제조공정 클래스(H01L21)에 속한다(Fig. 1). 독립적 산업 분석이 TSMC, Adeia, YMTC, Intel, Samsung을 특허 활동을 주도하는 출원인으로 꼽는 것[8]도 접합 기술이 후공정 전문기업만의 영역이 아님을 보여준다. 여기서 말하는 융합은 조직의 경계를 묻는 수직통합과 다르며, 지식의 경계를 묻는다. 산업 아키텍처는 직접 검정하는 결과변수가 아니라 결과를 해석하는 상위의 이론적 맥락이다.</w:t>
      </w:r>
    </w:p>
    <w:p>
      <w:pPr>
        <w:pStyle w:val="BodyText"/>
        <w:keepNext/>
      </w:pPr>
      <w:r>
        <w:drawing>
          <wp:inline>
            <wp:extent cx="5334000" cy="4233333"/>
            <wp:effectExtent b="0" l="0" r="0" t="0"/>
            <wp:docPr descr="" title="" id="12" name="Picture"/>
            <a:graphic>
              <a:graphicData uri="http://schemas.openxmlformats.org/drawingml/2006/picture">
                <pic:pic>
                  <pic:nvPicPr>
                    <pic:cNvPr descr="figures/fig_framework_psp.png" id="13" name="Picture"/>
                    <pic:cNvPicPr>
                      <a:picLocks noChangeArrowheads="1" noChangeAspect="1"/>
                    </pic:cNvPicPr>
                  </pic:nvPicPr>
                  <pic:blipFill>
                    <a:blip r:embed="rId11"/>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Enabling processes, bonding configurations, device structures and applications of hybrid bonding (drawn by the author based on Lau[6,7])</w:t>
      </w:r>
    </w:p>
    <w:bookmarkEnd w:id="14"/>
    <w:bookmarkEnd w:id="15"/>
    <w:bookmarkStart w:id="19" w:name="연구가설-및-연구방법"/>
    <w:p>
      <w:pPr>
        <w:pStyle w:val="Heading2"/>
      </w:pPr>
      <w:r>
        <w:t xml:space="preserve">3. 연구가설 및 연구방법</w:t>
      </w:r>
    </w:p>
    <w:bookmarkStart w:id="16" w:name="연구가설"/>
    <w:p>
      <w:pPr>
        <w:pStyle w:val="Heading3"/>
      </w:pPr>
      <w:r>
        <w:t xml:space="preserve">3.1 연구가설</w:t>
      </w:r>
    </w:p>
    <w:p>
      <w:pPr>
        <w:pStyle w:val="FirstParagraph"/>
      </w:pPr>
      <w:r>
        <w:rPr>
          <w:b/>
          <w:bCs/>
        </w:rPr>
        <w:t xml:space="preserve">3.1.1 기술적 다양성과 공동분류형.</w:t>
      </w:r>
      <w:r>
        <w:t xml:space="preserve"> </w:t>
      </w:r>
      <w:r>
        <w:t xml:space="preserve">경계 넘기가 융합의 한 형태라면 두 클래스 안에서 더 다양한 세부 기술 요소를 포함하는 출원일수록 두 영역의 기호가 함께 부여될 가능성이 높아야 한다[29-31]. 다만 기술범위와 공동분류 유형은 같은 CPC 집합에서 만들어지고 통합형은 정의상 두 클래스의 기호를 하나씩은 가지므로, H1은 인과적 결정요인이 아니라 통합형 특허의 구성적 특징에 관한 가설이다.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3.1.2 출원연도와 공정 단독형.</w:t>
      </w:r>
      <w:r>
        <w:t xml:space="preserve"> </w:t>
      </w:r>
      <w:r>
        <w:t xml:space="preserve">융합의 단계 모형[23,32]에 따르면 기술이 발전하면서 융합의 형태도 바뀐다. 하이브리드 본딩의 초기 발명은 표면 준비, 저온 어닐링, 평탄화처럼 직접 접합을 가능하게 한 공정 단계에 관한 것이었고, 적용 범위가 웨이퍼 단위에서 다이 단위 접합으로 넓어지면서 발명의 중심은 접합된 구조와 적층으로 옮겨 갔다[6]. 출원연도에는 분류 체계, 출원인 구성, 공개 시차도 반영되므로 연도 효과는 시간에 따른 변화로 해석한다.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3.1.3 출원청별 차이.</w:t>
      </w:r>
      <w:r>
        <w:t xml:space="preserve"> </w:t>
      </w:r>
      <w:r>
        <w:t xml:space="preserve">중국의 특허 급증은 제도 변화와 외국인직접투자[33], 건수를 보상하는 보조금 정책[34]에 힘입었고, 반도체 가치사슬에서 중국의 위치는 빠르게 바뀌어 왔다[35]. 후발국의 특허 활동이 공정별 병목의 해소와 특정 제조 단계의 권리 확보에 집중된다면[36] 하나의 출원이 포괄하는 기술 요소는 시스템 전체의 통합보다 개별 공정 문제의 해결에 가까워지고, 두 클래스 안의 CPC 범위는 좁아지며 공정 단독형의 비중은 높아질 것이다. 범위와 유형은 다른 모형으로 검정되므로 가설을 둘로 나눈다. 일본 출원청은 표본이 26건에 그쳐 가설로 세우지 않는다.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bookmarkEnd w:id="16"/>
    <w:bookmarkStart w:id="17" w:name="데이터-및-변수"/>
    <w:p>
      <w:pPr>
        <w:pStyle w:val="Heading3"/>
      </w:pPr>
      <w:r>
        <w:t xml:space="preserve">3.2 데이터 및 변수</w:t>
      </w:r>
    </w:p>
    <w:p>
      <w:pPr>
        <w:pStyle w:val="FirstParagraph"/>
      </w:pPr>
      <w:r>
        <w:t xml:space="preserve">자료는 PATSTAT Global 2025년판에서 가져왔다[37]. Table 1의 검색 전략에 따라 CPC H01L21 또는 H01L24 계열 기호를 하나 이상 가진 출원을 후보로 한정한 뒤, 영문 제목을 소문자로 바꾸어 지정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중 하나 이상이 들어 있는 출원만 남겼다. 두 조건을 모두 만족해야 하며, 검색에는 두 클래스의 인덱싱 코드도 썼으나 추출된 레코드에는 본 클래스의 기호만 보존되었다. 출원–CPC 쌍 5,277건을 출원 식별자별로 집계하면 1968–2024년의 928건이 되며, 분석단위는 개별 특허출원이다. 추출 단계에서 두 클래스 밖의 기호는 보존되지 않았으므로 모든 기호는 H01L21 계열(202개)과 H01L24 계열(60개)의 서브그룹 기호 262개다. 이 광의의 표본은 현대의 하이브리드 본딩뿐 아니라 초기 직접 접합 전구 기술을 함께 포착한다.</w:t>
      </w:r>
    </w:p>
    <w:p>
      <w:pPr>
        <w:pStyle w:val="BodyText"/>
        <w:keepNext/>
      </w:pPr>
      <w:r>
        <w:rPr>
          <w:b/>
          <w:bCs/>
        </w:rPr>
        <w:t xml:space="preserve">Table 1.</w:t>
      </w:r>
      <w:r>
        <w:t xml:space="preserve"> </w:t>
      </w:r>
      <w:r>
        <w:t xml:space="preserve">Search strategy for hybrid-bonding-related applications</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87"/>
        <w:gridCol w:w="2040"/>
        <w:gridCol w:w="5442"/>
      </w:tblGrid>
      <w:tr>
        <w:trPr>
          <w:tblHeader w:val="on"/>
          <w:cantSplit/>
        </w:trPr>
        <w:tc>
          <w:tcPr>
            <w:tcW w:type="dxa" w:w="1587"/>
            <w:tcBorders>
              <w:bottom w:val="single" w:sz="4" w:space="0" w:color="000000"/>
            </w:tcBorders>
          </w:tcPr>
          <w:p>
            <w:pPr>
              <w:pStyle w:val="Compact"/>
              <w:spacing w:before="20" w:after="20" w:line="240" w:lineRule="auto"/>
              <w:keepNext/>
            </w:pPr>
            <w:r>
              <w:rPr>
                <w:sz w:val="18"/>
                <w:szCs w:val="18"/>
              </w:rPr>
              <w:t xml:space="preserve">Step</w:t>
            </w:r>
          </w:p>
        </w:tc>
        <w:tc>
          <w:tcPr>
            <w:tcW w:type="dxa" w:w="2040"/>
            <w:tcBorders>
              <w:bottom w:val="single" w:sz="4" w:space="0" w:color="000000"/>
            </w:tcBorders>
          </w:tcPr>
          <w:p>
            <w:pPr>
              <w:pStyle w:val="Compact"/>
              <w:spacing w:before="20" w:after="20" w:line="240" w:lineRule="auto"/>
              <w:keepNext/>
            </w:pPr>
            <w:r>
              <w:rPr>
                <w:sz w:val="18"/>
                <w:szCs w:val="18"/>
              </w:rPr>
              <w:t xml:space="preserve">Condition</w:t>
            </w:r>
          </w:p>
        </w:tc>
        <w:tc>
          <w:tcPr>
            <w:tcW w:type="dxa" w:w="5442"/>
            <w:tcBorders>
              <w:bottom w:val="single" w:sz="4" w:space="0" w:color="000000"/>
            </w:tcBorders>
          </w:tcPr>
          <w:p>
            <w:pPr>
              <w:pStyle w:val="Compact"/>
              <w:spacing w:before="20" w:after="20" w:line="240" w:lineRule="auto"/>
              <w:keepNext/>
            </w:pPr>
            <w:r>
              <w:rPr>
                <w:sz w:val="18"/>
                <w:szCs w:val="18"/>
              </w:rPr>
              <w:t xml:space="preserve">Description</w:t>
            </w:r>
          </w:p>
        </w:tc>
      </w:tr>
      <w:tr>
        <w:trPr>
          <w:cantSplit/>
        </w:trPr>
        <w:tc>
          <w:tcPr>
            <w:tcW w:type="dxa" w:w="1587"/>
          </w:tcPr>
          <w:p>
            <w:pPr>
              <w:pStyle w:val="Compact"/>
              <w:spacing w:before="20" w:after="20" w:line="240" w:lineRule="auto"/>
              <w:keepNext/>
            </w:pPr>
            <w:r>
              <w:rPr>
                <w:sz w:val="18"/>
                <w:szCs w:val="18"/>
              </w:rPr>
              <w:t xml:space="preserve">CPC</w:t>
            </w:r>
          </w:p>
        </w:tc>
        <w:tc>
          <w:tcPr>
            <w:tcW w:type="dxa" w:w="2040"/>
          </w:tcPr>
          <w:p>
            <w:pPr>
              <w:pStyle w:val="Compact"/>
              <w:spacing w:before="20" w:after="20" w:line="240" w:lineRule="auto"/>
              <w:keepNext/>
            </w:pPr>
            <w:r>
              <w:rPr>
                <w:sz w:val="18"/>
                <w:szCs w:val="18"/>
              </w:rPr>
              <w:t xml:space="preserve">H01L21</w:t>
            </w:r>
          </w:p>
        </w:tc>
        <w:tc>
          <w:tcPr>
            <w:tcW w:type="dxa" w:w="5442"/>
          </w:tcPr>
          <w:p>
            <w:pPr>
              <w:pStyle w:val="Compact"/>
              <w:spacing w:before="20" w:after="20" w:line="240" w:lineRule="auto"/>
              <w:keepNext/>
            </w:pPr>
            <w:r>
              <w:rPr>
                <w:sz w:val="18"/>
                <w:szCs w:val="18"/>
              </w:rPr>
              <w:t xml:space="preserve">Processes and apparatus for manufacturing semiconductor devices, including wafer bonding (21/18, 21/20), isolation, interconnect and TSV (21/76), substrate and insulating-layer treatment (21/02), CMP (21/30–21/32); also assembly-stage processes (21/48, 21/50–21/58, 21/60, 21/78) and equipment (21/67–21/68)</w:t>
            </w:r>
          </w:p>
        </w:tc>
      </w:tr>
      <w:tr>
        <w:trPr>
          <w:cantSplit/>
        </w:trPr>
        <w:tc>
          <w:tcPr>
            <w:tcW w:type="dxa" w:w="1587"/>
          </w:tcPr>
          <w:p>
            <w:pPr>
              <w:pStyle w:val="Compact"/>
              <w:spacing w:before="20" w:after="20" w:line="240" w:lineRule="auto"/>
              <w:keepNext/>
            </w:pPr>
            <w:r>
              <w:rPr>
                <w:sz w:val="18"/>
                <w:szCs w:val="18"/>
              </w:rPr>
              <w:t xml:space="preserve">CPC</w:t>
            </w:r>
          </w:p>
        </w:tc>
        <w:tc>
          <w:tcPr>
            <w:tcW w:type="dxa" w:w="2040"/>
          </w:tcPr>
          <w:p>
            <w:pPr>
              <w:pStyle w:val="Compact"/>
              <w:spacing w:before="20" w:after="20" w:line="240" w:lineRule="auto"/>
              <w:keepNext/>
            </w:pPr>
            <w:r>
              <w:rPr>
                <w:sz w:val="18"/>
                <w:szCs w:val="18"/>
              </w:rPr>
              <w:t xml:space="preserve">H01L24</w:t>
            </w:r>
          </w:p>
        </w:tc>
        <w:tc>
          <w:tcPr>
            <w:tcW w:type="dxa" w:w="5442"/>
          </w:tcPr>
          <w:p>
            <w:pPr>
              <w:pStyle w:val="Compact"/>
              <w:spacing w:before="20" w:after="20" w:line="240" w:lineRule="auto"/>
              <w:keepNext/>
            </w:pPr>
            <w:r>
              <w:rPr>
                <w:sz w:val="18"/>
                <w:szCs w:val="18"/>
              </w:rPr>
              <w:t xml:space="preserve">Connector structures, bump, layer and wire connections, and related methods and apparatus for connecting or disconnecting semiconductor or solid-state bodies</w:t>
            </w:r>
          </w:p>
        </w:tc>
      </w:tr>
      <w:tr>
        <w:trPr>
          <w:cantSplit/>
        </w:trPr>
        <w:tc>
          <w:tcPr>
            <w:tcW w:type="dxa" w:w="1587"/>
          </w:tcPr>
          <w:p>
            <w:pPr>
              <w:pStyle w:val="Compact"/>
              <w:spacing w:before="20" w:after="20" w:line="240" w:lineRule="auto"/>
              <w:keepNext/>
            </w:pPr>
            <w:r>
              <w:rPr>
                <w:sz w:val="18"/>
                <w:szCs w:val="18"/>
              </w:rPr>
              <w:t xml:space="preserve">Keyword</w:t>
            </w:r>
          </w:p>
        </w:tc>
        <w:tc>
          <w:tcPr>
            <w:tcW w:type="dxa" w:w="2040"/>
          </w:tcPr>
          <w:p>
            <w:pPr>
              <w:pStyle w:val="Compact"/>
              <w:spacing w:before="20" w:after="20" w:line="240" w:lineRule="auto"/>
              <w:keepNext/>
            </w:pPr>
            <w:r>
              <w:rPr>
                <w:sz w:val="18"/>
                <w:szCs w:val="18"/>
              </w:rPr>
              <w:t xml:space="preserve">Title</w:t>
            </w:r>
          </w:p>
        </w:tc>
        <w:tc>
          <w:tcPr>
            <w:tcW w:type="dxa" w:w="5442"/>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(both the CPC and the keyword condition must hold)</w:t>
            </w:r>
          </w:p>
        </w:tc>
      </w:tr>
    </w:tbl>
    <w:p>
      <w:pPr>
        <w:pStyle w:val="BodyText"/>
      </w:pPr>
      <w:r>
        <w:t xml:space="preserve">Table 1이 보여주듯 H01L21에는 웨이퍼 제조공정 외에 조립 단계의 제조공정과 공정 장치도 포함되므로, 본 연구는 H01L21을 전공정 그 자체로 보지 않는다. 표본의 H01L21 계열 기호 1,636건 가운데 조립 단계 공정(패키지 부품 제조, 실장·봉지, 리드 부착, 다이싱)이 403건(24.6%)이며, 그럼에도 하이브리드 본딩의 성능을 좌우하는 웨이퍼 준비, 표면 처리, 평탄화가 H01L21에 다수 포함되고 접합·인터커넥트 기술은 H01L24에 모여 있으므로 두 클래스의 공동분류를 제조공정 영역과 접합 영역 사이의 경계 넘기를 재는 대리측정치로 쓴다.</w:t>
      </w:r>
    </w:p>
    <w:p>
      <w:pPr>
        <w:pStyle w:val="BodyText"/>
      </w:pPr>
      <w:r>
        <w:t xml:space="preserve">Table 2는 변수를 정의한다. 기술범위(breadth)는 출원별 H01L21·H01L24 계열의 서로 다른 CPC 서브그룹 수로 분류 기호의 수로 범위를 재는 Lerner[29]의 방식을 두 클래스 안에 적용한 것이다. 통합형은 최소 breadth가 2이고 단독형은 1이므로, 보유 클래스마다 최소 1개 기호를 차감한 유형 최소치 조정 CPC 범위(breadth_adj)를 탐색적 지표로 따로 둔다. 자료에 출원인 정보가 없으므로 출원청 계수는 관할권의 인과효과가 아니라 해당 출원청에 제출된 발명 포트폴리오의 조건부 구성 차이로 해석한다.</w:t>
      </w:r>
    </w:p>
    <w:p>
      <w:pPr>
        <w:pStyle w:val="BodyText"/>
        <w:keepNext/>
      </w:pPr>
      <w:r>
        <w:rPr>
          <w:b/>
          <w:bCs/>
        </w:rPr>
        <w:t xml:space="preserve">Table 2.</w:t>
      </w:r>
      <w:r>
        <w:t xml:space="preserve"> </w:t>
      </w:r>
      <w:r>
        <w:t xml:space="preserve">Variable definitions</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357"/>
        <w:gridCol w:w="3085"/>
        <w:gridCol w:w="1542"/>
        <w:gridCol w:w="3085"/>
      </w:tblGrid>
      <w:tr>
        <w:trPr>
          <w:tblHeader w:val="on"/>
          <w:cantSplit/>
        </w:trPr>
        <w:tc>
          <w:tcPr>
            <w:tcW w:type="dxa" w:w="1357"/>
            <w:tcBorders>
              <w:bottom w:val="single" w:sz="4" w:space="0" w:color="000000"/>
            </w:tcBorders>
          </w:tcPr>
          <w:p>
            <w:pPr>
              <w:pStyle w:val="Compact"/>
              <w:spacing w:before="20" w:after="20" w:line="240" w:lineRule="auto"/>
              <w:keepNext/>
            </w:pPr>
            <w:r>
              <w:rPr>
                <w:sz w:val="16"/>
                <w:szCs w:val="16"/>
              </w:rPr>
              <w:t xml:space="preserve">Variable</w:t>
            </w:r>
          </w:p>
        </w:tc>
        <w:tc>
          <w:tcPr>
            <w:tcW w:type="dxa" w:w="3085"/>
            <w:tcBorders>
              <w:bottom w:val="single" w:sz="4" w:space="0" w:color="000000"/>
            </w:tcBorders>
          </w:tcPr>
          <w:p>
            <w:pPr>
              <w:pStyle w:val="Compact"/>
              <w:spacing w:before="20" w:after="20" w:line="240" w:lineRule="auto"/>
              <w:keepNext/>
            </w:pPr>
            <w:r>
              <w:rPr>
                <w:sz w:val="16"/>
                <w:szCs w:val="16"/>
              </w:rPr>
              <w:t xml:space="preserve">Definition</w:t>
            </w:r>
          </w:p>
        </w:tc>
        <w:tc>
          <w:tcPr>
            <w:tcW w:type="dxa" w:w="1542"/>
            <w:tcBorders>
              <w:bottom w:val="single" w:sz="4" w:space="0" w:color="000000"/>
            </w:tcBorders>
          </w:tcPr>
          <w:p>
            <w:pPr>
              <w:pStyle w:val="Compact"/>
              <w:spacing w:before="20" w:after="20" w:line="240" w:lineRule="auto"/>
              <w:keepNext/>
            </w:pPr>
            <w:r>
              <w:rPr>
                <w:sz w:val="16"/>
                <w:szCs w:val="16"/>
              </w:rPr>
              <w:t xml:space="preserve">Type</w:t>
            </w:r>
          </w:p>
        </w:tc>
        <w:tc>
          <w:tcPr>
            <w:tcW w:type="dxa" w:w="3085"/>
            <w:tcBorders>
              <w:bottom w:val="single" w:sz="4" w:space="0" w:color="000000"/>
            </w:tcBorders>
          </w:tcPr>
          <w:p>
            <w:pPr>
              <w:pStyle w:val="Compact"/>
              <w:spacing w:before="20" w:after="20" w:line="240" w:lineRule="auto"/>
              <w:keepNext/>
            </w:pPr>
            <w:r>
              <w:rPr>
                <w:sz w:val="16"/>
                <w:szCs w:val="16"/>
              </w:rPr>
              <w:t xml:space="preserve">Caution</w:t>
            </w:r>
          </w:p>
        </w:tc>
      </w:tr>
      <w:tr>
        <w:trPr>
          <w:cantSplit/>
        </w:trPr>
        <w:tc>
          <w:tcPr>
            <w:tcW w:type="dxa" w:w="1357"/>
          </w:tcPr>
          <w:p>
            <w:pPr>
              <w:pStyle w:val="Compact"/>
              <w:spacing w:before="20" w:after="20" w:line="240" w:lineRule="auto"/>
              <w:keepNext/>
            </w:pPr>
            <w:r>
              <w:rPr>
                <w:sz w:val="16"/>
                <w:szCs w:val="16"/>
              </w:rPr>
              <w:t xml:space="preserve">breadth</w:t>
            </w:r>
          </w:p>
        </w:tc>
        <w:tc>
          <w:tcPr>
            <w:tcW w:type="dxa" w:w="3085"/>
          </w:tcPr>
          <w:p>
            <w:pPr>
              <w:pStyle w:val="Compact"/>
              <w:spacing w:before="20" w:after="20" w:line="240" w:lineRule="auto"/>
              <w:keepNext/>
            </w:pPr>
            <w:r>
              <w:rPr>
                <w:sz w:val="16"/>
                <w:szCs w:val="16"/>
              </w:rPr>
              <w:t xml:space="preserve">Number of distinct H01L21/H01L24 CPC subgroups assigned to the application (within-class CPC breadth)</w:t>
            </w:r>
          </w:p>
        </w:tc>
        <w:tc>
          <w:tcPr>
            <w:tcW w:type="dxa" w:w="1542"/>
          </w:tcPr>
          <w:p>
            <w:pPr>
              <w:pStyle w:val="Compact"/>
              <w:spacing w:before="20" w:after="20" w:line="240" w:lineRule="auto"/>
              <w:keepNext/>
            </w:pPr>
            <w:r>
              <w:rPr>
                <w:sz w:val="16"/>
                <w:szCs w:val="16"/>
              </w:rPr>
              <w:t xml:space="preserve">Count, 1–21</w:t>
            </w:r>
          </w:p>
        </w:tc>
        <w:tc>
          <w:tcPr>
            <w:tcW w:type="dxa" w:w="3085"/>
          </w:tcPr>
          <w:p>
            <w:pPr>
              <w:pStyle w:val="Compact"/>
              <w:spacing w:before="20" w:after="20" w:line="240" w:lineRule="auto"/>
              <w:keepNext/>
            </w:pPr>
            <w:r>
              <w:rPr>
                <w:sz w:val="16"/>
                <w:szCs w:val="16"/>
              </w:rPr>
              <w:t xml:space="preserve">Not total CPC scope or legal claim scope</w:t>
            </w:r>
          </w:p>
        </w:tc>
      </w:tr>
      <w:tr>
        <w:trPr>
          <w:cantSplit/>
        </w:trPr>
        <w:tc>
          <w:tcPr>
            <w:tcW w:type="dxa" w:w="1357"/>
          </w:tcPr>
          <w:p>
            <w:pPr>
              <w:pStyle w:val="Compact"/>
              <w:spacing w:before="20" w:after="20" w:line="240" w:lineRule="auto"/>
              <w:keepNext/>
            </w:pPr>
            <w:r>
              <w:rPr>
                <w:sz w:val="16"/>
                <w:szCs w:val="16"/>
              </w:rPr>
              <w:t xml:space="preserve">breadth_adj</w:t>
            </w:r>
          </w:p>
        </w:tc>
        <w:tc>
          <w:tcPr>
            <w:tcW w:type="dxa" w:w="3085"/>
          </w:tcPr>
          <w:p>
            <w:pPr>
              <w:pStyle w:val="Compact"/>
              <w:spacing w:before="20" w:after="20" w:line="240" w:lineRule="auto"/>
              <w:keepNext/>
            </w:pPr>
            <w:r>
              <w:rPr>
                <w:sz w:val="16"/>
                <w:szCs w:val="16"/>
              </w:rPr>
              <w:t xml:space="preserve">breadth minus one symbol per class held (stand-alone types: breadth − 1; integrated: breadth − 2)</w:t>
            </w:r>
          </w:p>
        </w:tc>
        <w:tc>
          <w:tcPr>
            <w:tcW w:type="dxa" w:w="1542"/>
          </w:tcPr>
          <w:p>
            <w:pPr>
              <w:pStyle w:val="Compact"/>
              <w:spacing w:before="20" w:after="20" w:line="240" w:lineRule="auto"/>
              <w:keepNext/>
            </w:pPr>
            <w:r>
              <w:rPr>
                <w:sz w:val="16"/>
                <w:szCs w:val="16"/>
              </w:rPr>
              <w:t xml:space="preserve">Count, 0–19</w:t>
            </w:r>
          </w:p>
        </w:tc>
        <w:tc>
          <w:tcPr>
            <w:tcW w:type="dxa" w:w="3085"/>
          </w:tcPr>
          <w:p>
            <w:pPr>
              <w:pStyle w:val="Compact"/>
              <w:spacing w:before="20" w:after="20" w:line="240" w:lineRule="auto"/>
              <w:keepNext/>
            </w:pPr>
            <w:r>
              <w:rPr>
                <w:sz w:val="16"/>
                <w:szCs w:val="16"/>
              </w:rPr>
              <w:t xml:space="preserve">Exploratory; built with type information</w:t>
            </w:r>
          </w:p>
        </w:tc>
      </w:tr>
      <w:tr>
        <w:trPr>
          <w:cantSplit/>
        </w:trPr>
        <w:tc>
          <w:tcPr>
            <w:tcW w:type="dxa" w:w="1357"/>
          </w:tcPr>
          <w:p>
            <w:pPr>
              <w:pStyle w:val="Compact"/>
              <w:spacing w:before="20" w:after="20" w:line="240" w:lineRule="auto"/>
              <w:keepNext/>
            </w:pPr>
            <w:r>
              <w:rPr>
                <w:sz w:val="16"/>
                <w:szCs w:val="16"/>
              </w:rPr>
              <w:t xml:space="preserve">tech_cat</w:t>
            </w:r>
          </w:p>
        </w:tc>
        <w:tc>
          <w:tcPr>
            <w:tcW w:type="dxa" w:w="3085"/>
          </w:tcPr>
          <w:p>
            <w:pPr>
              <w:pStyle w:val="Compact"/>
              <w:spacing w:before="20" w:after="20" w:line="240" w:lineRule="auto"/>
              <w:keepNext/>
            </w:pPr>
            <w:r>
              <w:rPr>
                <w:sz w:val="16"/>
                <w:szCs w:val="16"/>
              </w:rPr>
              <w:t xml:space="preserve">Co-classification type: assembly-only (H01L24 only) / integrated (both) / process-only (H01L21 only)</w:t>
            </w:r>
          </w:p>
        </w:tc>
        <w:tc>
          <w:tcPr>
            <w:tcW w:type="dxa" w:w="1542"/>
          </w:tcPr>
          <w:p>
            <w:pPr>
              <w:pStyle w:val="Compact"/>
              <w:spacing w:before="20" w:after="20" w:line="240" w:lineRule="auto"/>
              <w:keepNext/>
            </w:pPr>
            <w:r>
              <w:rPr>
                <w:sz w:val="16"/>
                <w:szCs w:val="16"/>
              </w:rPr>
              <w:t xml:space="preserve">3 categories</w:t>
            </w:r>
          </w:p>
        </w:tc>
        <w:tc>
          <w:tcPr>
            <w:tcW w:type="dxa" w:w="3085"/>
          </w:tcPr>
          <w:p>
            <w:pPr>
              <w:pStyle w:val="Compact"/>
              <w:spacing w:before="20" w:after="20" w:line="240" w:lineRule="auto"/>
              <w:keepNext/>
            </w:pPr>
            <w:r>
              <w:rPr>
                <w:sz w:val="16"/>
                <w:szCs w:val="16"/>
              </w:rPr>
              <w:t xml:space="preserve">Combination of classifications, not firm strategy</w:t>
            </w:r>
          </w:p>
        </w:tc>
      </w:tr>
      <w:tr>
        <w:trPr>
          <w:cantSplit/>
        </w:trPr>
        <w:tc>
          <w:tcPr>
            <w:tcW w:type="dxa" w:w="1357"/>
          </w:tcPr>
          <w:p>
            <w:pPr>
              <w:pStyle w:val="Compact"/>
              <w:spacing w:before="20" w:after="20" w:line="240" w:lineRule="auto"/>
              <w:keepNext/>
            </w:pPr>
            <w:r>
              <w:rPr>
                <w:sz w:val="16"/>
                <w:szCs w:val="16"/>
              </w:rPr>
              <w:t xml:space="preserve">ccode</w:t>
            </w:r>
          </w:p>
        </w:tc>
        <w:tc>
          <w:tcPr>
            <w:tcW w:type="dxa" w:w="3085"/>
          </w:tcPr>
          <w:p>
            <w:pPr>
              <w:pStyle w:val="Compact"/>
              <w:spacing w:before="20" w:after="20" w:line="240" w:lineRule="auto"/>
              <w:keepNext/>
            </w:pPr>
            <w:r>
              <w:rPr>
                <w:sz w:val="16"/>
                <w:szCs w:val="16"/>
              </w:rPr>
              <w:t xml:space="preserve">Filing office or route: US (reference), CN, KR, TW, JP, EP, WO (PCT), other</w:t>
            </w:r>
          </w:p>
        </w:tc>
        <w:tc>
          <w:tcPr>
            <w:tcW w:type="dxa" w:w="1542"/>
          </w:tcPr>
          <w:p>
            <w:pPr>
              <w:pStyle w:val="Compact"/>
              <w:spacing w:before="20" w:after="20" w:line="240" w:lineRule="auto"/>
              <w:keepNext/>
            </w:pPr>
            <w:r>
              <w:rPr>
                <w:sz w:val="16"/>
                <w:szCs w:val="16"/>
              </w:rPr>
              <w:t xml:space="preserve">8 categories</w:t>
            </w:r>
          </w:p>
        </w:tc>
        <w:tc>
          <w:tcPr>
            <w:tcW w:type="dxa" w:w="3085"/>
          </w:tcPr>
          <w:p>
            <w:pPr>
              <w:pStyle w:val="Compact"/>
              <w:spacing w:before="20" w:after="20" w:line="240" w:lineRule="auto"/>
              <w:keepNext/>
            </w:pPr>
            <w:r>
              <w:rPr>
                <w:sz w:val="16"/>
                <w:szCs w:val="16"/>
              </w:rPr>
              <w:t xml:space="preserve">Not applicant nationality</w:t>
            </w:r>
          </w:p>
        </w:tc>
      </w:tr>
      <w:tr>
        <w:trPr>
          <w:cantSplit/>
        </w:trPr>
        <w:tc>
          <w:tcPr>
            <w:tcW w:type="dxa" w:w="1357"/>
          </w:tcPr>
          <w:p>
            <w:pPr>
              <w:pStyle w:val="Compact"/>
              <w:spacing w:before="20" w:after="20" w:line="240" w:lineRule="auto"/>
              <w:keepNext/>
            </w:pPr>
            <w:r>
              <w:rPr>
                <w:sz w:val="16"/>
                <w:szCs w:val="16"/>
              </w:rPr>
              <w:t xml:space="preserve">yc</w:t>
            </w:r>
          </w:p>
        </w:tc>
        <w:tc>
          <w:tcPr>
            <w:tcW w:type="dxa" w:w="3085"/>
          </w:tcPr>
          <w:p>
            <w:pPr>
              <w:pStyle w:val="Compact"/>
              <w:spacing w:before="20" w:after="20" w:line="240" w:lineRule="auto"/>
              <w:keepNext/>
            </w:pPr>
            <w:r>
              <w:rPr>
                <w:sz w:val="16"/>
                <w:szCs w:val="16"/>
              </w:rPr>
              <w:t xml:space="preserve">Filing year minus 1968; sample mean 49.7 (2017.7)</w:t>
            </w:r>
          </w:p>
        </w:tc>
        <w:tc>
          <w:tcPr>
            <w:tcW w:type="dxa" w:w="1542"/>
          </w:tcPr>
          <w:p>
            <w:pPr>
              <w:pStyle w:val="Compact"/>
              <w:spacing w:before="20" w:after="20" w:line="240" w:lineRule="auto"/>
              <w:keepNext/>
            </w:pPr>
            <w:r>
              <w:rPr>
                <w:sz w:val="16"/>
                <w:szCs w:val="16"/>
              </w:rPr>
              <w:t xml:space="preserve">Integer, 0–56</w:t>
            </w:r>
          </w:p>
        </w:tc>
        <w:tc>
          <w:tcPr>
            <w:tcW w:type="dxa" w:w="3085"/>
          </w:tcPr>
          <w:p>
            <w:pPr>
              <w:pStyle w:val="Compact"/>
              <w:spacing w:before="20" w:after="20" w:line="240" w:lineRule="auto"/>
              <w:keepNext/>
            </w:pPr>
            <w:r>
              <w:rPr>
                <w:sz w:val="16"/>
                <w:szCs w:val="16"/>
              </w:rPr>
              <w:t xml:space="preserve">Not a direct measure of maturity</w:t>
            </w:r>
          </w:p>
        </w:tc>
      </w:tr>
    </w:tbl>
    <w:bookmarkEnd w:id="17"/>
    <w:bookmarkStart w:id="18" w:name="분석방법"/>
    <w:p>
      <w:pPr>
        <w:pStyle w:val="Heading3"/>
      </w:pPr>
      <w:r>
        <w:t xml:space="preserve">3.3 분석방법</w:t>
      </w:r>
    </w:p>
    <w:p>
      <w:pPr>
        <w:pStyle w:val="FirstParagraph"/>
      </w:pPr>
      <w:r>
        <w:t xml:space="preserve">기술범위는 1–21의 정수로 측정되는 카운트 변수이고 분산이 평균보다 훨씬 커서(과산포 모수 α = 0.268, 표준오차 0.020) Poisson 대신 음이항 회귀를 쓰며, 계수의 지수값인 발생률비(IRR)를 출원당 기대 CPC 서브그룹 수의 비율로 해석한다[38]. 이 모형이 H3a의 주모형이다. 공동분류 유형은 순서 없는 세 범주이므로 조립 단독형을 기준으로 하는 다항 로짓[39]으로 추정하고 상대위험비(RRR)로 보고하며, 이 모형이 H1, H2, H3b의 주모형이다. 설명변수는 출원연도와 출원청 더미이고 다항 로짓에는 기술범위를 더한다. RRR은 비율 척도이므로 관심 변수만 바꾸고 나머지는 각 출원의 관측값에 둔 채 표본 전체에서 평균한 평균 예측확률을 함께 제시한다. 가설과 모형의 대응은 Table 3에 정리하였다. H1은 다항 로짓의 기술범위 계수(통합형 대 조립 단독형)로, H2는 다항 로짓의 출원연도 계수(공정 단독형 대 조립 단독형)로, H3a는 음이항 회귀의 중국 출원청 계수로, H3b는 다항 로짓의 중국 출원청 계수(공정 단독형 대 조립 단독형)로 검정한다. 가설 판정에는 5% 유의수준을 쓰되, 기준모형과 대안 표본·정의, 동일 제목 군집 표준오차에서 계수의 방향, 효과 크기, 유의성이 일관되는지를 함께 본다. 모든 계수는 인과효과가 아니라 조건부 연관이다.</w:t>
      </w:r>
    </w:p>
    <w:p>
      <w:pPr>
        <w:pStyle w:val="BodyText"/>
        <w:keepNext/>
      </w:pPr>
      <w:r>
        <w:rPr>
          <w:b/>
          <w:bCs/>
        </w:rPr>
        <w:t xml:space="preserve">Table 3.</w:t>
      </w:r>
      <w:r>
        <w:t xml:space="preserve"> </w:t>
      </w:r>
      <w:r>
        <w:t xml:space="preserve">Regression model, coefficient, and statistic used to test each hypothesis</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026"/>
        <w:gridCol w:w="1937"/>
        <w:gridCol w:w="2135"/>
        <w:gridCol w:w="2086"/>
        <w:gridCol w:w="1888"/>
      </w:tblGrid>
      <w:tr>
        <w:trPr>
          <w:tblHeader w:val="on"/>
          <w:cantSplit/>
        </w:trPr>
        <w:tc>
          <w:tcPr>
            <w:tcW w:type="dxa" w:w="1026"/>
            <w:tcBorders>
              <w:bottom w:val="single" w:sz="4" w:space="0" w:color="000000"/>
            </w:tcBorders>
          </w:tcPr>
          <w:p>
            <w:pPr>
              <w:pStyle w:val="Compact"/>
              <w:spacing w:before="20" w:after="20" w:line="240" w:lineRule="auto"/>
              <w:keepNext/>
            </w:pPr>
            <w:r>
              <w:rPr>
                <w:sz w:val="13"/>
                <w:szCs w:val="13"/>
              </w:rPr>
              <w:t xml:space="preserve">Hypothesis</w:t>
            </w:r>
          </w:p>
        </w:tc>
        <w:tc>
          <w:tcPr>
            <w:tcW w:type="dxa" w:w="1937"/>
            <w:tcBorders>
              <w:bottom w:val="single" w:sz="4" w:space="0" w:color="000000"/>
            </w:tcBorders>
          </w:tcPr>
          <w:p>
            <w:pPr>
              <w:pStyle w:val="Compact"/>
              <w:spacing w:before="20" w:after="20" w:line="240" w:lineRule="auto"/>
              <w:keepNext/>
            </w:pPr>
            <w:r>
              <w:rPr>
                <w:sz w:val="13"/>
                <w:szCs w:val="13"/>
              </w:rPr>
              <w:t xml:space="preserve">Dependent variable (scale)</w:t>
            </w:r>
          </w:p>
        </w:tc>
        <w:tc>
          <w:tcPr>
            <w:tcW w:type="dxa" w:w="2135"/>
            <w:tcBorders>
              <w:bottom w:val="single" w:sz="4" w:space="0" w:color="000000"/>
            </w:tcBorders>
          </w:tcPr>
          <w:p>
            <w:pPr>
              <w:pStyle w:val="Compact"/>
              <w:spacing w:before="20" w:after="20" w:line="240" w:lineRule="auto"/>
              <w:keepNext/>
            </w:pPr>
            <w:r>
              <w:rPr>
                <w:sz w:val="13"/>
                <w:szCs w:val="13"/>
              </w:rPr>
              <w:t xml:space="preserve">Main model</w:t>
            </w:r>
          </w:p>
        </w:tc>
        <w:tc>
          <w:tcPr>
            <w:tcW w:type="dxa" w:w="2086"/>
            <w:tcBorders>
              <w:bottom w:val="single" w:sz="4" w:space="0" w:color="000000"/>
            </w:tcBorders>
          </w:tcPr>
          <w:p>
            <w:pPr>
              <w:pStyle w:val="Compact"/>
              <w:spacing w:before="20" w:after="20" w:line="240" w:lineRule="auto"/>
              <w:keepNext/>
            </w:pPr>
            <w:r>
              <w:rPr>
                <w:sz w:val="13"/>
                <w:szCs w:val="13"/>
              </w:rPr>
              <w:t xml:space="preserve">Coefficient examined</w:t>
            </w:r>
          </w:p>
        </w:tc>
        <w:tc>
          <w:tcPr>
            <w:tcW w:type="dxa" w:w="1888"/>
            <w:tcBorders>
              <w:bottom w:val="single" w:sz="4" w:space="0" w:color="000000"/>
            </w:tcBorders>
          </w:tcPr>
          <w:p>
            <w:pPr>
              <w:pStyle w:val="Compact"/>
              <w:spacing w:before="20" w:after="20" w:line="240" w:lineRule="auto"/>
              <w:keepNext/>
            </w:pPr>
            <w:r>
              <w:rPr>
                <w:sz w:val="13"/>
                <w:szCs w:val="13"/>
              </w:rPr>
              <w:t xml:space="preserve">Reported</w:t>
            </w:r>
          </w:p>
        </w:tc>
      </w:tr>
      <w:tr>
        <w:trPr>
          <w:cantSplit/>
        </w:trPr>
        <w:tc>
          <w:tcPr>
            <w:tcW w:type="dxa" w:w="1026"/>
          </w:tcPr>
          <w:p>
            <w:pPr>
              <w:pStyle w:val="Compact"/>
              <w:spacing w:before="20" w:after="20" w:line="240" w:lineRule="auto"/>
              <w:keepNext/>
            </w:pPr>
            <w:r>
              <w:rPr>
                <w:sz w:val="13"/>
                <w:szCs w:val="13"/>
              </w:rPr>
              <w:t xml:space="preserve">H1</w:t>
            </w:r>
          </w:p>
        </w:tc>
        <w:tc>
          <w:tcPr>
            <w:tcW w:type="dxa" w:w="1937"/>
          </w:tcPr>
          <w:p>
            <w:pPr>
              <w:pStyle w:val="Compact"/>
              <w:spacing w:before="20" w:after="20" w:line="240" w:lineRule="auto"/>
              <w:keepNext/>
            </w:pPr>
            <w:r>
              <w:rPr>
                <w:sz w:val="13"/>
                <w:szCs w:val="13"/>
              </w:rPr>
              <w:t xml:space="preserve">tech_cat (3 unordered categories)</w:t>
            </w:r>
          </w:p>
        </w:tc>
        <w:tc>
          <w:tcPr>
            <w:tcW w:type="dxa" w:w="2135"/>
          </w:tcPr>
          <w:p>
            <w:pPr>
              <w:pStyle w:val="Compact"/>
              <w:spacing w:before="20" w:after="20" w:line="240" w:lineRule="auto"/>
              <w:keepNext/>
            </w:pPr>
            <w:r>
              <w:rPr>
                <w:sz w:val="13"/>
                <w:szCs w:val="13"/>
              </w:rPr>
              <w:t xml:space="preserve">Multinomial logit (base = assembly-only)</w:t>
            </w:r>
          </w:p>
        </w:tc>
        <w:tc>
          <w:tcPr>
            <w:tcW w:type="dxa" w:w="2086"/>
          </w:tcPr>
          <w:p>
            <w:pPr>
              <w:pStyle w:val="Compact"/>
              <w:spacing w:before="20" w:after="20" w:line="240" w:lineRule="auto"/>
              <w:keepNext/>
            </w:pPr>
            <w:r>
              <w:rPr>
                <w:sz w:val="13"/>
                <w:szCs w:val="13"/>
              </w:rPr>
              <w:t xml:space="preserve">breadth, integrated vs. assembly-only</w:t>
            </w:r>
          </w:p>
        </w:tc>
        <w:tc>
          <w:tcPr>
            <w:tcW w:type="dxa" w:w="1888"/>
          </w:tcPr>
          <w:p>
            <w:pPr>
              <w:pStyle w:val="Compact"/>
              <w:spacing w:before="20" w:after="20" w:line="240" w:lineRule="auto"/>
              <w:keepNext/>
            </w:pPr>
            <w:r>
              <w:rPr>
                <w:sz w:val="13"/>
                <w:szCs w:val="13"/>
              </w:rPr>
              <w:t xml:space="preserve">RRR, average predicted probability</w:t>
            </w:r>
          </w:p>
        </w:tc>
      </w:tr>
      <w:tr>
        <w:trPr>
          <w:cantSplit/>
        </w:trPr>
        <w:tc>
          <w:tcPr>
            <w:tcW w:type="dxa" w:w="1026"/>
          </w:tcPr>
          <w:p>
            <w:pPr>
              <w:pStyle w:val="Compact"/>
              <w:spacing w:before="20" w:after="20" w:line="240" w:lineRule="auto"/>
              <w:keepNext/>
            </w:pPr>
            <w:r>
              <w:rPr>
                <w:sz w:val="13"/>
                <w:szCs w:val="13"/>
              </w:rPr>
              <w:t xml:space="preserve">H2</w:t>
            </w:r>
          </w:p>
        </w:tc>
        <w:tc>
          <w:tcPr>
            <w:tcW w:type="dxa" w:w="1937"/>
          </w:tcPr>
          <w:p>
            <w:pPr>
              <w:pStyle w:val="Compact"/>
              <w:spacing w:before="20" w:after="20" w:line="240" w:lineRule="auto"/>
              <w:keepNext/>
            </w:pPr>
            <w:r>
              <w:rPr>
                <w:sz w:val="13"/>
                <w:szCs w:val="13"/>
              </w:rPr>
              <w:t xml:space="preserve">tech_cat</w:t>
            </w:r>
          </w:p>
        </w:tc>
        <w:tc>
          <w:tcPr>
            <w:tcW w:type="dxa" w:w="2135"/>
          </w:tcPr>
          <w:p>
            <w:pPr>
              <w:pStyle w:val="Compact"/>
              <w:spacing w:before="20" w:after="20" w:line="240" w:lineRule="auto"/>
              <w:keepNext/>
            </w:pPr>
            <w:r>
              <w:rPr>
                <w:sz w:val="13"/>
                <w:szCs w:val="13"/>
              </w:rPr>
              <w:t xml:space="preserve">Multinomial logit</w:t>
            </w:r>
          </w:p>
        </w:tc>
        <w:tc>
          <w:tcPr>
            <w:tcW w:type="dxa" w:w="2086"/>
          </w:tcPr>
          <w:p>
            <w:pPr>
              <w:pStyle w:val="Compact"/>
              <w:spacing w:before="20" w:after="20" w:line="240" w:lineRule="auto"/>
              <w:keepNext/>
            </w:pPr>
            <w:r>
              <w:rPr>
                <w:sz w:val="13"/>
                <w:szCs w:val="13"/>
              </w:rPr>
              <w:t xml:space="preserve">Filing year, process-only vs. assembly-only</w:t>
            </w:r>
          </w:p>
        </w:tc>
        <w:tc>
          <w:tcPr>
            <w:tcW w:type="dxa" w:w="1888"/>
          </w:tcPr>
          <w:p>
            <w:pPr>
              <w:pStyle w:val="Compact"/>
              <w:spacing w:before="20" w:after="20" w:line="240" w:lineRule="auto"/>
              <w:keepNext/>
            </w:pPr>
            <w:r>
              <w:rPr>
                <w:sz w:val="13"/>
                <w:szCs w:val="13"/>
              </w:rPr>
              <w:t xml:space="preserve">RRR, average predicted probability</w:t>
            </w:r>
          </w:p>
        </w:tc>
      </w:tr>
      <w:tr>
        <w:trPr>
          <w:cantSplit/>
        </w:trPr>
        <w:tc>
          <w:tcPr>
            <w:tcW w:type="dxa" w:w="1026"/>
          </w:tcPr>
          <w:p>
            <w:pPr>
              <w:pStyle w:val="Compact"/>
              <w:spacing w:before="20" w:after="20" w:line="240" w:lineRule="auto"/>
              <w:keepNext/>
            </w:pPr>
            <w:r>
              <w:rPr>
                <w:sz w:val="13"/>
                <w:szCs w:val="13"/>
              </w:rPr>
              <w:t xml:space="preserve">H3a</w:t>
            </w:r>
          </w:p>
        </w:tc>
        <w:tc>
          <w:tcPr>
            <w:tcW w:type="dxa" w:w="1937"/>
          </w:tcPr>
          <w:p>
            <w:pPr>
              <w:pStyle w:val="Compact"/>
              <w:spacing w:before="20" w:after="20" w:line="240" w:lineRule="auto"/>
              <w:keepNext/>
            </w:pPr>
            <w:r>
              <w:rPr>
                <w:sz w:val="13"/>
                <w:szCs w:val="13"/>
              </w:rPr>
              <w:t xml:space="preserve">breadth (count, 1–21)</w:t>
            </w:r>
          </w:p>
        </w:tc>
        <w:tc>
          <w:tcPr>
            <w:tcW w:type="dxa" w:w="2135"/>
          </w:tcPr>
          <w:p>
            <w:pPr>
              <w:pStyle w:val="Compact"/>
              <w:spacing w:before="20" w:after="20" w:line="240" w:lineRule="auto"/>
              <w:keepNext/>
            </w:pPr>
            <w:r>
              <w:rPr>
                <w:sz w:val="13"/>
                <w:szCs w:val="13"/>
              </w:rPr>
              <w:t xml:space="preserve">Negative binomial</w:t>
            </w:r>
          </w:p>
        </w:tc>
        <w:tc>
          <w:tcPr>
            <w:tcW w:type="dxa" w:w="2086"/>
          </w:tcPr>
          <w:p>
            <w:pPr>
              <w:pStyle w:val="Compact"/>
              <w:spacing w:before="20" w:after="20" w:line="240" w:lineRule="auto"/>
              <w:keepNext/>
            </w:pPr>
            <w:r>
              <w:rPr>
                <w:sz w:val="13"/>
                <w:szCs w:val="13"/>
              </w:rPr>
              <w:t xml:space="preserve">CN office vs. US</w:t>
            </w:r>
          </w:p>
        </w:tc>
        <w:tc>
          <w:tcPr>
            <w:tcW w:type="dxa" w:w="1888"/>
          </w:tcPr>
          <w:p>
            <w:pPr>
              <w:pStyle w:val="Compact"/>
              <w:spacing w:before="20" w:after="20" w:line="240" w:lineRule="auto"/>
              <w:keepNext/>
            </w:pPr>
            <w:r>
              <w:rPr>
                <w:sz w:val="13"/>
                <w:szCs w:val="13"/>
              </w:rPr>
              <w:t xml:space="preserve">IRR</w:t>
            </w:r>
          </w:p>
        </w:tc>
      </w:tr>
      <w:tr>
        <w:trPr>
          <w:cantSplit/>
        </w:trPr>
        <w:tc>
          <w:tcPr>
            <w:tcW w:type="dxa" w:w="1026"/>
          </w:tcPr>
          <w:p>
            <w:pPr>
              <w:pStyle w:val="Compact"/>
              <w:spacing w:before="20" w:after="20" w:line="240" w:lineRule="auto"/>
              <w:keepNext/>
            </w:pPr>
            <w:r>
              <w:rPr>
                <w:sz w:val="13"/>
                <w:szCs w:val="13"/>
              </w:rPr>
              <w:t xml:space="preserve">H3b</w:t>
            </w:r>
          </w:p>
        </w:tc>
        <w:tc>
          <w:tcPr>
            <w:tcW w:type="dxa" w:w="1937"/>
          </w:tcPr>
          <w:p>
            <w:pPr>
              <w:pStyle w:val="Compact"/>
              <w:spacing w:before="20" w:after="20" w:line="240" w:lineRule="auto"/>
              <w:keepNext/>
            </w:pPr>
            <w:r>
              <w:rPr>
                <w:sz w:val="13"/>
                <w:szCs w:val="13"/>
              </w:rPr>
              <w:t xml:space="preserve">tech_cat</w:t>
            </w:r>
          </w:p>
        </w:tc>
        <w:tc>
          <w:tcPr>
            <w:tcW w:type="dxa" w:w="2135"/>
          </w:tcPr>
          <w:p>
            <w:pPr>
              <w:pStyle w:val="Compact"/>
              <w:spacing w:before="20" w:after="20" w:line="240" w:lineRule="auto"/>
              <w:keepNext/>
            </w:pPr>
            <w:r>
              <w:rPr>
                <w:sz w:val="13"/>
                <w:szCs w:val="13"/>
              </w:rPr>
              <w:t xml:space="preserve">Multinomial logit</w:t>
            </w:r>
          </w:p>
        </w:tc>
        <w:tc>
          <w:tcPr>
            <w:tcW w:type="dxa" w:w="2086"/>
          </w:tcPr>
          <w:p>
            <w:pPr>
              <w:pStyle w:val="Compact"/>
              <w:spacing w:before="20" w:after="20" w:line="240" w:lineRule="auto"/>
              <w:keepNext/>
            </w:pPr>
            <w:r>
              <w:rPr>
                <w:sz w:val="13"/>
                <w:szCs w:val="13"/>
              </w:rPr>
              <w:t xml:space="preserve">CN office, process-only vs. assembly-only</w:t>
            </w:r>
          </w:p>
        </w:tc>
        <w:tc>
          <w:tcPr>
            <w:tcW w:type="dxa" w:w="1888"/>
          </w:tcPr>
          <w:p>
            <w:pPr>
              <w:pStyle w:val="Compact"/>
              <w:spacing w:before="20" w:after="20" w:line="240" w:lineRule="auto"/>
              <w:keepNext/>
            </w:pPr>
            <w:r>
              <w:rPr>
                <w:sz w:val="13"/>
                <w:szCs w:val="13"/>
              </w:rPr>
              <w:t xml:space="preserve">RRR, average predicted probability</w:t>
            </w:r>
          </w:p>
        </w:tc>
      </w:tr>
    </w:tbl>
    <w:bookmarkEnd w:id="18"/>
    <w:bookmarkEnd w:id="19"/>
    <w:bookmarkStart w:id="28" w:name="연구결과"/>
    <w:p>
      <w:pPr>
        <w:pStyle w:val="Heading2"/>
      </w:pPr>
      <w:r>
        <w:t xml:space="preserve">4. 연구결과</w:t>
      </w:r>
    </w:p>
    <w:bookmarkStart w:id="20" w:name="기술통계"/>
    <w:p>
      <w:pPr>
        <w:pStyle w:val="Heading3"/>
      </w:pPr>
      <w:r>
        <w:t xml:space="preserve">4.1 기술통계</w:t>
      </w:r>
    </w:p>
    <w:p>
      <w:pPr>
        <w:pStyle w:val="FirstParagraph"/>
      </w:pPr>
      <w:r>
        <w:t xml:space="preserve">유형별로는 통합형 425건(45.8%), 조립 단독형 338건(36.4%), 공정 단독형 165건(17.8%)이고, 제조공정 기호를 가진 출원은 590건(63.6%)이다. 기술범위는 평균 5.69개(표준편차 4.07)이며 통합형 7.89개, 조립 단독형 4.16개, 공정 단독형 3.15개다. 출원은 2010년대 후반에 급증하여 2022년경 정점에 이르며, 2023–2024년의 감소에는 공개 시차가 영향을 미쳤을 가능성이 크다. 출원청별로는 미국 382건, 중국 175건, PCT 경로 113건, EPO 83건, 대만 75건, 한국 58건, 일본 26건, 기타 16건이며, 공정 단독형의 비중은 중국(24.6%)과 한국(27.6%)에서 높고 기술범위 평균은 중국(4.83)이 가장 좁다. Table 4는 조립 단독형을 기준으로 한 다항 로짓 결과이며 이하 4.2절, 4.3절, 4.4절의 가설 검정에 공통으로 쓴다.</w:t>
      </w:r>
    </w:p>
    <w:p>
      <w:pPr>
        <w:pStyle w:val="BodyText"/>
        <w:keepNext/>
      </w:pPr>
      <w:r>
        <w:rPr>
          <w:b/>
          <w:bCs/>
        </w:rPr>
        <w:t xml:space="preserve">Table 4.</w:t>
      </w:r>
      <w:r>
        <w:t xml:space="preserve"> </w:t>
      </w:r>
      <w:r>
        <w:t xml:space="preserve">Multinomial logit of co-classification type (base = assembly-only; N = 928; reference office = US; log-likelihood −774.5; LR χ²(18) = 367.4, p &lt; 0.001; McFadden pseudo-R² = 0.192; standard errors of log coefficients in parentheses;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05"/>
        <w:gridCol w:w="1537"/>
        <w:gridCol w:w="845"/>
        <w:gridCol w:w="845"/>
        <w:gridCol w:w="1844"/>
        <w:gridCol w:w="845"/>
        <w:gridCol w:w="845"/>
      </w:tblGrid>
      <w:tr>
        <w:trPr>
          <w:tblHeader w:val="on"/>
          <w:cantSplit/>
        </w:trPr>
        <w:tc>
          <w:tcPr>
            <w:tcW w:type="dxa" w:w="2305"/>
            <w:tcBorders>
              <w:bottom w:val="single" w:sz="4" w:space="0" w:color="000000"/>
            </w:tcBorders>
          </w:tcPr>
          <w:p>
            <w:pPr>
              <w:pStyle w:val="Compact"/>
              <w:spacing w:before="20" w:after="20" w:line="240" w:lineRule="auto"/>
              <w:keepNext/>
            </w:pPr>
          </w:p>
        </w:tc>
        <w:tc>
          <w:tcPr>
            <w:tcW w:type="dxa" w:w="1537"/>
            <w:tcBorders>
              <w:bottom w:val="single" w:sz="4" w:space="0" w:color="000000"/>
            </w:tcBorders>
          </w:tcPr>
          <w:p>
            <w:pPr>
              <w:pStyle w:val="Compact"/>
              <w:spacing w:before="20" w:after="20" w:line="240" w:lineRule="auto"/>
              <w:jc w:val="center"/>
              <w:keepNext/>
            </w:pPr>
            <w:r>
              <w:rPr>
                <w:sz w:val="16"/>
                <w:szCs w:val="16"/>
              </w:rPr>
              <w:t xml:space="preserve">Integrated RRR</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SE (log)</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844"/>
            <w:tcBorders>
              <w:bottom w:val="single" w:sz="4" w:space="0" w:color="000000"/>
            </w:tcBorders>
          </w:tcPr>
          <w:p>
            <w:pPr>
              <w:pStyle w:val="Compact"/>
              <w:spacing w:before="20" w:after="20" w:line="240" w:lineRule="auto"/>
              <w:jc w:val="center"/>
              <w:keepNext/>
            </w:pPr>
            <w:r>
              <w:rPr>
                <w:sz w:val="16"/>
                <w:szCs w:val="16"/>
              </w:rPr>
              <w:t xml:space="preserve">Process-only RRR</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SE (log)</w:t>
            </w:r>
          </w:p>
        </w:tc>
        <w:tc>
          <w:tcPr>
            <w:tcW w:type="dxa" w:w="84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2305"/>
          </w:tcPr>
          <w:p>
            <w:pPr>
              <w:pStyle w:val="Compact"/>
              <w:spacing w:before="20" w:after="20" w:line="240" w:lineRule="auto"/>
              <w:keepNext/>
            </w:pPr>
            <w:r>
              <w:rPr>
                <w:sz w:val="16"/>
                <w:szCs w:val="16"/>
              </w:rPr>
              <w:t xml:space="preserve">Filing year (yc)</w:t>
            </w:r>
          </w:p>
        </w:tc>
        <w:tc>
          <w:tcPr>
            <w:tcW w:type="dxa" w:w="1537"/>
          </w:tcPr>
          <w:p>
            <w:pPr>
              <w:pStyle w:val="Compact"/>
              <w:spacing w:before="20" w:after="20" w:line="240" w:lineRule="auto"/>
              <w:jc w:val="center"/>
              <w:keepNext/>
            </w:pPr>
            <w:r>
              <w:rPr>
                <w:sz w:val="16"/>
                <w:szCs w:val="16"/>
              </w:rPr>
              <w:t xml:space="preserve">0.993</w:t>
            </w:r>
          </w:p>
        </w:tc>
        <w:tc>
          <w:tcPr>
            <w:tcW w:type="dxa" w:w="845"/>
          </w:tcPr>
          <w:p>
            <w:pPr>
              <w:pStyle w:val="Compact"/>
              <w:spacing w:before="20" w:after="20" w:line="240" w:lineRule="auto"/>
              <w:jc w:val="center"/>
              <w:keepNext/>
            </w:pPr>
            <w:r>
              <w:rPr>
                <w:sz w:val="16"/>
                <w:szCs w:val="16"/>
              </w:rPr>
              <w:t xml:space="preserve">(0.015)</w:t>
            </w:r>
          </w:p>
        </w:tc>
        <w:tc>
          <w:tcPr>
            <w:tcW w:type="dxa" w:w="845"/>
          </w:tcPr>
          <w:p>
            <w:pPr>
              <w:pStyle w:val="Compact"/>
              <w:spacing w:before="20" w:after="20" w:line="240" w:lineRule="auto"/>
              <w:jc w:val="center"/>
              <w:keepNext/>
            </w:pPr>
            <w:r>
              <w:rPr>
                <w:sz w:val="16"/>
                <w:szCs w:val="16"/>
              </w:rPr>
              <w:t xml:space="preserve">0.654</w:t>
            </w:r>
          </w:p>
        </w:tc>
        <w:tc>
          <w:tcPr>
            <w:tcW w:type="dxa" w:w="1844"/>
          </w:tcPr>
          <w:p>
            <w:pPr>
              <w:pStyle w:val="Compact"/>
              <w:spacing w:before="20" w:after="20" w:line="240" w:lineRule="auto"/>
              <w:jc w:val="center"/>
              <w:keepNext/>
            </w:pPr>
            <w:r>
              <w:rPr>
                <w:sz w:val="16"/>
                <w:szCs w:val="16"/>
              </w:rPr>
              <w:t xml:space="preserve">0.913***</w:t>
            </w:r>
          </w:p>
        </w:tc>
        <w:tc>
          <w:tcPr>
            <w:tcW w:type="dxa" w:w="845"/>
          </w:tcPr>
          <w:p>
            <w:pPr>
              <w:pStyle w:val="Compact"/>
              <w:spacing w:before="20" w:after="20" w:line="240" w:lineRule="auto"/>
              <w:jc w:val="center"/>
              <w:keepNext/>
            </w:pPr>
            <w:r>
              <w:rPr>
                <w:sz w:val="16"/>
                <w:szCs w:val="16"/>
              </w:rPr>
              <w:t xml:space="preserve">(0.015)</w:t>
            </w:r>
          </w:p>
        </w:tc>
        <w:tc>
          <w:tcPr>
            <w:tcW w:type="dxa" w:w="845"/>
          </w:tcPr>
          <w:p>
            <w:pPr>
              <w:pStyle w:val="Compact"/>
              <w:spacing w:before="20" w:after="20" w:line="240" w:lineRule="auto"/>
              <w:jc w:val="center"/>
              <w:keepNext/>
            </w:pPr>
            <w:r>
              <w:rPr>
                <w:sz w:val="16"/>
                <w:szCs w:val="16"/>
              </w:rPr>
              <w:t xml:space="preserve">&lt;0.001</w:t>
            </w:r>
          </w:p>
        </w:tc>
      </w:tr>
      <w:tr>
        <w:trPr>
          <w:cantSplit/>
        </w:trPr>
        <w:tc>
          <w:tcPr>
            <w:tcW w:type="dxa" w:w="2305"/>
          </w:tcPr>
          <w:p>
            <w:pPr>
              <w:pStyle w:val="Compact"/>
              <w:spacing w:before="20" w:after="20" w:line="240" w:lineRule="auto"/>
              <w:keepNext/>
            </w:pPr>
            <w:r>
              <w:rPr>
                <w:sz w:val="16"/>
                <w:szCs w:val="16"/>
              </w:rPr>
              <w:t xml:space="preserve">Breadth</w:t>
            </w:r>
          </w:p>
        </w:tc>
        <w:tc>
          <w:tcPr>
            <w:tcW w:type="dxa" w:w="1537"/>
          </w:tcPr>
          <w:p>
            <w:pPr>
              <w:pStyle w:val="Compact"/>
              <w:spacing w:before="20" w:after="20" w:line="240" w:lineRule="auto"/>
              <w:jc w:val="center"/>
              <w:keepNext/>
            </w:pPr>
            <w:r>
              <w:rPr>
                <w:sz w:val="16"/>
                <w:szCs w:val="16"/>
              </w:rPr>
              <w:t xml:space="preserve">1.403***</w:t>
            </w:r>
          </w:p>
        </w:tc>
        <w:tc>
          <w:tcPr>
            <w:tcW w:type="dxa" w:w="845"/>
          </w:tcPr>
          <w:p>
            <w:pPr>
              <w:pStyle w:val="Compact"/>
              <w:spacing w:before="20" w:after="20" w:line="240" w:lineRule="auto"/>
              <w:jc w:val="center"/>
              <w:keepNext/>
            </w:pPr>
            <w:r>
              <w:rPr>
                <w:sz w:val="16"/>
                <w:szCs w:val="16"/>
              </w:rPr>
              <w:t xml:space="preserve">(0.031)</w:t>
            </w:r>
          </w:p>
        </w:tc>
        <w:tc>
          <w:tcPr>
            <w:tcW w:type="dxa" w:w="845"/>
          </w:tcPr>
          <w:p>
            <w:pPr>
              <w:pStyle w:val="Compact"/>
              <w:spacing w:before="20" w:after="20" w:line="240" w:lineRule="auto"/>
              <w:jc w:val="center"/>
              <w:keepNext/>
            </w:pPr>
            <w:r>
              <w:rPr>
                <w:sz w:val="16"/>
                <w:szCs w:val="16"/>
              </w:rPr>
              <w:t xml:space="preserve">&lt;0.001</w:t>
            </w:r>
          </w:p>
        </w:tc>
        <w:tc>
          <w:tcPr>
            <w:tcW w:type="dxa" w:w="1844"/>
          </w:tcPr>
          <w:p>
            <w:pPr>
              <w:pStyle w:val="Compact"/>
              <w:spacing w:before="20" w:after="20" w:line="240" w:lineRule="auto"/>
              <w:jc w:val="center"/>
              <w:keepNext/>
            </w:pPr>
            <w:r>
              <w:rPr>
                <w:sz w:val="16"/>
                <w:szCs w:val="16"/>
              </w:rPr>
              <w:t xml:space="preserve">0.905**</w:t>
            </w:r>
          </w:p>
        </w:tc>
        <w:tc>
          <w:tcPr>
            <w:tcW w:type="dxa" w:w="845"/>
          </w:tcPr>
          <w:p>
            <w:pPr>
              <w:pStyle w:val="Compact"/>
              <w:spacing w:before="20" w:after="20" w:line="240" w:lineRule="auto"/>
              <w:jc w:val="center"/>
              <w:keepNext/>
            </w:pPr>
            <w:r>
              <w:rPr>
                <w:sz w:val="16"/>
                <w:szCs w:val="16"/>
              </w:rPr>
              <w:t xml:space="preserve">(0.048)</w:t>
            </w:r>
          </w:p>
        </w:tc>
        <w:tc>
          <w:tcPr>
            <w:tcW w:type="dxa" w:w="845"/>
          </w:tcPr>
          <w:p>
            <w:pPr>
              <w:pStyle w:val="Compact"/>
              <w:spacing w:before="20" w:after="20" w:line="240" w:lineRule="auto"/>
              <w:jc w:val="center"/>
              <w:keepNext/>
            </w:pPr>
            <w:r>
              <w:rPr>
                <w:sz w:val="16"/>
                <w:szCs w:val="16"/>
              </w:rPr>
              <w:t xml:space="preserve">0.039</w:t>
            </w:r>
          </w:p>
        </w:tc>
      </w:tr>
      <w:tr>
        <w:trPr>
          <w:cantSplit/>
        </w:trPr>
        <w:tc>
          <w:tcPr>
            <w:tcW w:type="dxa" w:w="2305"/>
          </w:tcPr>
          <w:p>
            <w:pPr>
              <w:pStyle w:val="Compact"/>
              <w:spacing w:before="20" w:after="20" w:line="240" w:lineRule="auto"/>
              <w:keepNext/>
            </w:pPr>
            <w:r>
              <w:rPr>
                <w:sz w:val="16"/>
                <w:szCs w:val="16"/>
              </w:rPr>
              <w:t xml:space="preserve">CN</w:t>
            </w:r>
          </w:p>
        </w:tc>
        <w:tc>
          <w:tcPr>
            <w:tcW w:type="dxa" w:w="1537"/>
          </w:tcPr>
          <w:p>
            <w:pPr>
              <w:pStyle w:val="Compact"/>
              <w:spacing w:before="20" w:after="20" w:line="240" w:lineRule="auto"/>
              <w:jc w:val="center"/>
              <w:keepNext/>
            </w:pPr>
            <w:r>
              <w:rPr>
                <w:sz w:val="16"/>
                <w:szCs w:val="16"/>
              </w:rPr>
              <w:t xml:space="preserve">1.205</w:t>
            </w:r>
          </w:p>
        </w:tc>
        <w:tc>
          <w:tcPr>
            <w:tcW w:type="dxa" w:w="845"/>
          </w:tcPr>
          <w:p>
            <w:pPr>
              <w:pStyle w:val="Compact"/>
              <w:spacing w:before="20" w:after="20" w:line="240" w:lineRule="auto"/>
              <w:jc w:val="center"/>
              <w:keepNext/>
            </w:pPr>
            <w:r>
              <w:rPr>
                <w:sz w:val="16"/>
                <w:szCs w:val="16"/>
              </w:rPr>
              <w:t xml:space="preserve">(0.233)</w:t>
            </w:r>
          </w:p>
        </w:tc>
        <w:tc>
          <w:tcPr>
            <w:tcW w:type="dxa" w:w="845"/>
          </w:tcPr>
          <w:p>
            <w:pPr>
              <w:pStyle w:val="Compact"/>
              <w:spacing w:before="20" w:after="20" w:line="240" w:lineRule="auto"/>
              <w:jc w:val="center"/>
              <w:keepNext/>
            </w:pPr>
            <w:r>
              <w:rPr>
                <w:sz w:val="16"/>
                <w:szCs w:val="16"/>
              </w:rPr>
              <w:t xml:space="preserve">0.423</w:t>
            </w:r>
          </w:p>
        </w:tc>
        <w:tc>
          <w:tcPr>
            <w:tcW w:type="dxa" w:w="1844"/>
          </w:tcPr>
          <w:p>
            <w:pPr>
              <w:pStyle w:val="Compact"/>
              <w:spacing w:before="20" w:after="20" w:line="240" w:lineRule="auto"/>
              <w:jc w:val="center"/>
              <w:keepNext/>
            </w:pPr>
            <w:r>
              <w:rPr>
                <w:sz w:val="16"/>
                <w:szCs w:val="16"/>
              </w:rPr>
              <w:t xml:space="preserve">2.687***</w:t>
            </w:r>
          </w:p>
        </w:tc>
        <w:tc>
          <w:tcPr>
            <w:tcW w:type="dxa" w:w="845"/>
          </w:tcPr>
          <w:p>
            <w:pPr>
              <w:pStyle w:val="Compact"/>
              <w:spacing w:before="20" w:after="20" w:line="240" w:lineRule="auto"/>
              <w:jc w:val="center"/>
              <w:keepNext/>
            </w:pPr>
            <w:r>
              <w:rPr>
                <w:sz w:val="16"/>
                <w:szCs w:val="16"/>
              </w:rPr>
              <w:t xml:space="preserve">(0.276)</w:t>
            </w:r>
          </w:p>
        </w:tc>
        <w:tc>
          <w:tcPr>
            <w:tcW w:type="dxa" w:w="845"/>
          </w:tcPr>
          <w:p>
            <w:pPr>
              <w:pStyle w:val="Compact"/>
              <w:spacing w:before="20" w:after="20" w:line="240" w:lineRule="auto"/>
              <w:jc w:val="center"/>
              <w:keepNext/>
            </w:pPr>
            <w:r>
              <w:rPr>
                <w:sz w:val="16"/>
                <w:szCs w:val="16"/>
              </w:rPr>
              <w:t xml:space="preserve">&lt;0.001</w:t>
            </w:r>
          </w:p>
        </w:tc>
      </w:tr>
      <w:tr>
        <w:trPr>
          <w:cantSplit/>
        </w:trPr>
        <w:tc>
          <w:tcPr>
            <w:tcW w:type="dxa" w:w="2305"/>
          </w:tcPr>
          <w:p>
            <w:pPr>
              <w:pStyle w:val="Compact"/>
              <w:spacing w:before="20" w:after="20" w:line="240" w:lineRule="auto"/>
              <w:keepNext/>
            </w:pPr>
            <w:r>
              <w:rPr>
                <w:sz w:val="16"/>
                <w:szCs w:val="16"/>
              </w:rPr>
              <w:t xml:space="preserve">KR</w:t>
            </w:r>
          </w:p>
        </w:tc>
        <w:tc>
          <w:tcPr>
            <w:tcW w:type="dxa" w:w="1537"/>
          </w:tcPr>
          <w:p>
            <w:pPr>
              <w:pStyle w:val="Compact"/>
              <w:spacing w:before="20" w:after="20" w:line="240" w:lineRule="auto"/>
              <w:jc w:val="center"/>
              <w:keepNext/>
            </w:pPr>
            <w:r>
              <w:rPr>
                <w:sz w:val="16"/>
                <w:szCs w:val="16"/>
              </w:rPr>
              <w:t xml:space="preserve">1.166</w:t>
            </w:r>
          </w:p>
        </w:tc>
        <w:tc>
          <w:tcPr>
            <w:tcW w:type="dxa" w:w="845"/>
          </w:tcPr>
          <w:p>
            <w:pPr>
              <w:pStyle w:val="Compact"/>
              <w:spacing w:before="20" w:after="20" w:line="240" w:lineRule="auto"/>
              <w:jc w:val="center"/>
              <w:keepNext/>
            </w:pPr>
            <w:r>
              <w:rPr>
                <w:sz w:val="16"/>
                <w:szCs w:val="16"/>
              </w:rPr>
              <w:t xml:space="preserve">(0.381)</w:t>
            </w:r>
          </w:p>
        </w:tc>
        <w:tc>
          <w:tcPr>
            <w:tcW w:type="dxa" w:w="845"/>
          </w:tcPr>
          <w:p>
            <w:pPr>
              <w:pStyle w:val="Compact"/>
              <w:spacing w:before="20" w:after="20" w:line="240" w:lineRule="auto"/>
              <w:jc w:val="center"/>
              <w:keepNext/>
            </w:pPr>
            <w:r>
              <w:rPr>
                <w:sz w:val="16"/>
                <w:szCs w:val="16"/>
              </w:rPr>
              <w:t xml:space="preserve">0.687</w:t>
            </w:r>
          </w:p>
        </w:tc>
        <w:tc>
          <w:tcPr>
            <w:tcW w:type="dxa" w:w="1844"/>
          </w:tcPr>
          <w:p>
            <w:pPr>
              <w:pStyle w:val="Compact"/>
              <w:spacing w:before="20" w:after="20" w:line="240" w:lineRule="auto"/>
              <w:jc w:val="center"/>
              <w:keepNext/>
            </w:pPr>
            <w:r>
              <w:rPr>
                <w:sz w:val="16"/>
                <w:szCs w:val="16"/>
              </w:rPr>
              <w:t xml:space="preserve">1.906</w:t>
            </w:r>
          </w:p>
        </w:tc>
        <w:tc>
          <w:tcPr>
            <w:tcW w:type="dxa" w:w="845"/>
          </w:tcPr>
          <w:p>
            <w:pPr>
              <w:pStyle w:val="Compact"/>
              <w:spacing w:before="20" w:after="20" w:line="240" w:lineRule="auto"/>
              <w:jc w:val="center"/>
              <w:keepNext/>
            </w:pPr>
            <w:r>
              <w:rPr>
                <w:sz w:val="16"/>
                <w:szCs w:val="16"/>
              </w:rPr>
              <w:t xml:space="preserve">(0.419)</w:t>
            </w:r>
          </w:p>
        </w:tc>
        <w:tc>
          <w:tcPr>
            <w:tcW w:type="dxa" w:w="845"/>
          </w:tcPr>
          <w:p>
            <w:pPr>
              <w:pStyle w:val="Compact"/>
              <w:spacing w:before="20" w:after="20" w:line="240" w:lineRule="auto"/>
              <w:jc w:val="center"/>
              <w:keepNext/>
            </w:pPr>
            <w:r>
              <w:rPr>
                <w:sz w:val="16"/>
                <w:szCs w:val="16"/>
              </w:rPr>
              <w:t xml:space="preserve">0.124</w:t>
            </w:r>
          </w:p>
        </w:tc>
      </w:tr>
      <w:tr>
        <w:trPr>
          <w:cantSplit/>
        </w:trPr>
        <w:tc>
          <w:tcPr>
            <w:tcW w:type="dxa" w:w="2305"/>
          </w:tcPr>
          <w:p>
            <w:pPr>
              <w:pStyle w:val="Compact"/>
              <w:spacing w:before="20" w:after="20" w:line="240" w:lineRule="auto"/>
              <w:keepNext/>
            </w:pPr>
            <w:r>
              <w:rPr>
                <w:sz w:val="16"/>
                <w:szCs w:val="16"/>
              </w:rPr>
              <w:t xml:space="preserve">TW</w:t>
            </w:r>
          </w:p>
        </w:tc>
        <w:tc>
          <w:tcPr>
            <w:tcW w:type="dxa" w:w="1537"/>
          </w:tcPr>
          <w:p>
            <w:pPr>
              <w:pStyle w:val="Compact"/>
              <w:spacing w:before="20" w:after="20" w:line="240" w:lineRule="auto"/>
              <w:jc w:val="center"/>
              <w:keepNext/>
            </w:pPr>
            <w:r>
              <w:rPr>
                <w:sz w:val="16"/>
                <w:szCs w:val="16"/>
              </w:rPr>
              <w:t xml:space="preserve">1.312</w:t>
            </w:r>
          </w:p>
        </w:tc>
        <w:tc>
          <w:tcPr>
            <w:tcW w:type="dxa" w:w="845"/>
          </w:tcPr>
          <w:p>
            <w:pPr>
              <w:pStyle w:val="Compact"/>
              <w:spacing w:before="20" w:after="20" w:line="240" w:lineRule="auto"/>
              <w:jc w:val="center"/>
              <w:keepNext/>
            </w:pPr>
            <w:r>
              <w:rPr>
                <w:sz w:val="16"/>
                <w:szCs w:val="16"/>
              </w:rPr>
              <w:t xml:space="preserve">(0.322)</w:t>
            </w:r>
          </w:p>
        </w:tc>
        <w:tc>
          <w:tcPr>
            <w:tcW w:type="dxa" w:w="845"/>
          </w:tcPr>
          <w:p>
            <w:pPr>
              <w:pStyle w:val="Compact"/>
              <w:spacing w:before="20" w:after="20" w:line="240" w:lineRule="auto"/>
              <w:jc w:val="center"/>
              <w:keepNext/>
            </w:pPr>
            <w:r>
              <w:rPr>
                <w:sz w:val="16"/>
                <w:szCs w:val="16"/>
              </w:rPr>
              <w:t xml:space="preserve">0.399</w:t>
            </w:r>
          </w:p>
        </w:tc>
        <w:tc>
          <w:tcPr>
            <w:tcW w:type="dxa" w:w="1844"/>
          </w:tcPr>
          <w:p>
            <w:pPr>
              <w:pStyle w:val="Compact"/>
              <w:spacing w:before="20" w:after="20" w:line="240" w:lineRule="auto"/>
              <w:jc w:val="center"/>
              <w:keepNext/>
            </w:pPr>
            <w:r>
              <w:rPr>
                <w:sz w:val="16"/>
                <w:szCs w:val="16"/>
              </w:rPr>
              <w:t xml:space="preserve">2.102*</w:t>
            </w:r>
          </w:p>
        </w:tc>
        <w:tc>
          <w:tcPr>
            <w:tcW w:type="dxa" w:w="845"/>
          </w:tcPr>
          <w:p>
            <w:pPr>
              <w:pStyle w:val="Compact"/>
              <w:spacing w:before="20" w:after="20" w:line="240" w:lineRule="auto"/>
              <w:jc w:val="center"/>
              <w:keepNext/>
            </w:pPr>
            <w:r>
              <w:rPr>
                <w:sz w:val="16"/>
                <w:szCs w:val="16"/>
              </w:rPr>
              <w:t xml:space="preserve">(0.407)</w:t>
            </w:r>
          </w:p>
        </w:tc>
        <w:tc>
          <w:tcPr>
            <w:tcW w:type="dxa" w:w="845"/>
          </w:tcPr>
          <w:p>
            <w:pPr>
              <w:pStyle w:val="Compact"/>
              <w:spacing w:before="20" w:after="20" w:line="240" w:lineRule="auto"/>
              <w:jc w:val="center"/>
              <w:keepNext/>
            </w:pPr>
            <w:r>
              <w:rPr>
                <w:sz w:val="16"/>
                <w:szCs w:val="16"/>
              </w:rPr>
              <w:t xml:space="preserve">0.068</w:t>
            </w:r>
          </w:p>
        </w:tc>
      </w:tr>
      <w:tr>
        <w:trPr>
          <w:cantSplit/>
        </w:trPr>
        <w:tc>
          <w:tcPr>
            <w:tcW w:type="dxa" w:w="2305"/>
          </w:tcPr>
          <w:p>
            <w:pPr>
              <w:pStyle w:val="Compact"/>
              <w:spacing w:before="20" w:after="20" w:line="240" w:lineRule="auto"/>
              <w:keepNext/>
            </w:pPr>
            <w:r>
              <w:rPr>
                <w:sz w:val="16"/>
                <w:szCs w:val="16"/>
              </w:rPr>
              <w:t xml:space="preserve">JP</w:t>
            </w:r>
          </w:p>
        </w:tc>
        <w:tc>
          <w:tcPr>
            <w:tcW w:type="dxa" w:w="1537"/>
          </w:tcPr>
          <w:p>
            <w:pPr>
              <w:pStyle w:val="Compact"/>
              <w:spacing w:before="20" w:after="20" w:line="240" w:lineRule="auto"/>
              <w:jc w:val="center"/>
              <w:keepNext/>
            </w:pPr>
            <w:r>
              <w:rPr>
                <w:sz w:val="16"/>
                <w:szCs w:val="16"/>
              </w:rPr>
              <w:t xml:space="preserve">1.046</w:t>
            </w:r>
          </w:p>
        </w:tc>
        <w:tc>
          <w:tcPr>
            <w:tcW w:type="dxa" w:w="845"/>
          </w:tcPr>
          <w:p>
            <w:pPr>
              <w:pStyle w:val="Compact"/>
              <w:spacing w:before="20" w:after="20" w:line="240" w:lineRule="auto"/>
              <w:jc w:val="center"/>
              <w:keepNext/>
            </w:pPr>
            <w:r>
              <w:rPr>
                <w:sz w:val="16"/>
                <w:szCs w:val="16"/>
              </w:rPr>
              <w:t xml:space="preserve">(0.557)</w:t>
            </w:r>
          </w:p>
        </w:tc>
        <w:tc>
          <w:tcPr>
            <w:tcW w:type="dxa" w:w="845"/>
          </w:tcPr>
          <w:p>
            <w:pPr>
              <w:pStyle w:val="Compact"/>
              <w:spacing w:before="20" w:after="20" w:line="240" w:lineRule="auto"/>
              <w:jc w:val="center"/>
              <w:keepNext/>
            </w:pPr>
            <w:r>
              <w:rPr>
                <w:sz w:val="16"/>
                <w:szCs w:val="16"/>
              </w:rPr>
              <w:t xml:space="preserve">0.935</w:t>
            </w:r>
          </w:p>
        </w:tc>
        <w:tc>
          <w:tcPr>
            <w:tcW w:type="dxa" w:w="1844"/>
          </w:tcPr>
          <w:p>
            <w:pPr>
              <w:pStyle w:val="Compact"/>
              <w:spacing w:before="20" w:after="20" w:line="240" w:lineRule="auto"/>
              <w:jc w:val="center"/>
              <w:keepNext/>
            </w:pPr>
            <w:r>
              <w:rPr>
                <w:sz w:val="16"/>
                <w:szCs w:val="16"/>
              </w:rPr>
              <w:t xml:space="preserve">0.086***</w:t>
            </w:r>
          </w:p>
        </w:tc>
        <w:tc>
          <w:tcPr>
            <w:tcW w:type="dxa" w:w="845"/>
          </w:tcPr>
          <w:p>
            <w:pPr>
              <w:pStyle w:val="Compact"/>
              <w:spacing w:before="20" w:after="20" w:line="240" w:lineRule="auto"/>
              <w:jc w:val="center"/>
              <w:keepNext/>
            </w:pPr>
            <w:r>
              <w:rPr>
                <w:sz w:val="16"/>
                <w:szCs w:val="16"/>
              </w:rPr>
              <w:t xml:space="preserve">(0.816)</w:t>
            </w:r>
          </w:p>
        </w:tc>
        <w:tc>
          <w:tcPr>
            <w:tcW w:type="dxa" w:w="845"/>
          </w:tcPr>
          <w:p>
            <w:pPr>
              <w:pStyle w:val="Compact"/>
              <w:spacing w:before="20" w:after="20" w:line="240" w:lineRule="auto"/>
              <w:jc w:val="center"/>
              <w:keepNext/>
            </w:pPr>
            <w:r>
              <w:rPr>
                <w:sz w:val="16"/>
                <w:szCs w:val="16"/>
              </w:rPr>
              <w:t xml:space="preserve">0.003</w:t>
            </w:r>
          </w:p>
        </w:tc>
      </w:tr>
      <w:tr>
        <w:trPr>
          <w:cantSplit/>
        </w:trPr>
        <w:tc>
          <w:tcPr>
            <w:tcW w:type="dxa" w:w="2305"/>
          </w:tcPr>
          <w:p>
            <w:pPr>
              <w:pStyle w:val="Compact"/>
              <w:spacing w:before="20" w:after="20" w:line="240" w:lineRule="auto"/>
              <w:keepNext/>
            </w:pPr>
            <w:r>
              <w:rPr>
                <w:sz w:val="16"/>
                <w:szCs w:val="16"/>
              </w:rPr>
              <w:t xml:space="preserve">EP</w:t>
            </w:r>
          </w:p>
        </w:tc>
        <w:tc>
          <w:tcPr>
            <w:tcW w:type="dxa" w:w="1537"/>
          </w:tcPr>
          <w:p>
            <w:pPr>
              <w:pStyle w:val="Compact"/>
              <w:spacing w:before="20" w:after="20" w:line="240" w:lineRule="auto"/>
              <w:jc w:val="center"/>
              <w:keepNext/>
            </w:pPr>
            <w:r>
              <w:rPr>
                <w:sz w:val="16"/>
                <w:szCs w:val="16"/>
              </w:rPr>
              <w:t xml:space="preserve">1.307</w:t>
            </w:r>
          </w:p>
        </w:tc>
        <w:tc>
          <w:tcPr>
            <w:tcW w:type="dxa" w:w="845"/>
          </w:tcPr>
          <w:p>
            <w:pPr>
              <w:pStyle w:val="Compact"/>
              <w:spacing w:before="20" w:after="20" w:line="240" w:lineRule="auto"/>
              <w:jc w:val="center"/>
              <w:keepNext/>
            </w:pPr>
            <w:r>
              <w:rPr>
                <w:sz w:val="16"/>
                <w:szCs w:val="16"/>
              </w:rPr>
              <w:t xml:space="preserve">(0.291)</w:t>
            </w:r>
          </w:p>
        </w:tc>
        <w:tc>
          <w:tcPr>
            <w:tcW w:type="dxa" w:w="845"/>
          </w:tcPr>
          <w:p>
            <w:pPr>
              <w:pStyle w:val="Compact"/>
              <w:spacing w:before="20" w:after="20" w:line="240" w:lineRule="auto"/>
              <w:jc w:val="center"/>
              <w:keepNext/>
            </w:pPr>
            <w:r>
              <w:rPr>
                <w:sz w:val="16"/>
                <w:szCs w:val="16"/>
              </w:rPr>
              <w:t xml:space="preserve">0.358</w:t>
            </w:r>
          </w:p>
        </w:tc>
        <w:tc>
          <w:tcPr>
            <w:tcW w:type="dxa" w:w="1844"/>
          </w:tcPr>
          <w:p>
            <w:pPr>
              <w:pStyle w:val="Compact"/>
              <w:spacing w:before="20" w:after="20" w:line="240" w:lineRule="auto"/>
              <w:jc w:val="center"/>
              <w:keepNext/>
            </w:pPr>
            <w:r>
              <w:rPr>
                <w:sz w:val="16"/>
                <w:szCs w:val="16"/>
              </w:rPr>
              <w:t xml:space="preserve">0.858</w:t>
            </w:r>
          </w:p>
        </w:tc>
        <w:tc>
          <w:tcPr>
            <w:tcW w:type="dxa" w:w="845"/>
          </w:tcPr>
          <w:p>
            <w:pPr>
              <w:pStyle w:val="Compact"/>
              <w:spacing w:before="20" w:after="20" w:line="240" w:lineRule="auto"/>
              <w:jc w:val="center"/>
              <w:keepNext/>
            </w:pPr>
            <w:r>
              <w:rPr>
                <w:sz w:val="16"/>
                <w:szCs w:val="16"/>
              </w:rPr>
              <w:t xml:space="preserve">(0.438)</w:t>
            </w:r>
          </w:p>
        </w:tc>
        <w:tc>
          <w:tcPr>
            <w:tcW w:type="dxa" w:w="845"/>
          </w:tcPr>
          <w:p>
            <w:pPr>
              <w:pStyle w:val="Compact"/>
              <w:spacing w:before="20" w:after="20" w:line="240" w:lineRule="auto"/>
              <w:jc w:val="center"/>
              <w:keepNext/>
            </w:pPr>
            <w:r>
              <w:rPr>
                <w:sz w:val="16"/>
                <w:szCs w:val="16"/>
              </w:rPr>
              <w:t xml:space="preserve">0.726</w:t>
            </w:r>
          </w:p>
        </w:tc>
      </w:tr>
      <w:tr>
        <w:trPr>
          <w:cantSplit/>
        </w:trPr>
        <w:tc>
          <w:tcPr>
            <w:tcW w:type="dxa" w:w="2305"/>
          </w:tcPr>
          <w:p>
            <w:pPr>
              <w:pStyle w:val="Compact"/>
              <w:spacing w:before="20" w:after="20" w:line="240" w:lineRule="auto"/>
              <w:keepNext/>
            </w:pPr>
            <w:r>
              <w:rPr>
                <w:sz w:val="16"/>
                <w:szCs w:val="16"/>
              </w:rPr>
              <w:t xml:space="preserve">WO</w:t>
            </w:r>
          </w:p>
        </w:tc>
        <w:tc>
          <w:tcPr>
            <w:tcW w:type="dxa" w:w="1537"/>
          </w:tcPr>
          <w:p>
            <w:pPr>
              <w:pStyle w:val="Compact"/>
              <w:spacing w:before="20" w:after="20" w:line="240" w:lineRule="auto"/>
              <w:jc w:val="center"/>
              <w:keepNext/>
            </w:pPr>
            <w:r>
              <w:rPr>
                <w:sz w:val="16"/>
                <w:szCs w:val="16"/>
              </w:rPr>
              <w:t xml:space="preserve">1.126</w:t>
            </w:r>
          </w:p>
        </w:tc>
        <w:tc>
          <w:tcPr>
            <w:tcW w:type="dxa" w:w="845"/>
          </w:tcPr>
          <w:p>
            <w:pPr>
              <w:pStyle w:val="Compact"/>
              <w:spacing w:before="20" w:after="20" w:line="240" w:lineRule="auto"/>
              <w:jc w:val="center"/>
              <w:keepNext/>
            </w:pPr>
            <w:r>
              <w:rPr>
                <w:sz w:val="16"/>
                <w:szCs w:val="16"/>
              </w:rPr>
              <w:t xml:space="preserve">(0.268)</w:t>
            </w:r>
          </w:p>
        </w:tc>
        <w:tc>
          <w:tcPr>
            <w:tcW w:type="dxa" w:w="845"/>
          </w:tcPr>
          <w:p>
            <w:pPr>
              <w:pStyle w:val="Compact"/>
              <w:spacing w:before="20" w:after="20" w:line="240" w:lineRule="auto"/>
              <w:jc w:val="center"/>
              <w:keepNext/>
            </w:pPr>
            <w:r>
              <w:rPr>
                <w:sz w:val="16"/>
                <w:szCs w:val="16"/>
              </w:rPr>
              <w:t xml:space="preserve">0.659</w:t>
            </w:r>
          </w:p>
        </w:tc>
        <w:tc>
          <w:tcPr>
            <w:tcW w:type="dxa" w:w="1844"/>
          </w:tcPr>
          <w:p>
            <w:pPr>
              <w:pStyle w:val="Compact"/>
              <w:spacing w:before="20" w:after="20" w:line="240" w:lineRule="auto"/>
              <w:jc w:val="center"/>
              <w:keepNext/>
            </w:pPr>
            <w:r>
              <w:rPr>
                <w:sz w:val="16"/>
                <w:szCs w:val="16"/>
              </w:rPr>
              <w:t xml:space="preserve">1.997**</w:t>
            </w:r>
          </w:p>
        </w:tc>
        <w:tc>
          <w:tcPr>
            <w:tcW w:type="dxa" w:w="845"/>
          </w:tcPr>
          <w:p>
            <w:pPr>
              <w:pStyle w:val="Compact"/>
              <w:spacing w:before="20" w:after="20" w:line="240" w:lineRule="auto"/>
              <w:jc w:val="center"/>
              <w:keepNext/>
            </w:pPr>
            <w:r>
              <w:rPr>
                <w:sz w:val="16"/>
                <w:szCs w:val="16"/>
              </w:rPr>
              <w:t xml:space="preserve">(0.323)</w:t>
            </w:r>
          </w:p>
        </w:tc>
        <w:tc>
          <w:tcPr>
            <w:tcW w:type="dxa" w:w="845"/>
          </w:tcPr>
          <w:p>
            <w:pPr>
              <w:pStyle w:val="Compact"/>
              <w:spacing w:before="20" w:after="20" w:line="240" w:lineRule="auto"/>
              <w:jc w:val="center"/>
              <w:keepNext/>
            </w:pPr>
            <w:r>
              <w:rPr>
                <w:sz w:val="16"/>
                <w:szCs w:val="16"/>
              </w:rPr>
              <w:t xml:space="preserve">0.032</w:t>
            </w:r>
          </w:p>
        </w:tc>
      </w:tr>
      <w:tr>
        <w:trPr>
          <w:cantSplit/>
        </w:trPr>
        <w:tc>
          <w:tcPr>
            <w:tcW w:type="dxa" w:w="2305"/>
          </w:tcPr>
          <w:p>
            <w:pPr>
              <w:pStyle w:val="Compact"/>
              <w:spacing w:before="20" w:after="20" w:line="240" w:lineRule="auto"/>
              <w:keepNext/>
            </w:pPr>
            <w:r>
              <w:rPr>
                <w:sz w:val="16"/>
                <w:szCs w:val="16"/>
              </w:rPr>
              <w:t xml:space="preserve">Other</w:t>
            </w:r>
          </w:p>
        </w:tc>
        <w:tc>
          <w:tcPr>
            <w:tcW w:type="dxa" w:w="1537"/>
          </w:tcPr>
          <w:p>
            <w:pPr>
              <w:pStyle w:val="Compact"/>
              <w:spacing w:before="20" w:after="20" w:line="240" w:lineRule="auto"/>
              <w:jc w:val="center"/>
              <w:keepNext/>
            </w:pPr>
            <w:r>
              <w:rPr>
                <w:sz w:val="16"/>
                <w:szCs w:val="16"/>
              </w:rPr>
              <w:t xml:space="preserve">2.326</w:t>
            </w:r>
          </w:p>
        </w:tc>
        <w:tc>
          <w:tcPr>
            <w:tcW w:type="dxa" w:w="845"/>
          </w:tcPr>
          <w:p>
            <w:pPr>
              <w:pStyle w:val="Compact"/>
              <w:spacing w:before="20" w:after="20" w:line="240" w:lineRule="auto"/>
              <w:jc w:val="center"/>
              <w:keepNext/>
            </w:pPr>
            <w:r>
              <w:rPr>
                <w:sz w:val="16"/>
                <w:szCs w:val="16"/>
              </w:rPr>
              <w:t xml:space="preserve">(0.681)</w:t>
            </w:r>
          </w:p>
        </w:tc>
        <w:tc>
          <w:tcPr>
            <w:tcW w:type="dxa" w:w="845"/>
          </w:tcPr>
          <w:p>
            <w:pPr>
              <w:pStyle w:val="Compact"/>
              <w:spacing w:before="20" w:after="20" w:line="240" w:lineRule="auto"/>
              <w:jc w:val="center"/>
              <w:keepNext/>
            </w:pPr>
            <w:r>
              <w:rPr>
                <w:sz w:val="16"/>
                <w:szCs w:val="16"/>
              </w:rPr>
              <w:t xml:space="preserve">0.215</w:t>
            </w:r>
          </w:p>
        </w:tc>
        <w:tc>
          <w:tcPr>
            <w:tcW w:type="dxa" w:w="1844"/>
          </w:tcPr>
          <w:p>
            <w:pPr>
              <w:pStyle w:val="Compact"/>
              <w:spacing w:before="20" w:after="20" w:line="240" w:lineRule="auto"/>
              <w:jc w:val="center"/>
              <w:keepNext/>
            </w:pPr>
            <w:r>
              <w:rPr>
                <w:sz w:val="16"/>
                <w:szCs w:val="16"/>
              </w:rPr>
              <w:t xml:space="preserve">1.901</w:t>
            </w:r>
          </w:p>
        </w:tc>
        <w:tc>
          <w:tcPr>
            <w:tcW w:type="dxa" w:w="845"/>
          </w:tcPr>
          <w:p>
            <w:pPr>
              <w:pStyle w:val="Compact"/>
              <w:spacing w:before="20" w:after="20" w:line="240" w:lineRule="auto"/>
              <w:jc w:val="center"/>
              <w:keepNext/>
            </w:pPr>
            <w:r>
              <w:rPr>
                <w:sz w:val="16"/>
                <w:szCs w:val="16"/>
              </w:rPr>
              <w:t xml:space="preserve">(0.779)</w:t>
            </w:r>
          </w:p>
        </w:tc>
        <w:tc>
          <w:tcPr>
            <w:tcW w:type="dxa" w:w="845"/>
          </w:tcPr>
          <w:p>
            <w:pPr>
              <w:pStyle w:val="Compact"/>
              <w:spacing w:before="20" w:after="20" w:line="240" w:lineRule="auto"/>
              <w:jc w:val="center"/>
              <w:keepNext/>
            </w:pPr>
            <w:r>
              <w:rPr>
                <w:sz w:val="16"/>
                <w:szCs w:val="16"/>
              </w:rPr>
              <w:t xml:space="preserve">0.409</w:t>
            </w:r>
          </w:p>
        </w:tc>
      </w:tr>
    </w:tbl>
    <w:bookmarkEnd w:id="20"/>
    <w:bookmarkStart w:id="24" w:name="기술적-다양성과-공동분류형가설-1"/>
    <w:p>
      <w:pPr>
        <w:pStyle w:val="Heading3"/>
      </w:pPr>
      <w:r>
        <w:t xml:space="preserve">4.2 기술적 다양성과 공동분류형(가설 1)</w:t>
      </w:r>
    </w:p>
    <w:p>
      <w:pPr>
        <w:pStyle w:val="FirstParagraph"/>
      </w:pPr>
      <w:r>
        <w:t xml:space="preserve">가설 1의 검증을 위해 Table 4의 기술범위 계수를 본다. 세부 분류가 하나 늘 때마다 조립 단독형 대비 통합형일 상대위험은 40% 높아지고(RRR 1.403, p &lt; 0.01, 95% CI 1.321–1.489) 공정 단독형일 상대위험은 10% 낮아진다(RRR 0.905, p &lt; 0.05). Fig. 2의 왼쪽은 이 계수를 평균 예측확률로 바꾼 것으로, 기술범위가 3인 출원의 통합형 예측확률은 0.26이지만 8인 출원은 0.68이다. 넓은 출원은 두 영역에 걸치고 좁은 출원은 한 영역에 머문다. 다만 유형과 기술범위가 같은 CPC 정보에서 만들어지므로 이를 독립적인 인과요인으로 해석하지 않으며, 보유 클래스마다 최소 1개 기호를 차감한 breadth_adj로 다시 추정하면 RRR은 1.262로 줄지만 방향은 유지된다. 이에 따라 가설 1은 통합형 특허가 선택된 CPC 영역 안에서 더 다양한 세부 기술을 포함한다는 구성적 특징으로서 지지된다.</w:t>
      </w:r>
    </w:p>
    <w:p>
      <w:pPr>
        <w:pStyle w:val="BodyText"/>
        <w:keepNext/>
      </w:pPr>
      <w:r>
        <w:drawing>
          <wp:inline>
            <wp:extent cx="5334000" cy="2794000"/>
            <wp:effectExtent b="0" l="0" r="0" t="0"/>
            <wp:docPr descr="" title="" id="22" name="Picture"/>
            <a:graphic>
              <a:graphicData uri="http://schemas.openxmlformats.org/drawingml/2006/picture">
                <pic:pic>
                  <pic:nvPicPr>
                    <pic:cNvPr descr="figures/fig_pred_types_ko.png" id="23" name="Picture"/>
                    <pic:cNvPicPr>
                      <a:picLocks noChangeArrowheads="1" noChangeAspect="1"/>
                    </pic:cNvPicPr>
                  </pic:nvPicPr>
                  <pic:blipFill>
                    <a:blip r:embed="rId2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Average predicted probabilities of the three types by breadth (left) and filing year (right) (multinomial logit; other covariates at observed values)</w:t>
      </w:r>
    </w:p>
    <w:bookmarkEnd w:id="24"/>
    <w:bookmarkStart w:id="25" w:name="출원연도와-공정-단독형가설-2"/>
    <w:p>
      <w:pPr>
        <w:pStyle w:val="Heading3"/>
      </w:pPr>
      <w:r>
        <w:t xml:space="preserve">4.3 출원연도와 공정 단독형(가설 2)</w:t>
      </w:r>
    </w:p>
    <w:p>
      <w:pPr>
        <w:pStyle w:val="FirstParagraph"/>
      </w:pPr>
      <w:r>
        <w:t xml:space="preserve">가설 2의 검증을 위해 Table 4의 출원연도 계수를 본다. 공정 단독형의 상대위험은 해마다 약 8.7%씩 낮아지는 반면(RRR 0.913, p &lt; 0.01, 95% CI 0.887–0.940) 통합형의 상대위험은 전 기간의 선형 추세로는 변하지 않는다(RRR 0.993, 비유의). Fig. 2의 오른쪽에서 2010년 출원의 공정 단독형 예측확률은 0.27, 2022년 출원은 0.12다. 시기별 비중으로 보아도 공정 단독형은 2014년 이전 43.6%에서 2015–2019년 14.8%, 2020–2024년 10.4%로 계속 줄었고, 선형 연도 대신 기간 더미를 넣은 다항 로짓에서도 2014년 이전 대비 공정 단독형의 상대위험은 0.273과 0.101(모두 p &lt; 0.01)로 낮아진다. 따라서 가설 2는 지지된다. 한편 통합형은 같은 기간 31.3%에서 62.2%로 늘었다가 44.3%로 낮아졌고 조립 단독형은 25.1%와 23.0%에서 45.4%로 늘었다. 기간 더미 모형에서 통합형은 1.707(p = 0.09)에서 0.762(비유의)로 내려온다. 이 움직임은 가설로 예측한 것이 아니므로 5.1절에서 탐색적 해석으로 다룬다.</w:t>
      </w:r>
    </w:p>
    <w:bookmarkEnd w:id="25"/>
    <w:bookmarkStart w:id="26" w:name="출원청별-차이가설-3a-3b"/>
    <w:p>
      <w:pPr>
        <w:pStyle w:val="Heading3"/>
      </w:pPr>
      <w:r>
        <w:t xml:space="preserve">4.4 출원청별 차이(가설 3a, 3b)</w:t>
      </w:r>
    </w:p>
    <w:p>
      <w:pPr>
        <w:pStyle w:val="FirstParagraph"/>
      </w:pPr>
      <w:r>
        <w:t xml:space="preserve">가설 3a의 검증을 위해 기술범위의 음이항 회귀를 추정하였다(Table 5). 미국 출원청 기준으로 중국 출원청 출원은 기대 CPC 서브그룹 수가 약 21% 적고(IRR 0.785, p &lt; 0.01, 95% CI 0.695–0.887), PCT 경로 출원은 약 17% 적다(IRR 0.826, p &lt; 0.01). 한국, 대만, EPO는 미국과 다르지 않으며 일본은 10% 수준에서만 유의하다. 따라서 가설 3a는 지지된다. 출원연도의 IRR은 1.015이지만 2010년 이후 표본만 보면 부호가 반대로 바뀌므로(IRR 0.970, p &lt; 0.01) 범위의 시간 추세에 대해서는 결론을 내리지 않는다.</w:t>
      </w:r>
    </w:p>
    <w:p>
      <w:pPr>
        <w:pStyle w:val="BodyText"/>
        <w:keepNext/>
      </w:pPr>
      <w:r>
        <w:rPr>
          <w:b/>
          <w:bCs/>
        </w:rPr>
        <w:t xml:space="preserve">Table 5.</w:t>
      </w:r>
      <w:r>
        <w:t xml:space="preserve"> </w:t>
      </w:r>
      <w:r>
        <w:t xml:space="preserve">Negative binomial regression of within-class CPC breadth (N = 928; reference office = US; α = 0.268 (SE 0.020); log-likelihood −2,431.5; standard errors of log coefficients in parentheses; * p &lt; 0.10, ** p &lt; 0.05, *** p &lt; 0.01)</w:t>
      </w:r>
    </w:p>
    <w:tbl>
      <w:tblPr>
        <w:tblStyle w:val="Table"/>
        <w:tblW w:type="dxa" w:w="9067"/>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251"/>
        <w:gridCol w:w="1700"/>
        <w:gridCol w:w="1558"/>
        <w:gridCol w:w="1558"/>
      </w:tblGrid>
      <w:tr>
        <w:trPr>
          <w:tblHeader w:val="on"/>
          <w:cantSplit/>
        </w:trPr>
        <w:tc>
          <w:tcPr>
            <w:tcW w:type="dxa" w:w="4251"/>
            <w:tcBorders>
              <w:bottom w:val="single" w:sz="4" w:space="0" w:color="000000"/>
            </w:tcBorders>
          </w:tcPr>
          <w:p>
            <w:pPr>
              <w:pStyle w:val="Compact"/>
              <w:spacing w:before="20" w:after="20" w:line="240" w:lineRule="auto"/>
              <w:keepNext/>
            </w:pPr>
          </w:p>
        </w:tc>
        <w:tc>
          <w:tcPr>
            <w:tcW w:type="dxa" w:w="1700"/>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1558"/>
            <w:tcBorders>
              <w:bottom w:val="single" w:sz="4" w:space="0" w:color="000000"/>
            </w:tcBorders>
          </w:tcPr>
          <w:p>
            <w:pPr>
              <w:pStyle w:val="Compact"/>
              <w:spacing w:before="20" w:after="20" w:line="240" w:lineRule="auto"/>
              <w:jc w:val="center"/>
              <w:keepNext/>
            </w:pPr>
            <w:r>
              <w:rPr>
                <w:sz w:val="18"/>
                <w:szCs w:val="18"/>
              </w:rPr>
              <w:t xml:space="preserve">SE (log)</w:t>
            </w:r>
          </w:p>
        </w:tc>
        <w:tc>
          <w:tcPr>
            <w:tcW w:type="dxa" w:w="155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4251"/>
          </w:tcPr>
          <w:p>
            <w:pPr>
              <w:pStyle w:val="Compact"/>
              <w:spacing w:before="20" w:after="20" w:line="240" w:lineRule="auto"/>
              <w:keepNext/>
            </w:pPr>
            <w:r>
              <w:rPr>
                <w:sz w:val="18"/>
                <w:szCs w:val="18"/>
              </w:rPr>
              <w:t xml:space="preserve">Filing year (yc)</w:t>
            </w:r>
          </w:p>
        </w:tc>
        <w:tc>
          <w:tcPr>
            <w:tcW w:type="dxa" w:w="1700"/>
          </w:tcPr>
          <w:p>
            <w:pPr>
              <w:pStyle w:val="Compact"/>
              <w:spacing w:before="20" w:after="20" w:line="240" w:lineRule="auto"/>
              <w:jc w:val="center"/>
              <w:keepNext/>
            </w:pPr>
            <w:r>
              <w:rPr>
                <w:sz w:val="18"/>
                <w:szCs w:val="18"/>
              </w:rPr>
              <w:t xml:space="preserve">1.015***</w:t>
            </w:r>
          </w:p>
        </w:tc>
        <w:tc>
          <w:tcPr>
            <w:tcW w:type="dxa" w:w="1558"/>
          </w:tcPr>
          <w:p>
            <w:pPr>
              <w:pStyle w:val="Compact"/>
              <w:spacing w:before="20" w:after="20" w:line="240" w:lineRule="auto"/>
              <w:jc w:val="center"/>
              <w:keepNext/>
            </w:pPr>
            <w:r>
              <w:rPr>
                <w:sz w:val="18"/>
                <w:szCs w:val="18"/>
              </w:rPr>
              <w:t xml:space="preserve">(0.003)</w:t>
            </w:r>
          </w:p>
        </w:tc>
        <w:tc>
          <w:tcPr>
            <w:tcW w:type="dxa" w:w="1558"/>
          </w:tcPr>
          <w:p>
            <w:pPr>
              <w:pStyle w:val="Compact"/>
              <w:spacing w:before="20" w:after="20" w:line="240" w:lineRule="auto"/>
              <w:jc w:val="center"/>
              <w:keepNext/>
            </w:pPr>
            <w:r>
              <w:rPr>
                <w:sz w:val="18"/>
                <w:szCs w:val="18"/>
              </w:rPr>
              <w:t xml:space="preserve">&lt;0.001</w:t>
            </w:r>
          </w:p>
        </w:tc>
      </w:tr>
      <w:tr>
        <w:trPr>
          <w:cantSplit/>
        </w:trPr>
        <w:tc>
          <w:tcPr>
            <w:tcW w:type="dxa" w:w="4251"/>
          </w:tcPr>
          <w:p>
            <w:pPr>
              <w:pStyle w:val="Compact"/>
              <w:spacing w:before="20" w:after="20" w:line="240" w:lineRule="auto"/>
              <w:keepNext/>
            </w:pPr>
            <w:r>
              <w:rPr>
                <w:sz w:val="18"/>
                <w:szCs w:val="18"/>
              </w:rPr>
              <w:t xml:space="preserve">CN</w:t>
            </w:r>
          </w:p>
        </w:tc>
        <w:tc>
          <w:tcPr>
            <w:tcW w:type="dxa" w:w="1700"/>
          </w:tcPr>
          <w:p>
            <w:pPr>
              <w:pStyle w:val="Compact"/>
              <w:spacing w:before="20" w:after="20" w:line="240" w:lineRule="auto"/>
              <w:jc w:val="center"/>
              <w:keepNext/>
            </w:pPr>
            <w:r>
              <w:rPr>
                <w:sz w:val="18"/>
                <w:szCs w:val="18"/>
              </w:rPr>
              <w:t xml:space="preserve">0.785***</w:t>
            </w:r>
          </w:p>
        </w:tc>
        <w:tc>
          <w:tcPr>
            <w:tcW w:type="dxa" w:w="1558"/>
          </w:tcPr>
          <w:p>
            <w:pPr>
              <w:pStyle w:val="Compact"/>
              <w:spacing w:before="20" w:after="20" w:line="240" w:lineRule="auto"/>
              <w:jc w:val="center"/>
              <w:keepNext/>
            </w:pPr>
            <w:r>
              <w:rPr>
                <w:sz w:val="18"/>
                <w:szCs w:val="18"/>
              </w:rPr>
              <w:t xml:space="preserve">(0.062)</w:t>
            </w:r>
          </w:p>
        </w:tc>
        <w:tc>
          <w:tcPr>
            <w:tcW w:type="dxa" w:w="1558"/>
          </w:tcPr>
          <w:p>
            <w:pPr>
              <w:pStyle w:val="Compact"/>
              <w:spacing w:before="20" w:after="20" w:line="240" w:lineRule="auto"/>
              <w:jc w:val="center"/>
              <w:keepNext/>
            </w:pPr>
            <w:r>
              <w:rPr>
                <w:sz w:val="18"/>
                <w:szCs w:val="18"/>
              </w:rPr>
              <w:t xml:space="preserve">&lt;0.001</w:t>
            </w:r>
          </w:p>
        </w:tc>
      </w:tr>
      <w:tr>
        <w:trPr>
          <w:cantSplit/>
        </w:trPr>
        <w:tc>
          <w:tcPr>
            <w:tcW w:type="dxa" w:w="4251"/>
          </w:tcPr>
          <w:p>
            <w:pPr>
              <w:pStyle w:val="Compact"/>
              <w:spacing w:before="20" w:after="20" w:line="240" w:lineRule="auto"/>
              <w:keepNext/>
            </w:pPr>
            <w:r>
              <w:rPr>
                <w:sz w:val="18"/>
                <w:szCs w:val="18"/>
              </w:rPr>
              <w:t xml:space="preserve">KR</w:t>
            </w:r>
          </w:p>
        </w:tc>
        <w:tc>
          <w:tcPr>
            <w:tcW w:type="dxa" w:w="1700"/>
          </w:tcPr>
          <w:p>
            <w:pPr>
              <w:pStyle w:val="Compact"/>
              <w:spacing w:before="20" w:after="20" w:line="240" w:lineRule="auto"/>
              <w:jc w:val="center"/>
              <w:keepNext/>
            </w:pPr>
            <w:r>
              <w:rPr>
                <w:sz w:val="18"/>
                <w:szCs w:val="18"/>
              </w:rPr>
              <w:t xml:space="preserve">1.018</w:t>
            </w:r>
          </w:p>
        </w:tc>
        <w:tc>
          <w:tcPr>
            <w:tcW w:type="dxa" w:w="1558"/>
          </w:tcPr>
          <w:p>
            <w:pPr>
              <w:pStyle w:val="Compact"/>
              <w:spacing w:before="20" w:after="20" w:line="240" w:lineRule="auto"/>
              <w:jc w:val="center"/>
              <w:keepNext/>
            </w:pPr>
            <w:r>
              <w:rPr>
                <w:sz w:val="18"/>
                <w:szCs w:val="18"/>
              </w:rPr>
              <w:t xml:space="preserve">(0.094)</w:t>
            </w:r>
          </w:p>
        </w:tc>
        <w:tc>
          <w:tcPr>
            <w:tcW w:type="dxa" w:w="1558"/>
          </w:tcPr>
          <w:p>
            <w:pPr>
              <w:pStyle w:val="Compact"/>
              <w:spacing w:before="20" w:after="20" w:line="240" w:lineRule="auto"/>
              <w:jc w:val="center"/>
              <w:keepNext/>
            </w:pPr>
            <w:r>
              <w:rPr>
                <w:sz w:val="18"/>
                <w:szCs w:val="18"/>
              </w:rPr>
              <w:t xml:space="preserve">0.853</w:t>
            </w:r>
          </w:p>
        </w:tc>
      </w:tr>
      <w:tr>
        <w:trPr>
          <w:cantSplit/>
        </w:trPr>
        <w:tc>
          <w:tcPr>
            <w:tcW w:type="dxa" w:w="4251"/>
          </w:tcPr>
          <w:p>
            <w:pPr>
              <w:pStyle w:val="Compact"/>
              <w:spacing w:before="20" w:after="20" w:line="240" w:lineRule="auto"/>
              <w:keepNext/>
            </w:pPr>
            <w:r>
              <w:rPr>
                <w:sz w:val="18"/>
                <w:szCs w:val="18"/>
              </w:rPr>
              <w:t xml:space="preserve">TW</w:t>
            </w:r>
          </w:p>
        </w:tc>
        <w:tc>
          <w:tcPr>
            <w:tcW w:type="dxa" w:w="1700"/>
          </w:tcPr>
          <w:p>
            <w:pPr>
              <w:pStyle w:val="Compact"/>
              <w:spacing w:before="20" w:after="20" w:line="240" w:lineRule="auto"/>
              <w:jc w:val="center"/>
              <w:keepNext/>
            </w:pPr>
            <w:r>
              <w:rPr>
                <w:sz w:val="18"/>
                <w:szCs w:val="18"/>
              </w:rPr>
              <w:t xml:space="preserve">1.021</w:t>
            </w:r>
          </w:p>
        </w:tc>
        <w:tc>
          <w:tcPr>
            <w:tcW w:type="dxa" w:w="1558"/>
          </w:tcPr>
          <w:p>
            <w:pPr>
              <w:pStyle w:val="Compact"/>
              <w:spacing w:before="20" w:after="20" w:line="240" w:lineRule="auto"/>
              <w:jc w:val="center"/>
              <w:keepNext/>
            </w:pPr>
            <w:r>
              <w:rPr>
                <w:sz w:val="18"/>
                <w:szCs w:val="18"/>
              </w:rPr>
              <w:t xml:space="preserve">(0.083)</w:t>
            </w:r>
          </w:p>
        </w:tc>
        <w:tc>
          <w:tcPr>
            <w:tcW w:type="dxa" w:w="1558"/>
          </w:tcPr>
          <w:p>
            <w:pPr>
              <w:pStyle w:val="Compact"/>
              <w:spacing w:before="20" w:after="20" w:line="240" w:lineRule="auto"/>
              <w:jc w:val="center"/>
              <w:keepNext/>
            </w:pPr>
            <w:r>
              <w:rPr>
                <w:sz w:val="18"/>
                <w:szCs w:val="18"/>
              </w:rPr>
              <w:t xml:space="preserve">0.801</w:t>
            </w:r>
          </w:p>
        </w:tc>
      </w:tr>
      <w:tr>
        <w:trPr>
          <w:cantSplit/>
        </w:trPr>
        <w:tc>
          <w:tcPr>
            <w:tcW w:type="dxa" w:w="4251"/>
          </w:tcPr>
          <w:p>
            <w:pPr>
              <w:pStyle w:val="Compact"/>
              <w:spacing w:before="20" w:after="20" w:line="240" w:lineRule="auto"/>
              <w:keepNext/>
            </w:pPr>
            <w:r>
              <w:rPr>
                <w:sz w:val="18"/>
                <w:szCs w:val="18"/>
              </w:rPr>
              <w:t xml:space="preserve">JP</w:t>
            </w:r>
          </w:p>
        </w:tc>
        <w:tc>
          <w:tcPr>
            <w:tcW w:type="dxa" w:w="1700"/>
          </w:tcPr>
          <w:p>
            <w:pPr>
              <w:pStyle w:val="Compact"/>
              <w:spacing w:before="20" w:after="20" w:line="240" w:lineRule="auto"/>
              <w:jc w:val="center"/>
              <w:keepNext/>
            </w:pPr>
            <w:r>
              <w:rPr>
                <w:sz w:val="18"/>
                <w:szCs w:val="18"/>
              </w:rPr>
              <w:t xml:space="preserve">1.270*</w:t>
            </w:r>
          </w:p>
        </w:tc>
        <w:tc>
          <w:tcPr>
            <w:tcW w:type="dxa" w:w="1558"/>
          </w:tcPr>
          <w:p>
            <w:pPr>
              <w:pStyle w:val="Compact"/>
              <w:spacing w:before="20" w:after="20" w:line="240" w:lineRule="auto"/>
              <w:jc w:val="center"/>
              <w:keepNext/>
            </w:pPr>
            <w:r>
              <w:rPr>
                <w:sz w:val="18"/>
                <w:szCs w:val="18"/>
              </w:rPr>
              <w:t xml:space="preserve">(0.133)</w:t>
            </w:r>
          </w:p>
        </w:tc>
        <w:tc>
          <w:tcPr>
            <w:tcW w:type="dxa" w:w="1558"/>
          </w:tcPr>
          <w:p>
            <w:pPr>
              <w:pStyle w:val="Compact"/>
              <w:spacing w:before="20" w:after="20" w:line="240" w:lineRule="auto"/>
              <w:jc w:val="center"/>
              <w:keepNext/>
            </w:pPr>
            <w:r>
              <w:rPr>
                <w:sz w:val="18"/>
                <w:szCs w:val="18"/>
              </w:rPr>
              <w:t xml:space="preserve">0.073</w:t>
            </w:r>
          </w:p>
        </w:tc>
      </w:tr>
      <w:tr>
        <w:trPr>
          <w:cantSplit/>
        </w:trPr>
        <w:tc>
          <w:tcPr>
            <w:tcW w:type="dxa" w:w="4251"/>
          </w:tcPr>
          <w:p>
            <w:pPr>
              <w:pStyle w:val="Compact"/>
              <w:spacing w:before="20" w:after="20" w:line="240" w:lineRule="auto"/>
              <w:keepNext/>
            </w:pPr>
            <w:r>
              <w:rPr>
                <w:sz w:val="18"/>
                <w:szCs w:val="18"/>
              </w:rPr>
              <w:t xml:space="preserve">EP</w:t>
            </w:r>
          </w:p>
        </w:tc>
        <w:tc>
          <w:tcPr>
            <w:tcW w:type="dxa" w:w="1700"/>
          </w:tcPr>
          <w:p>
            <w:pPr>
              <w:pStyle w:val="Compact"/>
              <w:spacing w:before="20" w:after="20" w:line="240" w:lineRule="auto"/>
              <w:jc w:val="center"/>
              <w:keepNext/>
            </w:pPr>
            <w:r>
              <w:rPr>
                <w:sz w:val="18"/>
                <w:szCs w:val="18"/>
              </w:rPr>
              <w:t xml:space="preserve">0.993</w:t>
            </w:r>
          </w:p>
        </w:tc>
        <w:tc>
          <w:tcPr>
            <w:tcW w:type="dxa" w:w="1558"/>
          </w:tcPr>
          <w:p>
            <w:pPr>
              <w:pStyle w:val="Compact"/>
              <w:spacing w:before="20" w:after="20" w:line="240" w:lineRule="auto"/>
              <w:jc w:val="center"/>
              <w:keepNext/>
            </w:pPr>
            <w:r>
              <w:rPr>
                <w:sz w:val="18"/>
                <w:szCs w:val="18"/>
              </w:rPr>
              <w:t xml:space="preserve">(0.080)</w:t>
            </w:r>
          </w:p>
        </w:tc>
        <w:tc>
          <w:tcPr>
            <w:tcW w:type="dxa" w:w="1558"/>
          </w:tcPr>
          <w:p>
            <w:pPr>
              <w:pStyle w:val="Compact"/>
              <w:spacing w:before="20" w:after="20" w:line="240" w:lineRule="auto"/>
              <w:jc w:val="center"/>
              <w:keepNext/>
            </w:pPr>
            <w:r>
              <w:rPr>
                <w:sz w:val="18"/>
                <w:szCs w:val="18"/>
              </w:rPr>
              <w:t xml:space="preserve">0.933</w:t>
            </w:r>
          </w:p>
        </w:tc>
      </w:tr>
      <w:tr>
        <w:trPr>
          <w:cantSplit/>
        </w:trPr>
        <w:tc>
          <w:tcPr>
            <w:tcW w:type="dxa" w:w="4251"/>
          </w:tcPr>
          <w:p>
            <w:pPr>
              <w:pStyle w:val="Compact"/>
              <w:spacing w:before="20" w:after="20" w:line="240" w:lineRule="auto"/>
              <w:keepNext/>
            </w:pPr>
            <w:r>
              <w:rPr>
                <w:sz w:val="18"/>
                <w:szCs w:val="18"/>
              </w:rPr>
              <w:t xml:space="preserve">WO</w:t>
            </w:r>
          </w:p>
        </w:tc>
        <w:tc>
          <w:tcPr>
            <w:tcW w:type="dxa" w:w="1700"/>
          </w:tcPr>
          <w:p>
            <w:pPr>
              <w:pStyle w:val="Compact"/>
              <w:spacing w:before="20" w:after="20" w:line="240" w:lineRule="auto"/>
              <w:jc w:val="center"/>
              <w:keepNext/>
            </w:pPr>
            <w:r>
              <w:rPr>
                <w:sz w:val="18"/>
                <w:szCs w:val="18"/>
              </w:rPr>
              <w:t xml:space="preserve">0.826***</w:t>
            </w:r>
          </w:p>
        </w:tc>
        <w:tc>
          <w:tcPr>
            <w:tcW w:type="dxa" w:w="1558"/>
          </w:tcPr>
          <w:p>
            <w:pPr>
              <w:pStyle w:val="Compact"/>
              <w:spacing w:before="20" w:after="20" w:line="240" w:lineRule="auto"/>
              <w:jc w:val="center"/>
              <w:keepNext/>
            </w:pPr>
            <w:r>
              <w:rPr>
                <w:sz w:val="18"/>
                <w:szCs w:val="18"/>
              </w:rPr>
              <w:t xml:space="preserve">(0.073)</w:t>
            </w:r>
          </w:p>
        </w:tc>
        <w:tc>
          <w:tcPr>
            <w:tcW w:type="dxa" w:w="1558"/>
          </w:tcPr>
          <w:p>
            <w:pPr>
              <w:pStyle w:val="Compact"/>
              <w:spacing w:before="20" w:after="20" w:line="240" w:lineRule="auto"/>
              <w:jc w:val="center"/>
              <w:keepNext/>
            </w:pPr>
            <w:r>
              <w:rPr>
                <w:sz w:val="18"/>
                <w:szCs w:val="18"/>
              </w:rPr>
              <w:t xml:space="preserve">0.009</w:t>
            </w:r>
          </w:p>
        </w:tc>
      </w:tr>
      <w:tr>
        <w:trPr>
          <w:cantSplit/>
        </w:trPr>
        <w:tc>
          <w:tcPr>
            <w:tcW w:type="dxa" w:w="4251"/>
          </w:tcPr>
          <w:p>
            <w:pPr>
              <w:pStyle w:val="Compact"/>
              <w:spacing w:before="20" w:after="20" w:line="240" w:lineRule="auto"/>
              <w:keepNext/>
            </w:pPr>
            <w:r>
              <w:rPr>
                <w:sz w:val="18"/>
                <w:szCs w:val="18"/>
              </w:rPr>
              <w:t xml:space="preserve">Other</w:t>
            </w:r>
          </w:p>
        </w:tc>
        <w:tc>
          <w:tcPr>
            <w:tcW w:type="dxa" w:w="1700"/>
          </w:tcPr>
          <w:p>
            <w:pPr>
              <w:pStyle w:val="Compact"/>
              <w:spacing w:before="20" w:after="20" w:line="240" w:lineRule="auto"/>
              <w:jc w:val="center"/>
              <w:keepNext/>
            </w:pPr>
            <w:r>
              <w:rPr>
                <w:sz w:val="18"/>
                <w:szCs w:val="18"/>
              </w:rPr>
              <w:t xml:space="preserve">1.057</w:t>
            </w:r>
          </w:p>
        </w:tc>
        <w:tc>
          <w:tcPr>
            <w:tcW w:type="dxa" w:w="1558"/>
          </w:tcPr>
          <w:p>
            <w:pPr>
              <w:pStyle w:val="Compact"/>
              <w:spacing w:before="20" w:after="20" w:line="240" w:lineRule="auto"/>
              <w:jc w:val="center"/>
              <w:keepNext/>
            </w:pPr>
            <w:r>
              <w:rPr>
                <w:sz w:val="18"/>
                <w:szCs w:val="18"/>
              </w:rPr>
              <w:t xml:space="preserve">(0.171)</w:t>
            </w:r>
          </w:p>
        </w:tc>
        <w:tc>
          <w:tcPr>
            <w:tcW w:type="dxa" w:w="1558"/>
          </w:tcPr>
          <w:p>
            <w:pPr>
              <w:pStyle w:val="Compact"/>
              <w:spacing w:before="20" w:after="20" w:line="240" w:lineRule="auto"/>
              <w:jc w:val="center"/>
              <w:keepNext/>
            </w:pPr>
            <w:r>
              <w:rPr>
                <w:sz w:val="18"/>
                <w:szCs w:val="18"/>
              </w:rPr>
              <w:t xml:space="preserve">0.745</w:t>
            </w:r>
          </w:p>
        </w:tc>
      </w:tr>
    </w:tbl>
    <w:p>
      <w:pPr>
        <w:pStyle w:val="BodyText"/>
      </w:pPr>
      <w:r>
        <w:t xml:space="preserve">가설 3b의 검증을 위해 Table 4의 중국 출원청 계수를 본다. 중국 출원청 출원은 미국 출원청 출원보다 공정 단독형일 상대위험이 2.7배 높고(RRR 2.687, p &lt; 0.01, 95% CI 1.566–4.611), PCT 경로도 높지만(RRR 1.997, p &lt; 0.05), 통합형 방정식에서는 어느 출원청 계수도 유의하지 않아 범위와 시점을 통제하면 경계를 넘는 특허의 비중 자체는 출원청 사이에 다르지 않다. 공정 단독형 평균 예측확률은 중국 출원청 0.255, 미국 출원청 0.143이다. 기준모형만 보면 가설 3b는 지지되지만, 4.5절에서 보듯 2023–2024년 출원을 제외하면 유의성을 잃으므로 최근 출원 구성에 민감한 제한적 지지로 판정한다.</w:t>
      </w:r>
    </w:p>
    <w:bookmarkEnd w:id="26"/>
    <w:bookmarkStart w:id="27" w:name="강건성-분석"/>
    <w:p>
      <w:pPr>
        <w:pStyle w:val="Heading3"/>
      </w:pPr>
      <w:r>
        <w:t xml:space="preserve">4.5 강건성 분석</w:t>
      </w:r>
    </w:p>
    <w:p>
      <w:pPr>
        <w:pStyle w:val="FirstParagraph"/>
      </w:pPr>
      <w:r>
        <w:t xml:space="preserve">Table 6은 표본과 변수 정의를 바꾸어 다시 추정한 핵심 계수와 가설별 판정이다. 같은 제목의 출원을 한 군집으로 묶은 표준오차에서도 네 계수는 1% 수준에서 유지된다. 제목당 가장 이른 출원 1건만 남긴 표본(N = 473), 조립 단계 공정을 제조공정으로 세지 않는 좁은 정의(N = 908), 직접 접합의 무관한 용법 68건을 뺀 표본(N = 860)에서도 핵심 계수는 유지되며, 좁은 정의에서는 조립 단독형 46.8%, 통합형 37.2%, 공정 단독형 16.0%로 통합형이 최다 유형이라는 기술통계는 정의에 따라 달라지지만 회귀 결과는 그대로다. 제목에</w:t>
      </w:r>
      <w:r>
        <w:t xml:space="preserve"> </w:t>
      </w:r>
      <w:r>
        <w:rPr>
          <w:i/>
          <w:iCs/>
        </w:rPr>
        <w:t xml:space="preserve">hybrid bonding</w:t>
      </w:r>
      <w:r>
        <w:t xml:space="preserve">이 들어 있는 핵심 표본(N = 467)에서는 범위와 중국 계수가 더 강해지지만 2015년 이전 출원이 30건뿐이어서 연도 계수는 유의하지 않다(1.029). 2023–2024년을 뺀 표본(N = 753)에서는 중국 출원청의 좁은 범위(IRR 0.808, p &lt; 0.01)는 유지되지만 공정 단독형 RRR은 1.651(p = 0.12)로 유의성을 잃는다. 2023–2024년 중국 출원청 출원 39건 중 18건이 공정 단독형인 반면 미국 출원청은 65건 중 3건이기 때문이다. 공정 단독형을 제외한 표본(N = 763)의 이항 로짓에서도 기술범위 OR 1.463, 출원연도 0.987, 중국 출원청 1.177로 다항 로짓 통합형 방정식(1.403, 0.993, 1.205)과 유사하다. 종합하면 가설 1은 구성적 연관으로서, 가설 2와 3a는 모든 재추정에서 지지되며, 가설 3b는 제한적 지지다.</w:t>
      </w:r>
    </w:p>
    <w:p>
      <w:pPr>
        <w:pStyle w:val="BodyText"/>
        <w:keepNext/>
      </w:pPr>
      <w:r>
        <w:rPr>
          <w:b/>
          <w:bCs/>
        </w:rPr>
        <w:t xml:space="preserve">Table 6.</w:t>
      </w:r>
      <w:r>
        <w:t xml:space="preserve"> </w:t>
      </w:r>
      <w:r>
        <w:t xml:space="preserve">Key coefficients across specifications and hypothesis verdicts (multinomial logit RRR, base = assembly-only; reference office = US; last column negative binomial IRR;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586"/>
        <w:gridCol w:w="461"/>
        <w:gridCol w:w="2269"/>
        <w:gridCol w:w="1207"/>
        <w:gridCol w:w="1419"/>
        <w:gridCol w:w="1132"/>
      </w:tblGrid>
      <w:tr>
        <w:trPr>
          <w:tblHeader w:val="on"/>
          <w:cantSplit/>
        </w:trPr>
        <w:tc>
          <w:tcPr>
            <w:tcW w:type="dxa" w:w="2586"/>
            <w:tcBorders>
              <w:bottom w:val="single" w:sz="4" w:space="0" w:color="000000"/>
            </w:tcBorders>
          </w:tcPr>
          <w:p>
            <w:pPr>
              <w:pStyle w:val="Compact"/>
              <w:spacing w:before="20" w:after="20" w:line="240" w:lineRule="auto"/>
              <w:keepNext/>
            </w:pPr>
            <w:r>
              <w:rPr>
                <w:sz w:val="13"/>
                <w:szCs w:val="13"/>
              </w:rPr>
              <w:t xml:space="preserve">Specification</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2269"/>
            <w:tcBorders>
              <w:bottom w:val="single" w:sz="4" w:space="0" w:color="000000"/>
            </w:tcBorders>
          </w:tcPr>
          <w:p>
            <w:pPr>
              <w:pStyle w:val="Compact"/>
              <w:spacing w:before="20" w:after="20" w:line="240" w:lineRule="auto"/>
              <w:keepNext/>
            </w:pPr>
            <w:r>
              <w:rPr>
                <w:sz w:val="13"/>
                <w:szCs w:val="13"/>
              </w:rPr>
              <w:t xml:space="preserve">Breadth → Integrated (H1)</w:t>
            </w:r>
          </w:p>
        </w:tc>
        <w:tc>
          <w:tcPr>
            <w:tcW w:type="dxa" w:w="1207"/>
            <w:tcBorders>
              <w:bottom w:val="single" w:sz="4" w:space="0" w:color="000000"/>
            </w:tcBorders>
          </w:tcPr>
          <w:p>
            <w:pPr>
              <w:pStyle w:val="Compact"/>
              <w:spacing w:before="20" w:after="20" w:line="240" w:lineRule="auto"/>
              <w:keepNext/>
            </w:pPr>
            <w:r>
              <w:rPr>
                <w:sz w:val="13"/>
                <w:szCs w:val="13"/>
              </w:rPr>
              <w:t xml:space="preserve">Year → Process-only (H2)</w:t>
            </w:r>
          </w:p>
        </w:tc>
        <w:tc>
          <w:tcPr>
            <w:tcW w:type="dxa" w:w="1419"/>
            <w:tcBorders>
              <w:bottom w:val="single" w:sz="4" w:space="0" w:color="000000"/>
            </w:tcBorders>
          </w:tcPr>
          <w:p>
            <w:pPr>
              <w:pStyle w:val="Compact"/>
              <w:spacing w:before="20" w:after="20" w:line="240" w:lineRule="auto"/>
              <w:keepNext/>
            </w:pPr>
            <w:r>
              <w:rPr>
                <w:sz w:val="13"/>
                <w:szCs w:val="13"/>
              </w:rPr>
              <w:t xml:space="preserve">CN → Process-only (H3b)</w:t>
            </w:r>
          </w:p>
        </w:tc>
        <w:tc>
          <w:tcPr>
            <w:tcW w:type="dxa" w:w="1132"/>
            <w:tcBorders>
              <w:bottom w:val="single" w:sz="4" w:space="0" w:color="000000"/>
            </w:tcBorders>
          </w:tcPr>
          <w:p>
            <w:pPr>
              <w:pStyle w:val="Compact"/>
              <w:spacing w:before="20" w:after="20" w:line="240" w:lineRule="auto"/>
              <w:keepNext/>
            </w:pPr>
            <w:r>
              <w:rPr>
                <w:sz w:val="13"/>
                <w:szCs w:val="13"/>
              </w:rPr>
              <w:t xml:space="preserve">CN → Breadth, IRR (H3a)</w:t>
            </w:r>
          </w:p>
        </w:tc>
      </w:tr>
      <w:tr>
        <w:trPr>
          <w:cantSplit/>
        </w:trPr>
        <w:tc>
          <w:tcPr>
            <w:tcW w:type="dxa" w:w="2586"/>
          </w:tcPr>
          <w:p>
            <w:pPr>
              <w:pStyle w:val="Compact"/>
              <w:spacing w:before="20" w:after="20" w:line="240" w:lineRule="auto"/>
              <w:keepNext/>
            </w:pPr>
            <w:r>
              <w:rPr>
                <w:sz w:val="13"/>
                <w:szCs w:val="13"/>
              </w:rPr>
              <w:t xml:space="preserve">Baseline (Tables 4–5)</w:t>
            </w:r>
          </w:p>
        </w:tc>
        <w:tc>
          <w:tcPr>
            <w:tcW w:type="dxa" w:w="461"/>
          </w:tcPr>
          <w:p>
            <w:pPr>
              <w:pStyle w:val="Compact"/>
              <w:spacing w:before="20" w:after="20" w:line="240" w:lineRule="auto"/>
              <w:jc w:val="right"/>
              <w:keepNext/>
            </w:pPr>
            <w:r>
              <w:rPr>
                <w:sz w:val="13"/>
                <w:szCs w:val="13"/>
              </w:rPr>
              <w:t xml:space="preserve">928</w:t>
            </w:r>
          </w:p>
        </w:tc>
        <w:tc>
          <w:tcPr>
            <w:tcW w:type="dxa" w:w="2269"/>
          </w:tcPr>
          <w:p>
            <w:pPr>
              <w:pStyle w:val="Compact"/>
              <w:spacing w:before="20" w:after="20" w:line="240" w:lineRule="auto"/>
              <w:keepNext/>
            </w:pPr>
            <w:r>
              <w:rPr>
                <w:sz w:val="13"/>
                <w:szCs w:val="13"/>
              </w:rPr>
              <w:t xml:space="preserve">1.403***</w:t>
            </w:r>
          </w:p>
        </w:tc>
        <w:tc>
          <w:tcPr>
            <w:tcW w:type="dxa" w:w="1207"/>
          </w:tcPr>
          <w:p>
            <w:pPr>
              <w:pStyle w:val="Compact"/>
              <w:spacing w:before="20" w:after="20" w:line="240" w:lineRule="auto"/>
              <w:keepNext/>
            </w:pPr>
            <w:r>
              <w:rPr>
                <w:sz w:val="13"/>
                <w:szCs w:val="13"/>
              </w:rPr>
              <w:t xml:space="preserve">0.913***</w:t>
            </w:r>
          </w:p>
        </w:tc>
        <w:tc>
          <w:tcPr>
            <w:tcW w:type="dxa" w:w="1419"/>
          </w:tcPr>
          <w:p>
            <w:pPr>
              <w:pStyle w:val="Compact"/>
              <w:spacing w:before="20" w:after="20" w:line="240" w:lineRule="auto"/>
              <w:keepNext/>
            </w:pPr>
            <w:r>
              <w:rPr>
                <w:sz w:val="13"/>
                <w:szCs w:val="13"/>
              </w:rPr>
              <w:t xml:space="preserve">2.687***</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Baseline, title-clustered SE</w:t>
            </w:r>
          </w:p>
        </w:tc>
        <w:tc>
          <w:tcPr>
            <w:tcW w:type="dxa" w:w="461"/>
          </w:tcPr>
          <w:p>
            <w:pPr>
              <w:pStyle w:val="Compact"/>
              <w:spacing w:before="20" w:after="20" w:line="240" w:lineRule="auto"/>
              <w:jc w:val="right"/>
              <w:keepNext/>
            </w:pPr>
            <w:r>
              <w:rPr>
                <w:sz w:val="13"/>
                <w:szCs w:val="13"/>
              </w:rPr>
              <w:t xml:space="preserve">928</w:t>
            </w:r>
          </w:p>
        </w:tc>
        <w:tc>
          <w:tcPr>
            <w:tcW w:type="dxa" w:w="2269"/>
          </w:tcPr>
          <w:p>
            <w:pPr>
              <w:pStyle w:val="Compact"/>
              <w:spacing w:before="20" w:after="20" w:line="240" w:lineRule="auto"/>
              <w:keepNext/>
            </w:pPr>
            <w:r>
              <w:rPr>
                <w:sz w:val="13"/>
                <w:szCs w:val="13"/>
              </w:rPr>
              <w:t xml:space="preserve">1.403***</w:t>
            </w:r>
          </w:p>
        </w:tc>
        <w:tc>
          <w:tcPr>
            <w:tcW w:type="dxa" w:w="1207"/>
          </w:tcPr>
          <w:p>
            <w:pPr>
              <w:pStyle w:val="Compact"/>
              <w:spacing w:before="20" w:after="20" w:line="240" w:lineRule="auto"/>
              <w:keepNext/>
            </w:pPr>
            <w:r>
              <w:rPr>
                <w:sz w:val="13"/>
                <w:szCs w:val="13"/>
              </w:rPr>
              <w:t xml:space="preserve">0.913***</w:t>
            </w:r>
          </w:p>
        </w:tc>
        <w:tc>
          <w:tcPr>
            <w:tcW w:type="dxa" w:w="1419"/>
          </w:tcPr>
          <w:p>
            <w:pPr>
              <w:pStyle w:val="Compact"/>
              <w:spacing w:before="20" w:after="20" w:line="240" w:lineRule="auto"/>
              <w:keepNext/>
            </w:pPr>
            <w:r>
              <w:rPr>
                <w:sz w:val="13"/>
                <w:szCs w:val="13"/>
              </w:rPr>
              <w:t xml:space="preserve">2.687***</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One filing per title</w:t>
            </w:r>
          </w:p>
        </w:tc>
        <w:tc>
          <w:tcPr>
            <w:tcW w:type="dxa" w:w="461"/>
          </w:tcPr>
          <w:p>
            <w:pPr>
              <w:pStyle w:val="Compact"/>
              <w:spacing w:before="20" w:after="20" w:line="240" w:lineRule="auto"/>
              <w:jc w:val="right"/>
              <w:keepNext/>
            </w:pPr>
            <w:r>
              <w:rPr>
                <w:sz w:val="13"/>
                <w:szCs w:val="13"/>
              </w:rPr>
              <w:t xml:space="preserve">473</w:t>
            </w:r>
          </w:p>
        </w:tc>
        <w:tc>
          <w:tcPr>
            <w:tcW w:type="dxa" w:w="2269"/>
          </w:tcPr>
          <w:p>
            <w:pPr>
              <w:pStyle w:val="Compact"/>
              <w:spacing w:before="20" w:after="20" w:line="240" w:lineRule="auto"/>
              <w:keepNext/>
            </w:pPr>
            <w:r>
              <w:rPr>
                <w:sz w:val="13"/>
                <w:szCs w:val="13"/>
              </w:rPr>
              <w:t xml:space="preserve">1.295***</w:t>
            </w:r>
          </w:p>
        </w:tc>
        <w:tc>
          <w:tcPr>
            <w:tcW w:type="dxa" w:w="1207"/>
          </w:tcPr>
          <w:p>
            <w:pPr>
              <w:pStyle w:val="Compact"/>
              <w:spacing w:before="20" w:after="20" w:line="240" w:lineRule="auto"/>
              <w:keepNext/>
            </w:pPr>
            <w:r>
              <w:rPr>
                <w:sz w:val="13"/>
                <w:szCs w:val="13"/>
              </w:rPr>
              <w:t xml:space="preserve">0.935***</w:t>
            </w:r>
          </w:p>
        </w:tc>
        <w:tc>
          <w:tcPr>
            <w:tcW w:type="dxa" w:w="1419"/>
          </w:tcPr>
          <w:p>
            <w:pPr>
              <w:pStyle w:val="Compact"/>
              <w:spacing w:before="20" w:after="20" w:line="240" w:lineRule="auto"/>
              <w:keepNext/>
            </w:pPr>
            <w:r>
              <w:rPr>
                <w:sz w:val="13"/>
                <w:szCs w:val="13"/>
              </w:rPr>
              <w:t xml:space="preserve">2.721***</w:t>
            </w:r>
          </w:p>
        </w:tc>
        <w:tc>
          <w:tcPr>
            <w:tcW w:type="dxa" w:w="1132"/>
          </w:tcPr>
          <w:p>
            <w:pPr>
              <w:pStyle w:val="Compact"/>
              <w:spacing w:before="20" w:after="20" w:line="240" w:lineRule="auto"/>
              <w:keepNext/>
            </w:pPr>
            <w:r>
              <w:rPr>
                <w:sz w:val="13"/>
                <w:szCs w:val="13"/>
              </w:rPr>
              <w:t xml:space="preserve">0.792***</w:t>
            </w:r>
          </w:p>
        </w:tc>
      </w:tr>
      <w:tr>
        <w:trPr>
          <w:cantSplit/>
        </w:trPr>
        <w:tc>
          <w:tcPr>
            <w:tcW w:type="dxa" w:w="2586"/>
          </w:tcPr>
          <w:p>
            <w:pPr>
              <w:pStyle w:val="Compact"/>
              <w:spacing w:before="20" w:after="20" w:line="240" w:lineRule="auto"/>
              <w:keepNext/>
            </w:pPr>
            <w:r>
              <w:rPr>
                <w:sz w:val="13"/>
                <w:szCs w:val="13"/>
              </w:rPr>
              <w:t xml:space="preserve">Narrow process definition</w:t>
            </w:r>
          </w:p>
        </w:tc>
        <w:tc>
          <w:tcPr>
            <w:tcW w:type="dxa" w:w="461"/>
          </w:tcPr>
          <w:p>
            <w:pPr>
              <w:pStyle w:val="Compact"/>
              <w:spacing w:before="20" w:after="20" w:line="240" w:lineRule="auto"/>
              <w:jc w:val="right"/>
              <w:keepNext/>
            </w:pPr>
            <w:r>
              <w:rPr>
                <w:sz w:val="13"/>
                <w:szCs w:val="13"/>
              </w:rPr>
              <w:t xml:space="preserve">908</w:t>
            </w:r>
          </w:p>
        </w:tc>
        <w:tc>
          <w:tcPr>
            <w:tcW w:type="dxa" w:w="2269"/>
          </w:tcPr>
          <w:p>
            <w:pPr>
              <w:pStyle w:val="Compact"/>
              <w:spacing w:before="20" w:after="20" w:line="240" w:lineRule="auto"/>
              <w:keepNext/>
            </w:pPr>
            <w:r>
              <w:rPr>
                <w:sz w:val="13"/>
                <w:szCs w:val="13"/>
              </w:rPr>
              <w:t xml:space="preserve">1.352***</w:t>
            </w:r>
          </w:p>
        </w:tc>
        <w:tc>
          <w:tcPr>
            <w:tcW w:type="dxa" w:w="1207"/>
          </w:tcPr>
          <w:p>
            <w:pPr>
              <w:pStyle w:val="Compact"/>
              <w:spacing w:before="20" w:after="20" w:line="240" w:lineRule="auto"/>
              <w:keepNext/>
            </w:pPr>
            <w:r>
              <w:rPr>
                <w:sz w:val="13"/>
                <w:szCs w:val="13"/>
              </w:rPr>
              <w:t xml:space="preserve">0.898***</w:t>
            </w:r>
          </w:p>
        </w:tc>
        <w:tc>
          <w:tcPr>
            <w:tcW w:type="dxa" w:w="1419"/>
          </w:tcPr>
          <w:p>
            <w:pPr>
              <w:pStyle w:val="Compact"/>
              <w:spacing w:before="20" w:after="20" w:line="240" w:lineRule="auto"/>
              <w:keepNext/>
            </w:pPr>
            <w:r>
              <w:rPr>
                <w:sz w:val="13"/>
                <w:szCs w:val="13"/>
              </w:rPr>
              <w:t xml:space="preserve">3.299***</w:t>
            </w:r>
          </w:p>
        </w:tc>
        <w:tc>
          <w:tcPr>
            <w:tcW w:type="dxa" w:w="1132"/>
          </w:tcPr>
          <w:p>
            <w:pPr>
              <w:pStyle w:val="Compact"/>
              <w:spacing w:before="20" w:after="20" w:line="240" w:lineRule="auto"/>
              <w:keepNext/>
            </w:pPr>
            <w:r>
              <w:rPr>
                <w:sz w:val="13"/>
                <w:szCs w:val="13"/>
              </w:rPr>
              <w:t xml:space="preserve">—</w:t>
            </w:r>
          </w:p>
        </w:tc>
      </w:tr>
      <w:tr>
        <w:trPr>
          <w:cantSplit/>
        </w:trPr>
        <w:tc>
          <w:tcPr>
            <w:tcW w:type="dxa" w:w="2586"/>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860</w:t>
            </w:r>
          </w:p>
        </w:tc>
        <w:tc>
          <w:tcPr>
            <w:tcW w:type="dxa" w:w="2269"/>
          </w:tcPr>
          <w:p>
            <w:pPr>
              <w:pStyle w:val="Compact"/>
              <w:spacing w:before="20" w:after="20" w:line="240" w:lineRule="auto"/>
              <w:keepNext/>
            </w:pPr>
            <w:r>
              <w:rPr>
                <w:sz w:val="13"/>
                <w:szCs w:val="13"/>
              </w:rPr>
              <w:t xml:space="preserve">1.384***</w:t>
            </w:r>
          </w:p>
        </w:tc>
        <w:tc>
          <w:tcPr>
            <w:tcW w:type="dxa" w:w="1207"/>
          </w:tcPr>
          <w:p>
            <w:pPr>
              <w:pStyle w:val="Compact"/>
              <w:spacing w:before="20" w:after="20" w:line="240" w:lineRule="auto"/>
              <w:keepNext/>
            </w:pPr>
            <w:r>
              <w:rPr>
                <w:sz w:val="13"/>
                <w:szCs w:val="13"/>
              </w:rPr>
              <w:t xml:space="preserve">0.820***</w:t>
            </w:r>
          </w:p>
        </w:tc>
        <w:tc>
          <w:tcPr>
            <w:tcW w:type="dxa" w:w="1419"/>
          </w:tcPr>
          <w:p>
            <w:pPr>
              <w:pStyle w:val="Compact"/>
              <w:spacing w:before="20" w:after="20" w:line="240" w:lineRule="auto"/>
              <w:keepNext/>
            </w:pPr>
            <w:r>
              <w:rPr>
                <w:sz w:val="13"/>
                <w:szCs w:val="13"/>
              </w:rPr>
              <w:t xml:space="preserve">3.235***</w:t>
            </w:r>
          </w:p>
        </w:tc>
        <w:tc>
          <w:tcPr>
            <w:tcW w:type="dxa" w:w="1132"/>
          </w:tcPr>
          <w:p>
            <w:pPr>
              <w:pStyle w:val="Compact"/>
              <w:spacing w:before="20" w:after="20" w:line="240" w:lineRule="auto"/>
              <w:keepNext/>
            </w:pPr>
            <w:r>
              <w:rPr>
                <w:sz w:val="13"/>
                <w:szCs w:val="13"/>
              </w:rPr>
              <w:t xml:space="preserve">0.785***</w:t>
            </w:r>
          </w:p>
        </w:tc>
      </w:tr>
      <w:tr>
        <w:trPr>
          <w:cantSplit/>
        </w:trPr>
        <w:tc>
          <w:tcPr>
            <w:tcW w:type="dxa" w:w="2586"/>
          </w:tcPr>
          <w:p>
            <w:pPr>
              <w:pStyle w:val="Compact"/>
              <w:spacing w:before="20" w:after="20" w:line="240" w:lineRule="auto"/>
              <w:keepNext/>
            </w:pPr>
            <w:r>
              <w:rPr>
                <w:sz w:val="13"/>
                <w:szCs w:val="13"/>
              </w:rPr>
              <w:t xml:space="preserve">Core sample (</w:t>
            </w:r>
            <w:r>
              <w:rPr>
                <w:i/>
                <w:iCs/>
                <w:sz w:val="13"/>
                <w:szCs w:val="13"/>
              </w:rPr>
              <w:t xml:space="preserve">hybrid bonding</w:t>
            </w:r>
            <w:r>
              <w:rPr>
                <w:sz w:val="13"/>
                <w:szCs w:val="13"/>
              </w:rPr>
              <w:t xml:space="preserve"> </w:t>
            </w:r>
            <w:r>
              <w:rPr>
                <w:sz w:val="13"/>
                <w:szCs w:val="13"/>
              </w:rPr>
              <w:t xml:space="preserve">in title)</w:t>
            </w:r>
          </w:p>
        </w:tc>
        <w:tc>
          <w:tcPr>
            <w:tcW w:type="dxa" w:w="461"/>
          </w:tcPr>
          <w:p>
            <w:pPr>
              <w:pStyle w:val="Compact"/>
              <w:spacing w:before="20" w:after="20" w:line="240" w:lineRule="auto"/>
              <w:jc w:val="right"/>
              <w:keepNext/>
            </w:pPr>
            <w:r>
              <w:rPr>
                <w:sz w:val="13"/>
                <w:szCs w:val="13"/>
              </w:rPr>
              <w:t xml:space="preserve">467</w:t>
            </w:r>
          </w:p>
        </w:tc>
        <w:tc>
          <w:tcPr>
            <w:tcW w:type="dxa" w:w="2269"/>
          </w:tcPr>
          <w:p>
            <w:pPr>
              <w:pStyle w:val="Compact"/>
              <w:spacing w:before="20" w:after="20" w:line="240" w:lineRule="auto"/>
              <w:keepNext/>
            </w:pPr>
            <w:r>
              <w:rPr>
                <w:sz w:val="13"/>
                <w:szCs w:val="13"/>
              </w:rPr>
              <w:t xml:space="preserve">1.485***</w:t>
            </w:r>
          </w:p>
        </w:tc>
        <w:tc>
          <w:tcPr>
            <w:tcW w:type="dxa" w:w="1207"/>
          </w:tcPr>
          <w:p>
            <w:pPr>
              <w:pStyle w:val="Compact"/>
              <w:spacing w:before="20" w:after="20" w:line="240" w:lineRule="auto"/>
              <w:keepNext/>
            </w:pPr>
            <w:r>
              <w:rPr>
                <w:sz w:val="13"/>
                <w:szCs w:val="13"/>
              </w:rPr>
              <w:t xml:space="preserve">1.029</w:t>
            </w:r>
          </w:p>
        </w:tc>
        <w:tc>
          <w:tcPr>
            <w:tcW w:type="dxa" w:w="1419"/>
          </w:tcPr>
          <w:p>
            <w:pPr>
              <w:pStyle w:val="Compact"/>
              <w:spacing w:before="20" w:after="20" w:line="240" w:lineRule="auto"/>
              <w:keepNext/>
            </w:pPr>
            <w:r>
              <w:rPr>
                <w:sz w:val="13"/>
                <w:szCs w:val="13"/>
              </w:rPr>
              <w:t xml:space="preserve">7.211***</w:t>
            </w:r>
          </w:p>
        </w:tc>
        <w:tc>
          <w:tcPr>
            <w:tcW w:type="dxa" w:w="1132"/>
          </w:tcPr>
          <w:p>
            <w:pPr>
              <w:pStyle w:val="Compact"/>
              <w:spacing w:before="20" w:after="20" w:line="240" w:lineRule="auto"/>
              <w:keepNext/>
            </w:pPr>
            <w:r>
              <w:rPr>
                <w:sz w:val="13"/>
                <w:szCs w:val="13"/>
              </w:rPr>
              <w:t xml:space="preserve">0.786***</w:t>
            </w:r>
          </w:p>
        </w:tc>
      </w:tr>
      <w:tr>
        <w:trPr>
          <w:cantSplit/>
        </w:trPr>
        <w:tc>
          <w:tcPr>
            <w:tcW w:type="dxa" w:w="2586"/>
          </w:tcPr>
          <w:p>
            <w:pPr>
              <w:pStyle w:val="Compact"/>
              <w:spacing w:before="20" w:after="20" w:line="240" w:lineRule="auto"/>
              <w:keepNext/>
            </w:pPr>
            <w:r>
              <w:rPr>
                <w:sz w:val="13"/>
                <w:szCs w:val="13"/>
              </w:rPr>
              <w:t xml:space="preserve">2023–2024 excluded</w:t>
            </w:r>
          </w:p>
        </w:tc>
        <w:tc>
          <w:tcPr>
            <w:tcW w:type="dxa" w:w="461"/>
          </w:tcPr>
          <w:p>
            <w:pPr>
              <w:pStyle w:val="Compact"/>
              <w:spacing w:before="20" w:after="20" w:line="240" w:lineRule="auto"/>
              <w:jc w:val="right"/>
              <w:keepNext/>
            </w:pPr>
            <w:r>
              <w:rPr>
                <w:sz w:val="13"/>
                <w:szCs w:val="13"/>
              </w:rPr>
              <w:t xml:space="preserve">753</w:t>
            </w:r>
          </w:p>
        </w:tc>
        <w:tc>
          <w:tcPr>
            <w:tcW w:type="dxa" w:w="2269"/>
          </w:tcPr>
          <w:p>
            <w:pPr>
              <w:pStyle w:val="Compact"/>
              <w:spacing w:before="20" w:after="20" w:line="240" w:lineRule="auto"/>
              <w:keepNext/>
            </w:pPr>
            <w:r>
              <w:rPr>
                <w:sz w:val="13"/>
                <w:szCs w:val="13"/>
              </w:rPr>
              <w:t xml:space="preserve">1.418***</w:t>
            </w:r>
          </w:p>
        </w:tc>
        <w:tc>
          <w:tcPr>
            <w:tcW w:type="dxa" w:w="1207"/>
          </w:tcPr>
          <w:p>
            <w:pPr>
              <w:pStyle w:val="Compact"/>
              <w:spacing w:before="20" w:after="20" w:line="240" w:lineRule="auto"/>
              <w:keepNext/>
            </w:pPr>
            <w:r>
              <w:rPr>
                <w:sz w:val="13"/>
                <w:szCs w:val="13"/>
              </w:rPr>
              <w:t xml:space="preserve">0.909***</w:t>
            </w:r>
          </w:p>
        </w:tc>
        <w:tc>
          <w:tcPr>
            <w:tcW w:type="dxa" w:w="1419"/>
          </w:tcPr>
          <w:p>
            <w:pPr>
              <w:pStyle w:val="Compact"/>
              <w:spacing w:before="20" w:after="20" w:line="240" w:lineRule="auto"/>
              <w:keepNext/>
            </w:pPr>
            <w:r>
              <w:rPr>
                <w:sz w:val="13"/>
                <w:szCs w:val="13"/>
              </w:rPr>
              <w:t xml:space="preserve">1.651</w:t>
            </w:r>
          </w:p>
        </w:tc>
        <w:tc>
          <w:tcPr>
            <w:tcW w:type="dxa" w:w="1132"/>
          </w:tcPr>
          <w:p>
            <w:pPr>
              <w:pStyle w:val="Compact"/>
              <w:spacing w:before="20" w:after="20" w:line="240" w:lineRule="auto"/>
              <w:keepNext/>
            </w:pPr>
            <w:r>
              <w:rPr>
                <w:sz w:val="13"/>
                <w:szCs w:val="13"/>
              </w:rPr>
              <w:t xml:space="preserve">0.808***</w:t>
            </w:r>
          </w:p>
        </w:tc>
      </w:tr>
      <w:tr>
        <w:trPr>
          <w:cantSplit/>
        </w:trPr>
        <w:tc>
          <w:tcPr>
            <w:tcW w:type="dxa" w:w="2586"/>
          </w:tcPr>
          <w:p>
            <w:pPr>
              <w:pStyle w:val="Compact"/>
              <w:spacing w:before="20" w:after="20" w:line="240" w:lineRule="auto"/>
              <w:keepNext/>
            </w:pPr>
            <w:r>
              <w:rPr>
                <w:sz w:val="13"/>
                <w:szCs w:val="13"/>
              </w:rPr>
              <w:t xml:space="preserve">Verdict</w:t>
            </w:r>
          </w:p>
        </w:tc>
        <w:tc>
          <w:tcPr>
            <w:tcW w:type="dxa" w:w="461"/>
          </w:tcPr>
          <w:p>
            <w:pPr>
              <w:pStyle w:val="Compact"/>
              <w:spacing w:before="20" w:after="20" w:line="240" w:lineRule="auto"/>
              <w:keepNext/>
            </w:pPr>
          </w:p>
        </w:tc>
        <w:tc>
          <w:tcPr>
            <w:tcW w:type="dxa" w:w="2269"/>
          </w:tcPr>
          <w:p>
            <w:pPr>
              <w:pStyle w:val="Compact"/>
              <w:spacing w:before="20" w:after="20" w:line="240" w:lineRule="auto"/>
              <w:keepNext/>
            </w:pPr>
            <w:r>
              <w:rPr>
                <w:sz w:val="13"/>
                <w:szCs w:val="13"/>
              </w:rPr>
              <w:t xml:space="preserve">Supported (compositional)</w:t>
            </w:r>
          </w:p>
        </w:tc>
        <w:tc>
          <w:tcPr>
            <w:tcW w:type="dxa" w:w="1207"/>
          </w:tcPr>
          <w:p>
            <w:pPr>
              <w:pStyle w:val="Compact"/>
              <w:spacing w:before="20" w:after="20" w:line="240" w:lineRule="auto"/>
              <w:keepNext/>
            </w:pPr>
            <w:r>
              <w:rPr>
                <w:sz w:val="13"/>
                <w:szCs w:val="13"/>
              </w:rPr>
              <w:t xml:space="preserve">Supported</w:t>
            </w:r>
          </w:p>
        </w:tc>
        <w:tc>
          <w:tcPr>
            <w:tcW w:type="dxa" w:w="1419"/>
          </w:tcPr>
          <w:p>
            <w:pPr>
              <w:pStyle w:val="Compact"/>
              <w:spacing w:before="20" w:after="20" w:line="240" w:lineRule="auto"/>
              <w:keepNext/>
            </w:pPr>
            <w:r>
              <w:rPr>
                <w:sz w:val="13"/>
                <w:szCs w:val="13"/>
              </w:rPr>
              <w:t xml:space="preserve">Limited support</w:t>
            </w:r>
          </w:p>
        </w:tc>
        <w:tc>
          <w:tcPr>
            <w:tcW w:type="dxa" w:w="1132"/>
          </w:tcPr>
          <w:p>
            <w:pPr>
              <w:pStyle w:val="Compact"/>
              <w:spacing w:before="20" w:after="20" w:line="240" w:lineRule="auto"/>
              <w:keepNext/>
            </w:pPr>
            <w:r>
              <w:rPr>
                <w:sz w:val="13"/>
                <w:szCs w:val="13"/>
              </w:rPr>
              <w:t xml:space="preserve">Supported</w:t>
            </w:r>
          </w:p>
        </w:tc>
      </w:tr>
    </w:tbl>
    <w:bookmarkEnd w:id="27"/>
    <w:bookmarkEnd w:id="28"/>
    <w:bookmarkStart w:id="31" w:name="결론"/>
    <w:p>
      <w:pPr>
        <w:pStyle w:val="Heading2"/>
      </w:pPr>
      <w:r>
        <w:t xml:space="preserve">5. 결론</w:t>
      </w:r>
    </w:p>
    <w:bookmarkStart w:id="29" w:name="연구결과-요약-및-시사점"/>
    <w:p>
      <w:pPr>
        <w:pStyle w:val="Heading3"/>
      </w:pPr>
      <w:r>
        <w:t xml:space="preserve">5.1 연구결과 요약 및 시사점</w:t>
      </w:r>
    </w:p>
    <w:p>
      <w:pPr>
        <w:pStyle w:val="FirstParagraph"/>
      </w:pPr>
      <w:r>
        <w:t xml:space="preserve">본 연구는 하이브리드 본딩 관련 출원 928건을 CPC 기호에 따라 조립 단독형, 공정 단독형, 통합형으로 나누고 어떤 특성의 출원이 두 영역의 분류를 함께 가지는지를 추정하였다. 분석 결과 가설 1(기술적 다양성과 통합형)은 구성적 연관으로서, 가설 2(최근 출원일수록 공정 단독형 감소)와 가설 3a(중국 출원청의 좁은 기술범위)는 모든 재추정에서 지지되었고, 가설 3b(중국 출원청의 공정 단독형 편중)는 최근 2년 출원을 제외하면 유의하지 않아 제한적으로 지지되었다. 가장 견고한 결과는 제조공정과 접합 기술의 공동분류가 45.8%, 보수적 정의로도 37.2%로 예외적인 현상이 아니라는 점, 공정 단독형의 상대위험이 표본과 정의를 어떻게 바꾸어도 최근 출원일수록 낮았다는 점, 중국 출원청 출원이 미국 출원청 출원보다 두 클래스 안의 CPC 범위가 좁았다는 점이다. 통합형과 높은 기술적 다양성의 연관은 통합형의 구성적 특징으로, 통합형 비중이 늘었다가 줄어든 시기별 움직임은 탐색적 해석으로 제시하며, 중국 출원청의 공정 단독형 편중은 최근 출원 구성에 민감한 제한적 결과다.</w:t>
      </w:r>
    </w:p>
    <w:p>
      <w:pPr>
        <w:pStyle w:val="BodyText"/>
      </w:pPr>
      <w:r>
        <w:t xml:space="preserve">이론적으로 이 결과는 산업 사이의 일로 다루어져 온 기술융합[11,32]이 한 산업을 가로지르는 경계에도 적용되며 개별 출원에서 관찰됨을 보여준다. 산업 아키텍처의 변화를 직접 검정하지는 않지만, 단계 사이의 인터페이스가 흔들릴 때 발명이 그 양쪽을 함께 담기 시작하는 것은 그 틀이 다시 짜이는 데 선행할 수 있는 기술적 상호의존의 확대다[1,28]. 융합은 축적이 아니라 재구성으로 진행되었다. 2014년 이전에서 2015–2019년으로 가면서 공정 단독형은 줄고 통합형은 늘었으며, 2020–2024년에는 통합형이 낮아지고 조립 단독형이 늘었다. 초기의 공정 발명이 성숙기에는 접합 구조와 함께 분류되고 이후 발명의 중심이 접합 구조와 적층 자체로 이동한 것으로 읽을 수 있으나[13], 심사 관행의 변화와 최근 출원의 분류 미완결 가능성을 배제할 수 없다. 중국 출원청에 진입한 발명 포트폴리오는 범위가 좁고 특정 제조공정에 집중된 출원이 많아 단계별 추격의 출원 양상[36]과 정합적이지만, 출원인과 패밀리 정보를 통제하지 못하므로 추격 전략의 직접 증거로 볼 수는 없다.</w:t>
      </w:r>
    </w:p>
    <w:p>
      <w:pPr>
        <w:pStyle w:val="BodyText"/>
      </w:pPr>
      <w:r>
        <w:t xml:space="preserve">실무적으로, 상당수 출원이 제조공정과 접합 기술을 함께 포함한다는 결과는 하이브리드 본딩에서 접합 장비의 운용만으로는 충분하지 않고 표면 평탄화, 오염 제어, 표면 화학, 정렬을 아우르는 인접 공정 지식이 중요해질 수 있음을 시사하며, 이는 Kapoor와 Adner[42]의 지식 경계 논리와 정합적이다. 차세대 HBM을 하이브리드 본딩에 기대고 있는 한국 메모리 산업에 시사하는 바는, 패키징 경쟁력이 패키징 노하우 하나에 달려 있지 않고 제조공정 역량과 이를 하나의 특허출원에서 통합적으로 보호하는 능력이 함께 필요할 수 있다는 점이다. 정책 면에서 중국 출원청 표본의 좁은 CPC 범위는 견고하지만 그 원인이 보조금 정책[34]인지 출원인 구성이나 출원 선택인지는 본 자료로 가릴 수 없다. 본 연구의 기여는 공동분류를 개별 출원의 유형으로 재구성하여 특허 수준의 이질성과 관련 요인을 추정할 수 있게 하고 이를 산업 내 공정 단계 간 융합이라는 새로운 사례에 적용한 데 있으며, 이 설계는 하류 단계가 상류 역량에 의존하기 시작한 다른 공정기술에도 적용할 수 있다.</w:t>
      </w:r>
    </w:p>
    <w:bookmarkEnd w:id="29"/>
    <w:bookmarkStart w:id="30" w:name="한계점과-향후-연구-방향"/>
    <w:p>
      <w:pPr>
        <w:pStyle w:val="Heading3"/>
      </w:pPr>
      <w:r>
        <w:t xml:space="preserve">5.2 한계점과 향후 연구 방향</w:t>
      </w:r>
    </w:p>
    <w:p>
      <w:pPr>
        <w:pStyle w:val="FirstParagraph"/>
      </w:pPr>
      <w:r>
        <w:t xml:space="preserve">본 연구의 한계는 다음과 같다. H01L21–H01L24 공동분류는 공정 단계 간 기술융합의 대리측정치이며 H01L21에는 조립 단계의 제조공정도 들어 있고 기술범위는 유형과 같은 CPC 정보에서 만들어진다. 제목 키워드 검색은 제목에 관련어가 없는 출원을 놓친다. 공식 패밀리 식별자가 없어 동일 제목으로 근사 조정했으므로 관측치의 독립성은 완전히 보장되지 않는다. 출원인과 기업 유형, 국적, 응용처, 두 클래스 밖의 CPC 기호가 자료에 없으며, 이를 결합하는 것이 다음 단계다. 2023–2024년 출원은 불완전하게 관측되고 CPC는 소급 재분류될 수 있어 시간 패턴의 일부는 분류 관행의 변화를 반영할 수 있다. 다양성과 유형은 함께 결정될 가능성이 높아 인과관계는 주장하지 않으며, 산업 아키텍처와 기업 전략은 직접 검정하지 않는다. 향후 연구는 여러 공정기술을 같은 설계로 비교하고, 텍스트 기반 방법[25,26]이나 일반성 지수[40]로 하이브리드 본딩의 범용기술적 성격을 검정할 수 있을 것이다.</w:t>
      </w:r>
    </w:p>
    <w:bookmarkEnd w:id="30"/>
    <w:bookmarkEnd w:id="31"/>
    <w:bookmarkStart w:id="32" w:name="references"/>
    <w:p>
      <w:pPr>
        <w:pStyle w:val="Heading2"/>
      </w:pPr>
      <w:r>
        <w:t xml:space="preserve">References</w:t>
      </w:r>
    </w:p>
    <w:p>
      <w:pPr>
        <w:pStyle w:val="FirstParagraph"/>
      </w:pPr>
      <w:r>
        <w:t xml:space="preserve">[1] R. Kapoor,</w:t>
      </w:r>
      <w:r>
        <w:t xml:space="preserve"> </w:t>
      </w:r>
      <w:r>
        <w:t xml:space="preserve">“Persistence of integration in the face of specialization: How firms navigated the winds of disintegration and shaped the architecture of the semiconductor industry”</w:t>
      </w:r>
      <w:r>
        <w:t xml:space="preserve">, Organization Science, Vol.24, No.4, pp.1195-1213, 2013.</w:t>
      </w:r>
      <w:r>
        <w:t xml:space="preserve"> </w:t>
      </w:r>
      <w:r>
        <w:t xml:space="preserve">DOI: https://doi.org/10.1287/orsc.1120.0802</w:t>
      </w:r>
    </w:p>
    <w:p>
      <w:pPr>
        <w:pStyle w:val="BodyText"/>
      </w:pPr>
      <w:r>
        <w:t xml:space="preserve">[2] J. T. Macher and D. C. Mowery,</w:t>
      </w:r>
      <w:r>
        <w:t xml:space="preserve"> </w:t>
      </w:r>
      <w:r>
        <w:t xml:space="preserve">“Vertical specialization and industry structure in high technology industries”</w:t>
      </w:r>
      <w:r>
        <w:t xml:space="preserve">, in J. A. C. Baum and A. M. McGahan (Eds.), Business Strategy over the Industry Lifecycle (Advances in Strategic Management, Vol.21), Emerald, Bingley, pp.317-355, 2004.</w:t>
      </w:r>
      <w:r>
        <w:t xml:space="preserve"> </w:t>
      </w:r>
      <w:r>
        <w:t xml:space="preserve">DOI: https://doi.org/10.1016/S0742-3322(04)21011-7</w:t>
      </w:r>
    </w:p>
    <w:p>
      <w:pPr>
        <w:pStyle w:val="BodyText"/>
      </w:pPr>
      <w:r>
        <w:t xml:space="preserve">[3] C. Brown and G. Linden, Chips and Change: How Crisis Reshapes the Semiconductor Industry, MIT Press, Cambridge, MA, 2009.</w:t>
      </w:r>
    </w:p>
    <w:p>
      <w:pPr>
        <w:pStyle w:val="BodyText"/>
      </w:pPr>
      <w:r>
        <w:t xml:space="preserve">[4] W. Arden and M. Brillouët and P. Cogez and M. Graef and B. Huizing and R. Mahnkopf,</w:t>
      </w:r>
      <w:r>
        <w:t xml:space="preserve"> </w:t>
      </w:r>
      <w:r>
        <w:t xml:space="preserve">“More-than-Moore”</w:t>
      </w:r>
      <w:r>
        <w:t xml:space="preserve"> </w:t>
      </w:r>
      <w:r>
        <w:t xml:space="preserve">White Paper, White paper, International Technology Roadmap for Semiconductors (ITRS), 2010.</w:t>
      </w:r>
    </w:p>
    <w:p>
      <w:pPr>
        <w:pStyle w:val="BodyText"/>
      </w:pPr>
      <w:r>
        <w:t xml:space="preserve">[5] H. N. Khan and D. A. Hounshell and E. R. H. Fuchs,</w:t>
      </w:r>
      <w:r>
        <w:t xml:space="preserve"> </w:t>
      </w:r>
      <w:r>
        <w:t xml:space="preserve">“Science and research policy at the end of Moore’s law”</w:t>
      </w:r>
      <w:r>
        <w:t xml:space="preserve">, Nature Electronics, Vol.1, No.1, pp.14-21, 2018.</w:t>
      </w:r>
      <w:r>
        <w:t xml:space="preserve"> </w:t>
      </w:r>
      <w:r>
        <w:t xml:space="preserve">DOI: https://doi.org/10.1038/s41928-017-0005-9</w:t>
      </w:r>
    </w:p>
    <w:p>
      <w:pPr>
        <w:pStyle w:val="BodyText"/>
      </w:pPr>
      <w:r>
        <w:t xml:space="preserve">[6] J. H. Lau,</w:t>
      </w:r>
      <w:r>
        <w:t xml:space="preserve"> </w:t>
      </w:r>
      <w:r>
        <w:t xml:space="preserve">“State-of-the-art and outlooks of chiplets heterogeneous integration and hybrid bonding”</w:t>
      </w:r>
      <w:r>
        <w:t xml:space="preserve">, Journal of Microelectronics and Electronic Packaging, Vol.18, No.4, pp.145-160, 2021.</w:t>
      </w:r>
      <w:r>
        <w:t xml:space="preserve"> </w:t>
      </w:r>
      <w:r>
        <w:t xml:space="preserve">DOI: https://doi.org/10.4071/imaps.1542066</w:t>
      </w:r>
    </w:p>
    <w:p>
      <w:pPr>
        <w:pStyle w:val="BodyText"/>
      </w:pPr>
      <w:r>
        <w:t xml:space="preserve">[7] J. H. Lau,</w:t>
      </w:r>
      <w:r>
        <w:t xml:space="preserve"> </w:t>
      </w:r>
      <w:r>
        <w:t xml:space="preserve">“Recent advances and trends in advanced packaging”</w:t>
      </w:r>
      <w:r>
        <w:t xml:space="preserve">, IEEE Transactions on Components, Packaging and Manufacturing Technology, Vol.12, No.2, pp.228-252, 2022.</w:t>
      </w:r>
      <w:r>
        <w:t xml:space="preserve"> </w:t>
      </w:r>
      <w:r>
        <w:t xml:space="preserve">DOI: https://doi.org/10.1109/TCPMT.2022.3144461</w:t>
      </w:r>
    </w:p>
    <w:p>
      <w:pPr>
        <w:pStyle w:val="BodyText"/>
      </w:pPr>
      <w:r>
        <w:t xml:space="preserve">[8] KnowMade, Hybrid Bonding Patent Landscape Analysis 2024, Industry report, KnowMade (Yole Group), Sophia Antipolis, 2024, https://www.knowmade.com/patent-analytics-services/patent-report/semiconductor-patent-landscape/semiconductor-advanced-packaging-patent-landscape/hybrid-bonding-patent-landscape-analysis-2024/</w:t>
      </w:r>
    </w:p>
    <w:p>
      <w:pPr>
        <w:pStyle w:val="BodyText"/>
      </w:pPr>
      <w:r>
        <w:t xml:space="preserve">[9] N. Rosenberg,</w:t>
      </w:r>
      <w:r>
        <w:t xml:space="preserve"> </w:t>
      </w:r>
      <w:r>
        <w:t xml:space="preserve">“Technological change in the machine tool industry, 1840–1910”</w:t>
      </w:r>
      <w:r>
        <w:t xml:space="preserve">, Journal of Economic History, Vol.23, No.4, pp.414-443, 1963.</w:t>
      </w:r>
      <w:r>
        <w:t xml:space="preserve"> </w:t>
      </w:r>
      <w:r>
        <w:t xml:space="preserve">DOI: https://doi.org/10.1017/S0022050700109155</w:t>
      </w:r>
    </w:p>
    <w:p>
      <w:pPr>
        <w:pStyle w:val="BodyText"/>
      </w:pPr>
      <w:r>
        <w:t xml:space="preserve">[10] F. Kodama,</w:t>
      </w:r>
      <w:r>
        <w:t xml:space="preserve"> </w:t>
      </w:r>
      <w:r>
        <w:t xml:space="preserve">“Technology fusion and the new R&amp;D”</w:t>
      </w:r>
      <w:r>
        <w:t xml:space="preserve">, Harvard Business Review, Vol.70, No.4, pp.70-78, 1992.</w:t>
      </w:r>
    </w:p>
    <w:p>
      <w:pPr>
        <w:pStyle w:val="BodyText"/>
      </w:pPr>
      <w:r>
        <w:t xml:space="preserve">[11] C. S. Curran and J. Leker,</w:t>
      </w:r>
      <w:r>
        <w:t xml:space="preserve"> </w:t>
      </w:r>
      <w:r>
        <w:t xml:space="preserve">“Patent indicators for monitoring convergence – Examples from NFF and ICT”</w:t>
      </w:r>
      <w:r>
        <w:t xml:space="preserve">, Technological Forecasting and Social Change, Vol.78, No.2, pp.256-273, 2011.</w:t>
      </w:r>
      <w:r>
        <w:t xml:space="preserve"> </w:t>
      </w:r>
      <w:r>
        <w:t xml:space="preserve">DOI: https://doi.org/10.1016/j.techfore.2010.06.021</w:t>
      </w:r>
    </w:p>
    <w:p>
      <w:pPr>
        <w:pStyle w:val="BodyText"/>
      </w:pPr>
      <w:r>
        <w:t xml:space="preserve">[12] N. Sick and S. Bröring,</w:t>
      </w:r>
      <w:r>
        <w:t xml:space="preserve"> </w:t>
      </w:r>
      <w:r>
        <w:t xml:space="preserve">“Exploring the research landscape of convergence from a TIM perspective: A review and research agenda”</w:t>
      </w:r>
      <w:r>
        <w:t xml:space="preserve">, Technological Forecasting and Social Change, Vol.175, Article 121321, 2022.</w:t>
      </w:r>
      <w:r>
        <w:t xml:space="preserve"> </w:t>
      </w:r>
      <w:r>
        <w:t xml:space="preserve">DOI: https://doi.org/10.1016/j.techfore.2021.121321</w:t>
      </w:r>
    </w:p>
    <w:p>
      <w:pPr>
        <w:pStyle w:val="BodyText"/>
      </w:pPr>
      <w:r>
        <w:t xml:space="preserve">[13] F. Hacklin and C. Marxt and F. Fahrni,</w:t>
      </w:r>
      <w:r>
        <w:t xml:space="preserve"> </w:t>
      </w:r>
      <w:r>
        <w:t xml:space="preserve">“Coevolutionary cycles of convergence: An extrapolation from the ICT industry”</w:t>
      </w:r>
      <w:r>
        <w:t xml:space="preserve">, Technological Forecasting and Social Change, Vol.76, No.6, pp.723-736, 2009.</w:t>
      </w:r>
      <w:r>
        <w:t xml:space="preserve"> </w:t>
      </w:r>
      <w:r>
        <w:t xml:space="preserve">DOI: https://doi.org/10.1016/j.techfore.2009.03.003</w:t>
      </w:r>
    </w:p>
    <w:p>
      <w:pPr>
        <w:pStyle w:val="BodyText"/>
      </w:pPr>
      <w:r>
        <w:t xml:space="preserve">[14] S. Bröring and L. M. Cloutier and J. Leker,</w:t>
      </w:r>
      <w:r>
        <w:t xml:space="preserve"> </w:t>
      </w:r>
      <w:r>
        <w:t xml:space="preserve">“The front end of innovation in an era of industry convergence: Evidence from nutraceuticals and functional foods”</w:t>
      </w:r>
      <w:r>
        <w:t xml:space="preserve">, R&amp;D Management, Vol.36, No.5, pp.487-498, 2006.</w:t>
      </w:r>
      <w:r>
        <w:t xml:space="preserve"> </w:t>
      </w:r>
      <w:r>
        <w:t xml:space="preserve">DOI: https://doi.org/10.1111/j.1467-9310.2006.00449.x</w:t>
      </w:r>
    </w:p>
    <w:p>
      <w:pPr>
        <w:pStyle w:val="BodyText"/>
      </w:pPr>
      <w:r>
        <w:t xml:space="preserve">[15] H. J. No and Y. Park,</w:t>
      </w:r>
      <w:r>
        <w:t xml:space="preserve"> </w:t>
      </w:r>
      <w:r>
        <w:t xml:space="preserve">“Trajectory patterns of technology fusion: Trend analysis and taxonomical grouping in nanobiotechnology”</w:t>
      </w:r>
      <w:r>
        <w:t xml:space="preserve">, Technological Forecasting and Social Change, Vol.77, No.1, pp.63-75, 2010.</w:t>
      </w:r>
      <w:r>
        <w:t xml:space="preserve"> </w:t>
      </w:r>
      <w:r>
        <w:t xml:space="preserve">DOI: https://doi.org/10.1016/j.techfore.2009.06.006</w:t>
      </w:r>
    </w:p>
    <w:p>
      <w:pPr>
        <w:pStyle w:val="BodyText"/>
      </w:pPr>
      <w:r>
        <w:t xml:space="preserve">[16] O. Kwon and Y. An and M. Kim and C. Lee,</w:t>
      </w:r>
      <w:r>
        <w:t xml:space="preserve"> </w:t>
      </w:r>
      <w:r>
        <w:t xml:space="preserve">“Anticipating technology-driven industry convergence: Evidence from large-scale patent analysis”</w:t>
      </w:r>
      <w:r>
        <w:t xml:space="preserve">, Technology Analysis &amp; Strategic Management, Vol.32, No.4, pp.363-378, 2020.</w:t>
      </w:r>
      <w:r>
        <w:t xml:space="preserve"> </w:t>
      </w:r>
      <w:r>
        <w:t xml:space="preserve">DOI: https://doi.org/10.1080/09537325.2019.1661374</w:t>
      </w:r>
    </w:p>
    <w:p>
      <w:pPr>
        <w:pStyle w:val="BodyText"/>
      </w:pPr>
      <w:r>
        <w:t xml:space="preserve">[17] Y. Geum and M. S. Kim and S. Lee,</w:t>
      </w:r>
      <w:r>
        <w:t xml:space="preserve"> </w:t>
      </w:r>
      <w:r>
        <w:t xml:space="preserve">“How industrial convergence happens: A taxonomical approach based on empirical evidences”</w:t>
      </w:r>
      <w:r>
        <w:t xml:space="preserve">, Technological Forecasting and Social Change, Vol.107, pp.112-120, 2016.</w:t>
      </w:r>
      <w:r>
        <w:t xml:space="preserve"> </w:t>
      </w:r>
      <w:r>
        <w:t xml:space="preserve">DOI: https://doi.org/10.1016/j.techfore.2016.03.020</w:t>
      </w:r>
    </w:p>
    <w:p>
      <w:pPr>
        <w:pStyle w:val="BodyText"/>
      </w:pPr>
      <w:r>
        <w:t xml:space="preserve">[18] F. Caviggioli,</w:t>
      </w:r>
      <w:r>
        <w:t xml:space="preserve"> </w:t>
      </w:r>
      <w:r>
        <w:t xml:space="preserve">“Technology fusion: Identification and analysis of the drivers of technology convergence using patent data”</w:t>
      </w:r>
      <w:r>
        <w:t xml:space="preserve">, Technovation, Vol.55–56, pp.22-32, 2016.</w:t>
      </w:r>
      <w:r>
        <w:t xml:space="preserve"> </w:t>
      </w:r>
      <w:r>
        <w:t xml:space="preserve">DOI: https://doi.org/10.1016/j.technovation.2016.04.003</w:t>
      </w:r>
    </w:p>
    <w:p>
      <w:pPr>
        <w:pStyle w:val="BodyText"/>
      </w:pPr>
      <w:r>
        <w:t xml:space="preserve">[19] I. Hwang,</w:t>
      </w:r>
      <w:r>
        <w:t xml:space="preserve"> </w:t>
      </w:r>
      <w:r>
        <w:t xml:space="preserve">“The effect of collaborative innovation on ICT-based technological convergence: A patent-based analysis”</w:t>
      </w:r>
      <w:r>
        <w:t xml:space="preserve">, PLOS ONE, Vol.15, No.2, Article e0228616, 2020.</w:t>
      </w:r>
      <w:r>
        <w:t xml:space="preserve"> </w:t>
      </w:r>
      <w:r>
        <w:t xml:space="preserve">DOI: https://doi.org/10.1371/journal.pone.0228616</w:t>
      </w:r>
    </w:p>
    <w:p>
      <w:pPr>
        <w:pStyle w:val="BodyText"/>
      </w:pPr>
      <w:r>
        <w:t xml:space="preserve">[20] C. S. Curran and S. Bröring and J. Leker,</w:t>
      </w:r>
      <w:r>
        <w:t xml:space="preserve"> </w:t>
      </w:r>
      <w:r>
        <w:t xml:space="preserve">“Anticipating converging industries using publicly available data”</w:t>
      </w:r>
      <w:r>
        <w:t xml:space="preserve">, Technological Forecasting and Social Change, Vol.77, No.3, pp.385-395, 2010.</w:t>
      </w:r>
      <w:r>
        <w:t xml:space="preserve"> </w:t>
      </w:r>
      <w:r>
        <w:t xml:space="preserve">DOI: https://doi.org/10.1016/j.techfore.2009.10.002</w:t>
      </w:r>
    </w:p>
    <w:p>
      <w:pPr>
        <w:pStyle w:val="BodyText"/>
      </w:pPr>
      <w:r>
        <w:t xml:space="preserve">[21] Y. Cho and M. Kim,</w:t>
      </w:r>
      <w:r>
        <w:t xml:space="preserve"> </w:t>
      </w:r>
      <w:r>
        <w:t xml:space="preserve">“Entropy and gravity concepts as new methodological indexes to investigate technological convergence: Patent network-based approach”</w:t>
      </w:r>
      <w:r>
        <w:t xml:space="preserve">, PLOS ONE, Vol.9, No.6, Article e98009, 2014.</w:t>
      </w:r>
      <w:r>
        <w:t xml:space="preserve"> </w:t>
      </w:r>
      <w:r>
        <w:t xml:space="preserve">DOI: https://doi.org/10.1371/journal.pone.0098009</w:t>
      </w:r>
    </w:p>
    <w:p>
      <w:pPr>
        <w:pStyle w:val="BodyText"/>
      </w:pPr>
      <w:r>
        <w:t xml:space="preserve">[22] W. S. Lee and E. J. Han and S. Y. Sohn,</w:t>
      </w:r>
      <w:r>
        <w:t xml:space="preserve"> </w:t>
      </w:r>
      <w:r>
        <w:t xml:space="preserve">“Predicting the pattern of technology convergence using big-data technology on large-scale triadic patents”</w:t>
      </w:r>
      <w:r>
        <w:t xml:space="preserve">, Technological Forecasting and Social Change, Vol.100, pp.317-329, 2015.</w:t>
      </w:r>
      <w:r>
        <w:t xml:space="preserve"> </w:t>
      </w:r>
      <w:r>
        <w:t xml:space="preserve">DOI: https://doi.org/10.1016/j.techfore.2015.07.022</w:t>
      </w:r>
    </w:p>
    <w:p>
      <w:pPr>
        <w:pStyle w:val="BodyText"/>
      </w:pPr>
      <w:r>
        <w:t xml:space="preserve">[23] S. Jeong and J. C. Kim and J. Y. Choi,</w:t>
      </w:r>
      <w:r>
        <w:t xml:space="preserve"> </w:t>
      </w:r>
      <w:r>
        <w:t xml:space="preserve">“Technology convergence: What developmental stage are we in?”</w:t>
      </w:r>
      <w:r>
        <w:t xml:space="preserve">, Scientometrics, Vol.104, No.3, pp.841-871, 2015.</w:t>
      </w:r>
      <w:r>
        <w:t xml:space="preserve"> </w:t>
      </w:r>
      <w:r>
        <w:t xml:space="preserve">DOI: https://doi.org/10.1007/s11192-015-1606-6</w:t>
      </w:r>
    </w:p>
    <w:p>
      <w:pPr>
        <w:pStyle w:val="BodyText"/>
      </w:pPr>
      <w:r>
        <w:t xml:space="preserve">[24] C. H. Song and D. Elvers and J. Leker,</w:t>
      </w:r>
      <w:r>
        <w:t xml:space="preserve"> </w:t>
      </w:r>
      <w:r>
        <w:t xml:space="preserve">“Anticipation of converging technology areas — A refined approach for the identification of attractive fields of innovation”</w:t>
      </w:r>
      <w:r>
        <w:t xml:space="preserve">, Technological Forecasting and Social Change, Vol.116, pp.98-115, 2017.</w:t>
      </w:r>
      <w:r>
        <w:t xml:space="preserve"> </w:t>
      </w:r>
      <w:r>
        <w:t xml:space="preserve">DOI: https://doi.org/10.1016/j.techfore.2016.11.001</w:t>
      </w:r>
    </w:p>
    <w:p>
      <w:pPr>
        <w:pStyle w:val="BodyText"/>
      </w:pPr>
      <w:r>
        <w:t xml:space="preserve">[25] N. Preschitschek and H. Niemann and J. Leker and M. G. Moehrle,</w:t>
      </w:r>
      <w:r>
        <w:t xml:space="preserve"> </w:t>
      </w:r>
      <w:r>
        <w:t xml:space="preserve">“Anticipating industry convergence: Semantic analyses vs IPC co-classification analyses of patents”</w:t>
      </w:r>
      <w:r>
        <w:t xml:space="preserve">, Foresight, Vol.15, No.6, pp.446-464, 2013.</w:t>
      </w:r>
      <w:r>
        <w:t xml:space="preserve"> </w:t>
      </w:r>
      <w:r>
        <w:t xml:space="preserve">DOI: https://doi.org/10.1108/FS-10-2012-0075</w:t>
      </w:r>
    </w:p>
    <w:p>
      <w:pPr>
        <w:pStyle w:val="BodyText"/>
      </w:pPr>
      <w:r>
        <w:t xml:space="preserve">[26] C. Zhu and K. Motohashi,</w:t>
      </w:r>
      <w:r>
        <w:t xml:space="preserve"> </w:t>
      </w:r>
      <w:r>
        <w:t xml:space="preserve">“Identifying the technology convergence using patent text information: A graph convolutional networks (GCN)-based approach”</w:t>
      </w:r>
      <w:r>
        <w:t xml:space="preserve">, Technological Forecasting and Social Change, Vol.176, Article 121477, 2022.</w:t>
      </w:r>
      <w:r>
        <w:t xml:space="preserve"> </w:t>
      </w:r>
      <w:r>
        <w:t xml:space="preserve">DOI: https://doi.org/10.1016/j.techfore.2022.121477</w:t>
      </w:r>
    </w:p>
    <w:p>
      <w:pPr>
        <w:pStyle w:val="BodyText"/>
      </w:pPr>
      <w:r>
        <w:t xml:space="preserve">[27] R. N. Langlois and W. E. Steinmueller,</w:t>
      </w:r>
      <w:r>
        <w:t xml:space="preserve"> </w:t>
      </w:r>
      <w:r>
        <w:t xml:space="preserve">“The evolution of competitive advantage in the worldwide semiconductor industry, 1947–1996”</w:t>
      </w:r>
      <w:r>
        <w:t xml:space="preserve">, in D. C. Mowery and R. R. Nelson (Eds.), Sources of Industrial Leadership: Studies of Seven Industries, Cambridge University Press, Cambridge, pp.19-78, 1999.</w:t>
      </w:r>
    </w:p>
    <w:p>
      <w:pPr>
        <w:pStyle w:val="BodyText"/>
      </w:pPr>
      <w:r>
        <w:t xml:space="preserve">[28] M. G. Jacobides and T. Knudsen and M. Augier,</w:t>
      </w:r>
      <w:r>
        <w:t xml:space="preserve"> </w:t>
      </w:r>
      <w:r>
        <w:t xml:space="preserve">“Benefiting from innovation: Value creation, value appropriation and the role of industry architectures”</w:t>
      </w:r>
      <w:r>
        <w:t xml:space="preserve">, Research Policy, Vol.35, No.8, pp.1200-1221, 2006.</w:t>
      </w:r>
      <w:r>
        <w:t xml:space="preserve"> </w:t>
      </w:r>
      <w:r>
        <w:t xml:space="preserve">DOI: https://doi.org/10.1016/j.respol.2006.09.005</w:t>
      </w:r>
    </w:p>
    <w:p>
      <w:pPr>
        <w:pStyle w:val="BodyText"/>
      </w:pPr>
      <w:r>
        <w:t xml:space="preserve">[29] J. Lerner,</w:t>
      </w:r>
      <w:r>
        <w:t xml:space="preserve"> </w:t>
      </w:r>
      <w:r>
        <w:t xml:space="preserve">“The importance of patent scope: An empirical analysis”</w:t>
      </w:r>
      <w:r>
        <w:t xml:space="preserve">, RAND Journal of Economics, Vol.25, No.2, pp.319-333, 1994.</w:t>
      </w:r>
      <w:r>
        <w:t xml:space="preserve"> </w:t>
      </w:r>
      <w:r>
        <w:t xml:space="preserve">DOI: https://doi.org/10.2307/2555833</w:t>
      </w:r>
    </w:p>
    <w:p>
      <w:pPr>
        <w:pStyle w:val="BodyText"/>
      </w:pPr>
      <w:r>
        <w:t xml:space="preserve">[30] B. H. Hall and R. H. Ziedonis,</w:t>
      </w:r>
      <w:r>
        <w:t xml:space="preserve"> </w:t>
      </w:r>
      <w:r>
        <w:t xml:space="preserve">“The patent paradox revisited: An empirical study of patenting in the U.S. semiconductor industry, 1979–1995”</w:t>
      </w:r>
      <w:r>
        <w:t xml:space="preserve">, RAND Journal of Economics, Vol.32, No.1, pp.101-128, 2001.</w:t>
      </w:r>
      <w:r>
        <w:t xml:space="preserve"> </w:t>
      </w:r>
      <w:r>
        <w:t xml:space="preserve">DOI: https://doi.org/10.2307/2696400</w:t>
      </w:r>
    </w:p>
    <w:p>
      <w:pPr>
        <w:pStyle w:val="BodyText"/>
      </w:pPr>
      <w:r>
        <w:t xml:space="preserve">[31] R. H. Ziedonis,</w:t>
      </w:r>
      <w:r>
        <w:t xml:space="preserve"> </w:t>
      </w:r>
      <w:r>
        <w:t xml:space="preserve">“Don’t fence me in: Fragmented markets for technology and the patent acquisition strategies of firms”</w:t>
      </w:r>
      <w:r>
        <w:t xml:space="preserve">, Management Science, Vol.50, No.6, pp.804-820, 2004.</w:t>
      </w:r>
      <w:r>
        <w:t xml:space="preserve"> </w:t>
      </w:r>
      <w:r>
        <w:t xml:space="preserve">DOI: https://doi.org/10.1287/mnsc.1040.0208</w:t>
      </w:r>
    </w:p>
    <w:p>
      <w:pPr>
        <w:pStyle w:val="BodyText"/>
      </w:pPr>
      <w:r>
        <w:t xml:space="preserve">[32] F. Hacklin and C. Marxt and F. Fahrni,</w:t>
      </w:r>
      <w:r>
        <w:t xml:space="preserve"> </w:t>
      </w:r>
      <w:r>
        <w:t xml:space="preserve">“An evolutionary perspective on convergence: Inducing a stage model of inter-industry innovation”</w:t>
      </w:r>
      <w:r>
        <w:t xml:space="preserve">, International Journal of Technology Management, Vol.49, No.1–3, pp.220-249, 2010.</w:t>
      </w:r>
      <w:r>
        <w:t xml:space="preserve"> </w:t>
      </w:r>
      <w:r>
        <w:t xml:space="preserve">DOI: https://doi.org/10.1504/IJTM.2010.029419</w:t>
      </w:r>
    </w:p>
    <w:p>
      <w:pPr>
        <w:pStyle w:val="BodyText"/>
      </w:pPr>
      <w:r>
        <w:t xml:space="preserve">[33] A. G. Hu and G. H. Jefferson,</w:t>
      </w:r>
      <w:r>
        <w:t xml:space="preserve"> </w:t>
      </w:r>
      <w:r>
        <w:t xml:space="preserve">“A great wall of patents: What is behind China’s recent patent explosion?”</w:t>
      </w:r>
      <w:r>
        <w:t xml:space="preserve">, Journal of Development Economics, Vol.90, No.1, pp.57-68, 2009.</w:t>
      </w:r>
      <w:r>
        <w:t xml:space="preserve"> </w:t>
      </w:r>
      <w:r>
        <w:t xml:space="preserve">DOI: https://doi.org/10.1016/j.jdeveco.2008.11.004</w:t>
      </w:r>
    </w:p>
    <w:p>
      <w:pPr>
        <w:pStyle w:val="BodyText"/>
      </w:pPr>
      <w:r>
        <w:t xml:space="preserve">[34] J. Dang and K. Motohashi,</w:t>
      </w:r>
      <w:r>
        <w:t xml:space="preserve"> </w:t>
      </w:r>
      <w:r>
        <w:t xml:space="preserve">“Patent statistics: A good indicator for innovation in China? Patent subsidy program impacts on patent quality”</w:t>
      </w:r>
      <w:r>
        <w:t xml:space="preserve">, China Economic Review, Vol.35, pp.137-155, 2015.</w:t>
      </w:r>
      <w:r>
        <w:t xml:space="preserve"> </w:t>
      </w:r>
      <w:r>
        <w:t xml:space="preserve">DOI: https://doi.org/10.1016/j.chieco.2015.03.012</w:t>
      </w:r>
    </w:p>
    <w:p>
      <w:pPr>
        <w:pStyle w:val="BodyText"/>
      </w:pPr>
      <w:r>
        <w:t xml:space="preserve">[35] S. Grimes and D. Du,</w:t>
      </w:r>
      <w:r>
        <w:t xml:space="preserve"> </w:t>
      </w:r>
      <w:r>
        <w:t xml:space="preserve">“China’s emerging role in the global semiconductor value chain”</w:t>
      </w:r>
      <w:r>
        <w:t xml:space="preserve">, Telecommunications Policy, Vol.46, No.2, Article 101959, 2022.</w:t>
      </w:r>
      <w:r>
        <w:t xml:space="preserve"> </w:t>
      </w:r>
      <w:r>
        <w:t xml:space="preserve">DOI: https://doi.org/10.1016/j.telpol.2020.101959</w:t>
      </w:r>
    </w:p>
    <w:p>
      <w:pPr>
        <w:pStyle w:val="BodyText"/>
      </w:pPr>
      <w:r>
        <w:t xml:space="preserve">[36] K. Lee and C. Lim,</w:t>
      </w:r>
      <w:r>
        <w:t xml:space="preserve"> </w:t>
      </w:r>
      <w:r>
        <w:t xml:space="preserve">“Technological regimes, catching-up and leapfrogging: Findings from the Korean industries”</w:t>
      </w:r>
      <w:r>
        <w:t xml:space="preserve">, Research Policy, Vol.30, No.3, pp.459-483, 2001.</w:t>
      </w:r>
      <w:r>
        <w:t xml:space="preserve"> </w:t>
      </w:r>
      <w:r>
        <w:t xml:space="preserve">DOI: https://doi.org/10.1016/S0048-7333(00)00088-3</w:t>
      </w:r>
    </w:p>
    <w:p>
      <w:pPr>
        <w:pStyle w:val="BodyText"/>
      </w:pPr>
      <w:r>
        <w:t xml:space="preserve">[37] European Patent Office, PATSTAT Global (2025 edition), Database, EPO, Vienna, 2025.</w:t>
      </w:r>
    </w:p>
    <w:p>
      <w:pPr>
        <w:pStyle w:val="BodyText"/>
      </w:pPr>
      <w:r>
        <w:t xml:space="preserve">[38] A. C. Cameron and P. K. Trivedi, Regression Analysis of Count Data, 2nd ed., Cambridge University Press, Cambridge, 2013.</w:t>
      </w:r>
    </w:p>
    <w:p>
      <w:pPr>
        <w:pStyle w:val="BodyText"/>
      </w:pPr>
      <w:r>
        <w:t xml:space="preserve">[39] D. McFadden,</w:t>
      </w:r>
      <w:r>
        <w:t xml:space="preserve"> </w:t>
      </w:r>
      <w:r>
        <w:t xml:space="preserve">“Conditional logit analysis of qualitative choice behavior”</w:t>
      </w:r>
      <w:r>
        <w:t xml:space="preserve">, in P. Zarembka (Ed.), Frontiers in Econometrics, Academic Press, New York, pp.105-142, 1974.</w:t>
      </w:r>
    </w:p>
    <w:p>
      <w:pPr>
        <w:pStyle w:val="BodyText"/>
      </w:pPr>
      <w:r>
        <w:t xml:space="preserve">[40] S. Petralia,</w:t>
      </w:r>
      <w:r>
        <w:t xml:space="preserve"> </w:t>
      </w:r>
      <w:r>
        <w:t xml:space="preserve">“Mapping general purpose technologies with patent data”</w:t>
      </w:r>
      <w:r>
        <w:t xml:space="preserve">, Research Policy, Vol.49, No.7, Article 104013, 2020.</w:t>
      </w:r>
      <w:r>
        <w:t xml:space="preserve"> </w:t>
      </w:r>
      <w:r>
        <w:t xml:space="preserve">DOI: https://doi.org/10.1016/j.respol.2020.104013</w:t>
      </w:r>
    </w:p>
    <w:p>
      <w:pPr>
        <w:pStyle w:val="BodyText"/>
      </w:pPr>
      <w:r>
        <w:t xml:space="preserve">[41] M. Karvonen and T. Kässi,</w:t>
      </w:r>
      <w:r>
        <w:t xml:space="preserve"> </w:t>
      </w:r>
      <w:r>
        <w:t xml:space="preserve">“Industry convergence analysis with patent citations in changing value systems”</w:t>
      </w:r>
      <w:r>
        <w:t xml:space="preserve">, International Journal of Business and Systems Research, Vol.6, No.2, pp.150-175, 2012.</w:t>
      </w:r>
      <w:r>
        <w:t xml:space="preserve"> </w:t>
      </w:r>
      <w:r>
        <w:t xml:space="preserve">DOI: https://doi.org/10.1504/IJBSR.2012.046353</w:t>
      </w:r>
    </w:p>
    <w:p>
      <w:pPr>
        <w:pStyle w:val="BodyText"/>
      </w:pPr>
      <w:r>
        <w:t xml:space="preserve">[42] R. Kapoor and R. Adner,</w:t>
      </w:r>
      <w:r>
        <w:t xml:space="preserve"> </w:t>
      </w:r>
      <w:r>
        <w:t xml:space="preserve">“What firms make vs. what they know: How firms’ production and knowledge boundaries affect competitive advantage in the face of technological change”</w:t>
      </w:r>
      <w:r>
        <w:t xml:space="preserve">, Organization Science, Vol.23, No.5, pp.1227-1248, 2012.</w:t>
      </w:r>
      <w:r>
        <w:t xml:space="preserve"> </w:t>
      </w:r>
      <w:r>
        <w:t xml:space="preserve">DOI: https://doi.org/10.1287/orsc.1110.0686</w:t>
      </w:r>
    </w:p>
    <w:bookmarkEnd w:id="32"/>
    <w:bookmarkEnd w:id="33"/>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바탕"/>
    </w:rPr>
  </w:style>
  <w:style w:styleId="BodyText" w:type="paragraph">
    <w:name w:val="Body Text"/>
    <w:basedOn w:val="Normal"/>
    <w:link w:val="BodyTextChar"/>
    <w:qFormat/>
    <w:pPr>
      <w:spacing w:after="180" w:before="180"/>
    </w:pPr>
    <w:rPr>
      <w:rFonts w:eastAsia="바탕"/>
    </w:rPr>
  </w:style>
  <w:style w:customStyle="1" w:styleId="FirstParagraph" w:type="paragraph">
    <w:name w:val="First Paragraph"/>
    <w:basedOn w:val="BodyText"/>
    <w:next w:val="BodyText"/>
    <w:qFormat/>
    <w:rPr>
      <w:rFonts w:eastAsia="바탕"/>
    </w:rPr>
  </w:style>
  <w:style w:customStyle="1" w:styleId="Compact" w:type="paragraph">
    <w:name w:val="Compact"/>
    <w:basedOn w:val="BodyText"/>
    <w:qFormat/>
    <w:pPr>
      <w:spacing w:after="36" w:before="36"/>
    </w:pPr>
    <w:rPr>
      <w:rFonts w:eastAsia="바탕"/>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2026-09-27T20:00:21Z</dcterms:created>
  <dcterms:modified xsi:type="dcterms:W3CDTF">2026-09-27T20:00:21Z</dcterms:modified>
</cp:coreProperties>
</file>

<file path=docProps/custom.xml><?xml version="1.0" encoding="utf-8"?>
<Properties xmlns="http://schemas.openxmlformats.org/officeDocument/2006/custom-properties" xmlns:vt="http://schemas.openxmlformats.org/officeDocument/2006/docPropsVTypes"/>
</file>