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32.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가장 강력한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즉 융합은 경계를 넘는 청구의 단순 증가가 아니라 재구성(recomposition)의 형태로 진행되었다. 셋째, 출원청 효과가 산업 아키텍처 및 추격 양상과 부합하는 방식으로 나타난다.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후공정 접합 클래스(H01L24)로 분류된 발명이 전공정 제조 기호(H01L21)도 보유하는지를 각 특허의 이항 속성으로 정의하고, 이러한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설명변수의 선정에는 두 갈래의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이 메커니즘은 클래스가 많을수록 그중 하나가 H01L21일 가능성이 커진다는 점에서 부분적으로 기계적이지만, 동시에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기호의 쌍이다.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drawing>
          <wp:inline>
            <wp:extent cx="5334000" cy="1453042"/>
            <wp:effectExtent b="0" l="0" r="0" t="0"/>
            <wp:docPr descr="" title="" id="19" name="Picture"/>
            <a:graphic>
              <a:graphicData uri="http://schemas.openxmlformats.org/drawingml/2006/picture">
                <pic:pic>
                  <pic:nvPicPr>
                    <pic:cNvPr descr="figures/figA1_search_strategy.png" id="20" name="Picture"/>
                    <pic:cNvPicPr>
                      <a:picLocks noChangeArrowheads="1" noChangeAspect="1"/>
                    </pic:cNvPicPr>
                  </pic:nvPicPr>
                  <pic:blipFill>
                    <a:blip r:embed="rId18"/>
                    <a:stretch>
                      <a:fillRect/>
                    </a:stretch>
                  </pic:blipFill>
                  <pic:spPr bwMode="auto">
                    <a:xfrm>
                      <a:off x="0" y="0"/>
                      <a:ext cx="5334000" cy="145304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 모집단의 검색 전략(CPC 1차 필터와 키워드 2차 필터).</w:t>
      </w:r>
    </w:p>
    <w:bookmarkEnd w:id="21"/>
    <w:bookmarkStart w:id="25"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drawing>
          <wp:inline>
            <wp:extent cx="5334000" cy="3878580"/>
            <wp:effectExtent b="0" l="0" r="0" t="0"/>
            <wp:docPr descr="" title="" id="23" name="Picture"/>
            <a:graphic>
              <a:graphicData uri="http://schemas.openxmlformats.org/drawingml/2006/picture">
                <pic:pic>
                  <pic:nvPicPr>
                    <pic:cNvPr descr="figures/fig4_applications_by_year.png" id="24" name="Picture"/>
                    <pic:cNvPicPr>
                      <a:picLocks noChangeArrowheads="1" noChangeAspect="1"/>
                    </pic:cNvPicPr>
                  </pic:nvPicPr>
                  <pic:blipFill>
                    <a:blip r:embed="rId2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5"/>
    <w:bookmarkStart w:id="26"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단독형을 동일한 기준 범주 대비로 해석할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6"/>
    <w:bookmarkEnd w:id="27"/>
    <w:bookmarkStart w:id="41" w:name="결과"/>
    <w:p>
      <w:pPr>
        <w:pStyle w:val="Heading2"/>
      </w:pPr>
      <w:r>
        <w:t xml:space="preserve">5. 결과</w:t>
      </w:r>
    </w:p>
    <w:bookmarkStart w:id="31"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분야가 성숙하면서 범위가 넓어졌다. 연도 추세의 발생률비(IRR)는 1.014로, 서브클래스 수가 연간 약 1.4%씩 증가한다.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3은 모형이 함의하는 출원청별 예측 기술범위를 도시한다. 일본 출원청 출원이 더 넓다는 H3b의 범위 성분은 10% 수준에서 지지되며, 중국 출원청 출원의 좁음은 H3a에 대해 제시한 추격 해석과 부합한다.</w:t>
      </w:r>
    </w:p>
    <w:p>
      <w:pPr>
        <w:pStyle w:val="BodyText"/>
      </w:pPr>
      <w:r>
        <w:drawing>
          <wp:inline>
            <wp:extent cx="5334000" cy="3878580"/>
            <wp:effectExtent b="0" l="0" r="0" t="0"/>
            <wp:docPr descr="" title="" id="29" name="Picture"/>
            <a:graphic>
              <a:graphicData uri="http://schemas.openxmlformats.org/drawingml/2006/picture">
                <pic:pic>
                  <pic:nvPicPr>
                    <pic:cNvPr descr="figures/fig5_predicted_breadth.png" id="30" name="Picture"/>
                    <pic:cNvPicPr>
                      <a:picLocks noChangeArrowheads="1" noChangeAspect="1"/>
                    </pic:cNvPicPr>
                  </pic:nvPicPr>
                  <pic:blipFill>
                    <a:blip r:embed="rId28"/>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다른 공변량은 평균; 95% 신뢰구간).</w:t>
      </w:r>
    </w:p>
    <w:bookmarkEnd w:id="31"/>
    <w:bookmarkStart w:id="35"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가장 강력한 예측변수다. CPC 서브클래스가 하나 늘 때마다 특허가 제조공정 기술을 청구할 승산이 약 27% 높아지며(OR 1.267, p &lt; 0.01), 이는 H1을 지지한다.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3" name="Picture"/>
            <a:graphic>
              <a:graphicData uri="http://schemas.openxmlformats.org/drawingml/2006/picture">
                <pic:pic>
                  <pic:nvPicPr>
                    <pic:cNvPr descr="figures/fig6_roc.png" id="34" name="Picture"/>
                    <pic:cNvPicPr>
                      <a:picLocks noChangeArrowheads="1" noChangeAspect="1"/>
                    </pic:cNvPicPr>
                  </pic:nvPicPr>
                  <pic:blipFill>
                    <a:blip r:embed="rId3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경계 넘기 로짓의 ROC 곡선(AUC = 0.707).</w:t>
      </w:r>
    </w:p>
    <w:bookmarkEnd w:id="35"/>
    <w:bookmarkStart w:id="39"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이는 H1을 보다 정밀하게 확인한 결과다.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로짓의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H3a와 H3b의 전략 성분이 지지된다.</w:t>
      </w:r>
    </w:p>
    <w:p>
      <w:pPr>
        <w:pStyle w:val="BodyText"/>
      </w:pPr>
      <w:r>
        <w:drawing>
          <wp:inline>
            <wp:extent cx="5334000" cy="3455670"/>
            <wp:effectExtent b="0" l="0" r="0" t="0"/>
            <wp:docPr descr="" title="" id="37" name="Picture"/>
            <a:graphic>
              <a:graphicData uri="http://schemas.openxmlformats.org/drawingml/2006/picture">
                <pic:pic>
                  <pic:nvPicPr>
                    <pic:cNvPr descr="figures/fig7_predicted_process_only.png" id="38" name="Picture"/>
                    <pic:cNvPicPr>
                      <a:picLocks noChangeArrowheads="1" noChangeAspect="1"/>
                    </pic:cNvPicPr>
                  </pic:nvPicPr>
                  <pic:blipFill>
                    <a:blip r:embed="rId36"/>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 전략의 예측 확률(다항 로짓, 다른 공변량은 평균; 95% 신뢰구간).</w:t>
      </w:r>
    </w:p>
    <w:bookmarkEnd w:id="39"/>
    <w:bookmarkStart w:id="40" w:name="가설-검정-요약과-강건성"/>
    <w:p>
      <w:pPr>
        <w:pStyle w:val="Heading3"/>
      </w:pPr>
      <w:r>
        <w:t xml:space="preserve">5.4 가설 검정 요약과 강건성</w:t>
      </w:r>
    </w:p>
    <w:p>
      <w:pPr>
        <w:pStyle w:val="FirstParagraph"/>
      </w:pPr>
      <w:r>
        <w:t xml:space="preserve">표 6은 가설 검정 결과를 요약한다. H1은 이항·다항 명세 모두에서 지지된다. H2도 지지되어,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결과의 강건성과 관련하여 세 가지를 점검하였다.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연도까지 외삽하지는 않는다.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상승할 것으로 예측하게 된다. 그러나 결과는 그렇지 않았다. 통합형 청구는 비중을 유지하였고 순수 전공정 청구가 감소하였다. 이 패턴은</w:t>
      </w:r>
      <w:r>
        <w:t xml:space="preserve"> </w:t>
      </w:r>
      <w:r>
        <w:rPr>
          <w:i/>
          <w:iCs/>
        </w:rPr>
        <w:t xml:space="preserve">재구성(recomposition)</w:t>
      </w:r>
      <w:r>
        <w:t xml:space="preserve"> </w:t>
      </w:r>
      <w:r>
        <w:t xml:space="preserve">으로 더 잘 기술된다. 기술 생애의 초기에 중요했던 발명은 평탄화, 표면 활성화, 어닐링 등 제조 단계에 관한 것이었고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이항 모형의 음(−)의 연도 계수를 전공정으로부터의 후퇴로 읽어서는 안 되는 이유이기도 하다.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범위가 좁고 공정 단독형에 편중되어 있다.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넓고 통합 지향적이며 공정 단독형이 없는 일본 출원청의 프로필이 전·후공정 인터페이스에서의 차별적이고 방어 가능한 위치를 시사한다.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청구를 타국 출원인에게 남겨 둔다. 특허 건수를 보상하는 산업정책(Dang and Motohashi, 2015)은 이 패턴을 강화할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본 연구는 네 가지 한계를 갖는다.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본 연구의 모든 비교를 보다 정밀하게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순수 전공정 청구가 통합형 청구로 대체되는 재구성을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2026-09-23T23:31:34Z</dcterms:created>
  <dcterms:modified xsi:type="dcterms:W3CDTF">2026-09-23T23:31:34Z</dcterms:modified>
</cp:coreProperties>
</file>

<file path=docProps/custom.xml><?xml version="1.0" encoding="utf-8"?>
<Properties xmlns="http://schemas.openxmlformats.org/officeDocument/2006/custom-properties" xmlns:vt="http://schemas.openxmlformats.org/officeDocument/2006/docPropsVTypes"/>
</file>