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z w:val="22"/>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(R. Schaller, 1997) Tidd, Bessant (2020)는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(Yole,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z w:val="22"/>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(Deca, IMAPS 19th Conference,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z w:val="22"/>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z w:val="22"/>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z w:val="22"/>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(미국반도체산업협회 &amp; BCG,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z w:val="22"/>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(Deca, IMAPS 19th Conference,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(AMD homepage)</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z w:val="22"/>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 남은영(</w:t>
      </w:r>
      <w:r>
        <w:rPr>
          <w:rFonts w:ascii="HY신명조" w:hAnsi="HY신명조" w:cs="HY신명조" w:eastAsia="HY신명조"/>
          <w:b w:val="0"/>
          <w:i w:val="0"/>
          <w:sz w:val="22"/>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z w:val="22"/>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z w:val="22"/>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z w:val="22"/>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z w:val="22"/>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z w:val="22"/>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z w:val="22"/>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지난 50년간 반도체 산업을 지배해 온 집적도 향상은 주로 회로 선폭을 줄이는 전공정 리소그래피(Lithography) 기술에 의존해 왔다. 그러나 이종호,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z w:val="22"/>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z w:val="22"/>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(Deca, IMAPS 19th Conference,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(Applied materials, IR book,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z w:val="20"/>
        </w:rPr>
        <w:t xml:space="preserve"> 공정 (Applied materials homepage)</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유럽특허청(EPO)의 PATSTAT 2025 데이터베이스를 활용하여 데이터를 추출하였으며 하이브리드 본딩 5278개, HBM 2330개가 검색되었다. 데이터는 CPC Code 로 1차 추출 후, 공정특성에 맞는 Key word 검색을 통한 And 조건으로 필터링하였다.</w:t>
      </w:r>
      <w:r>
        <w:rPr>
          <w:rFonts w:ascii="HY신명조" w:hAnsi="HY신명조" w:cs="HY신명조" w:eastAsia="HY신명조"/>
          <w:b w:val="0"/>
          <w:i w:val="0"/>
          <w:sz w:val="22"/>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z w:val="22"/>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z w:val="22"/>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(ZDNET Korea,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z w:val="22"/>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z w:val="22"/>
        </w:rPr>
        <w:t>(1.26/0)</w:t>
      </w:r>
      <w:r>
        <w:rPr>
          <w:rFonts w:ascii="HY신명조" w:hAnsi="HY신명조" w:cs="HY신명조" w:eastAsia="HY신명조"/>
          <w:b w:val="0"/>
          <w:i w:val="0"/>
          <w:sz w:val="22"/>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z w:val="22"/>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(어플라이드머티리얼즈,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z w:val="22"/>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z w:val="22"/>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z w:val="22"/>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z w:val="22"/>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z w:val="22"/>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z w:val="22"/>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z w:val="22"/>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z w:val="22"/>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z w:val="22"/>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z w:val="22"/>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both"/>
      </w:pPr>
      <w:r>
        <w:rPr>
          <w:rFonts w:ascii="HY신명조" w:hAnsi="HY신명조" w:cs="HY신명조" w:eastAsia="HY신명조"/>
          <w:b w:val="0"/>
          <w:i w:val="0"/>
          <w:sz w:val="20"/>
        </w:rPr>
        <w:t>강해령. (2025). SK하이닉스, 내년 300단대 'V10 낸드' 낸다. 한국경제신문. 12.08.2025</w:t>
      </w:r>
    </w:p>
    <w:p>
      <w:pPr>
        <w:spacing w:before="0" w:after="200" w:line="320" w:lineRule="exact"/>
        <w:ind w:left="0" w:right="0" w:firstLineChars="0" w:firstLine="0"/>
        <w:jc w:val="both"/>
      </w:pPr>
      <w:r>
        <w:rPr>
          <w:rFonts w:ascii="HY신명조" w:hAnsi="HY신명조" w:cs="HY신명조" w:eastAsia="HY신명조"/>
          <w:b w:val="0"/>
          <w:i w:val="0"/>
          <w:sz w:val="20"/>
        </w:rPr>
        <w:t>권성호. (2022). 특허 빅데이터 분석을 통한 소재부품 산업 경쟁력 우위확보 전략연구. 특허청 국외훈련 결과보고서</w:t>
      </w:r>
    </w:p>
    <w:p>
      <w:pPr>
        <w:spacing w:before="0" w:after="200" w:line="320" w:lineRule="exact"/>
        <w:ind w:left="0" w:right="0" w:firstLineChars="0" w:firstLine="0"/>
        <w:jc w:val="both"/>
      </w:pPr>
      <w:r>
        <w:rPr>
          <w:rFonts w:ascii="HY신명조" w:hAnsi="HY신명조" w:cs="HY신명조" w:eastAsia="HY신명조"/>
          <w:b w:val="0"/>
          <w:i w:val="0"/>
          <w:sz w:val="20"/>
        </w:rPr>
        <w:t>금연욱, 김의석. (2023). 반도체 장비 기업의 유형별 혁신 속성 및 기술지식 영향력 요인 연구. 한국산학기술학회논문지, 제24권 7호, 176–188</w:t>
      </w:r>
    </w:p>
    <w:p>
      <w:pPr>
        <w:spacing w:before="0" w:after="200" w:line="320" w:lineRule="exact"/>
        <w:ind w:left="0" w:right="0" w:firstLineChars="0" w:firstLine="0"/>
        <w:jc w:val="both"/>
      </w:pPr>
      <w:r>
        <w:rPr>
          <w:rFonts w:ascii="HY신명조" w:hAnsi="HY신명조" w:cs="HY신명조" w:eastAsia="HY신명조"/>
          <w:b w:val="0"/>
          <w:i w:val="0"/>
          <w:sz w:val="20"/>
        </w:rPr>
        <w:t>김기윤, 이성주. (2024). 한국 반도체 기술 네트워크 연구: 데이터 기반 접근법. 정부학연구제30권 제1호(2024): 89~116</w:t>
      </w:r>
    </w:p>
    <w:p>
      <w:pPr>
        <w:spacing w:before="0" w:after="200" w:line="320" w:lineRule="exact"/>
        <w:ind w:left="0" w:right="0" w:firstLineChars="0" w:firstLine="0"/>
        <w:jc w:val="both"/>
      </w:pPr>
      <w:r>
        <w:rPr>
          <w:rFonts w:ascii="HY신명조" w:hAnsi="HY신명조" w:cs="HY신명조" w:eastAsia="HY신명조"/>
          <w:b w:val="0"/>
          <w:i w:val="0"/>
          <w:sz w:val="20"/>
        </w:rPr>
        <w:t>김민규, 설영진, 이승현, 윤장혁. (2025). 특허의 Problem-Solution 분석을 활용한 반도체 기술동향분석. 지식재산연구 20권 1호 145-175</w:t>
      </w:r>
    </w:p>
    <w:p>
      <w:pPr>
        <w:spacing w:before="0" w:after="200" w:line="320" w:lineRule="exact"/>
        <w:ind w:left="0" w:right="0" w:firstLineChars="0" w:firstLine="0"/>
        <w:jc w:val="both"/>
      </w:pPr>
      <w:r>
        <w:rPr>
          <w:rFonts w:ascii="HY신명조" w:hAnsi="HY신명조" w:cs="HY신명조" w:eastAsia="HY신명조"/>
          <w:b w:val="0"/>
          <w:i w:val="0"/>
          <w:sz w:val="20"/>
        </w:rPr>
        <w:t>김영준. (2023).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김지혜. (2025). Kinex(키넥스) 다이 투 웨이퍼 하이브리드 본딩 통합 시스템. 어플라이드머티리얼즈 홈페이지</w:t>
      </w:r>
    </w:p>
    <w:p>
      <w:pPr>
        <w:spacing w:before="0" w:after="200" w:line="320" w:lineRule="exact"/>
        <w:ind w:left="0" w:right="0" w:firstLineChars="0" w:firstLine="0"/>
        <w:jc w:val="both"/>
      </w:pPr>
      <w:r>
        <w:rPr>
          <w:rFonts w:ascii="HY신명조" w:hAnsi="HY신명조" w:cs="HY신명조" w:eastAsia="HY신명조"/>
          <w:b w:val="0"/>
          <w:i w:val="0"/>
          <w:sz w:val="20"/>
        </w:rPr>
        <w:t>김현경. (2022).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민성기. (2023). 미중 디커플링과 AI 산업 기술공급망 분리: AI 반도체와 AI 소프트웨어를 중심으로. 중국과 중국학 제48호 51~75</w:t>
      </w:r>
    </w:p>
    <w:p>
      <w:pPr>
        <w:spacing w:before="0" w:after="200" w:line="320" w:lineRule="exact"/>
        <w:ind w:left="0" w:right="0" w:firstLineChars="0" w:firstLine="0"/>
        <w:jc w:val="both"/>
      </w:pPr>
      <w:r>
        <w:rPr>
          <w:rFonts w:ascii="HY신명조" w:hAnsi="HY신명조" w:cs="HY신명조" w:eastAsia="HY신명조"/>
          <w:b w:val="0"/>
          <w:i w:val="0"/>
          <w:sz w:val="20"/>
        </w:rPr>
        <w:t>박지민. (2019). 특허 데이터를 활용한 인공지능 반도체 트랜드 및 글로벌 기업 활동 분석. 연세대학교 기술경영학협동과정 기술경영학전공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오유진. (2025).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오철. (2024). 시스템 반도체 산업에서 미 · 중 경쟁과 한국의 AI 반도체 산업정책에 대한 시사점: 특허 데이터를 이용한 분석을 중심으로. 중국과 중국학 제51호 1~24</w:t>
      </w:r>
    </w:p>
    <w:p>
      <w:pPr>
        <w:spacing w:before="0" w:after="200" w:line="320" w:lineRule="exact"/>
        <w:ind w:left="0" w:right="0" w:firstLineChars="0" w:firstLine="0"/>
        <w:jc w:val="both"/>
      </w:pPr>
      <w:r>
        <w:rPr>
          <w:rFonts w:ascii="HY신명조" w:hAnsi="HY신명조" w:cs="HY신명조" w:eastAsia="HY신명조"/>
          <w:b w:val="0"/>
          <w:i w:val="0"/>
          <w:sz w:val="20"/>
        </w:rPr>
        <w:t>우징원, 남은영. (2023). 중국 3세대 반도체 산업 발전이 한국에 주는 시사점. 한중사회과학연구 제21권 제4호 81–109</w:t>
      </w:r>
    </w:p>
    <w:p>
      <w:pPr>
        <w:spacing w:before="0" w:after="200" w:line="320" w:lineRule="exact"/>
        <w:ind w:left="0" w:right="0" w:firstLineChars="0" w:firstLine="0"/>
        <w:jc w:val="both"/>
      </w:pPr>
      <w:r>
        <w:rPr>
          <w:rFonts w:ascii="HY신명조" w:hAnsi="HY신명조" w:cs="HY신명조" w:eastAsia="HY신명조"/>
          <w:b w:val="0"/>
          <w:i w:val="0"/>
          <w:sz w:val="20"/>
        </w:rPr>
        <w:t>이승환. (2025).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이제환. (2019). 특허 빅데이터 정량 분석을 이용한 기술 분석 연구. 고려대학교 공학대학원 지식재산학과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이종호, 오철. (2022). AI 반도체 산업의 기술발전 방향과 후발자의 추격 가능성에 대한 고찰: 미국 특허를 이용한 기술수명주기 분석을 중심으로. 한국혁신학회 제17권 제3호</w:t>
      </w:r>
    </w:p>
    <w:p>
      <w:pPr>
        <w:spacing w:before="0" w:after="200" w:line="320" w:lineRule="exact"/>
        <w:ind w:left="0" w:right="0" w:firstLineChars="0" w:firstLine="0"/>
        <w:jc w:val="both"/>
      </w:pPr>
      <w:r>
        <w:rPr>
          <w:rFonts w:ascii="HY신명조" w:hAnsi="HY신명조" w:cs="HY신명조" w:eastAsia="HY신명조"/>
          <w:b w:val="0"/>
          <w:i w:val="0"/>
          <w:sz w:val="20"/>
        </w:rPr>
        <w:t>이찬우. (2020). 중국 반도체 산업의 기술혁신 성과 분석: 파운드리 기업 SMIC의 특허 분석을 중심으로. 중국학연구 175~208</w:t>
      </w:r>
    </w:p>
    <w:p>
      <w:pPr>
        <w:spacing w:before="0" w:after="200" w:line="320" w:lineRule="exact"/>
        <w:ind w:left="0" w:right="0" w:firstLineChars="0" w:firstLine="0"/>
        <w:jc w:val="both"/>
      </w:pPr>
      <w:r>
        <w:rPr>
          <w:rFonts w:ascii="HY신명조" w:hAnsi="HY신명조" w:cs="HY신명조" w:eastAsia="HY신명조"/>
          <w:b w:val="0"/>
          <w:i w:val="0"/>
          <w:sz w:val="20"/>
        </w:rPr>
        <w:t>장경윤. (2025). 삼성전자, V10 낸드부터 中 YMTC 특허 쓴다. ZDNET Korea. 02.24.2025</w:t>
      </w:r>
    </w:p>
    <w:p>
      <w:pPr>
        <w:spacing w:before="0" w:after="200" w:line="320" w:lineRule="exact"/>
        <w:ind w:left="0" w:right="0" w:firstLineChars="0" w:firstLine="0"/>
        <w:jc w:val="both"/>
      </w:pPr>
      <w:r>
        <w:rPr>
          <w:rFonts w:ascii="HY신명조" w:hAnsi="HY신명조" w:cs="HY신명조" w:eastAsia="HY신명조"/>
          <w:b w:val="0"/>
          <w:i w:val="0"/>
          <w:sz w:val="20"/>
        </w:rPr>
        <w:t>지일용. (2025). 특허 자료를 활용한 한국과 대만의 대표 파운드리 기업 간 반도체 공정기술 분야 기술경쟁력 및 차별성 비교 분석. 한국산학기술학회논문지 제26권 제6호 841–851</w:t>
      </w:r>
    </w:p>
    <w:p>
      <w:pPr>
        <w:spacing w:before="0" w:after="200" w:line="320" w:lineRule="exact"/>
        <w:ind w:left="0" w:right="0" w:firstLineChars="0" w:firstLine="0"/>
        <w:jc w:val="both"/>
      </w:pPr>
      <w:r>
        <w:rPr>
          <w:rFonts w:ascii="HY신명조" w:hAnsi="HY신명조" w:cs="HY신명조" w:eastAsia="HY신명조"/>
          <w:b w:val="0"/>
          <w:i w:val="0"/>
          <w:sz w:val="20"/>
        </w:rPr>
        <w:t>Matt Clancy. (2020). Are ideas getting harder to find because of the burden of knowledge? New things under the sun</w:t>
      </w:r>
    </w:p>
    <w:p>
      <w:pPr>
        <w:spacing w:before="0" w:after="200" w:line="320" w:lineRule="exact"/>
        <w:ind w:left="0" w:right="0" w:firstLineChars="0" w:firstLine="0"/>
        <w:jc w:val="both"/>
      </w:pPr>
      <w:r>
        <w:rPr>
          <w:rFonts w:ascii="HY신명조" w:hAnsi="HY신명조" w:cs="HY신명조" w:eastAsia="HY신명조"/>
          <w:b w:val="0"/>
          <w:i w:val="0"/>
          <w:sz w:val="20"/>
        </w:rPr>
        <w:t>Furman, Porter, &amp; Stern. (2000). The determinants of national innovative capacity. NBER working paper no. 7876</w:t>
      </w:r>
    </w:p>
    <w:p>
      <w:pPr>
        <w:spacing w:before="0" w:after="200" w:line="320" w:lineRule="exact"/>
        <w:ind w:left="0" w:right="0" w:firstLineChars="0" w:firstLine="0"/>
        <w:jc w:val="both"/>
      </w:pPr>
      <w:r>
        <w:rPr>
          <w:rFonts w:ascii="HY신명조" w:hAnsi="HY신명조" w:cs="HY신명조" w:eastAsia="HY신명조"/>
          <w:b w:val="0"/>
          <w:i w:val="0"/>
          <w:sz w:val="20"/>
        </w:rPr>
        <w:t>Jaffe, A. B. and Trajtenberg, M. (1996). Flows of knowledge from universities and federal laboratories: Modeling the flow of patent citations over time and across institutional and geographic boundaries. Proceedings of the National Academy of Sciences of the United States of America, 93, 12671-12677</w:t>
      </w:r>
    </w:p>
    <w:p>
      <w:pPr>
        <w:spacing w:before="0" w:after="200" w:line="320" w:lineRule="exact"/>
        <w:ind w:left="0" w:right="0" w:firstLineChars="0" w:firstLine="0"/>
        <w:jc w:val="both"/>
      </w:pPr>
      <w:r>
        <w:rPr>
          <w:rFonts w:ascii="HY신명조" w:hAnsi="HY신명조" w:cs="HY신명조" w:eastAsia="HY신명조"/>
          <w:b w:val="0"/>
          <w:i w:val="0"/>
          <w:sz w:val="20"/>
        </w:rPr>
        <w:t>R. Schaller, Moore’s law: past, present, and future, IEEE spectrum 34 (1997) 6.52.</w:t>
      </w:r>
    </w:p>
    <w:p>
      <w:pPr>
        <w:spacing w:before="0" w:after="200" w:line="320" w:lineRule="exact"/>
        <w:ind w:left="0" w:right="0" w:firstLineChars="0" w:firstLine="0"/>
        <w:jc w:val="both"/>
      </w:pPr>
      <w:r>
        <w:rPr>
          <w:rFonts w:ascii="HY신명조" w:hAnsi="HY신명조" w:cs="HY신명조" w:eastAsia="HY신명조"/>
          <w:b w:val="0"/>
          <w:i w:val="0"/>
          <w:sz w:val="20"/>
        </w:rPr>
        <w:t>Tidd, Bessant. (2020). Managing Innovation: Integrating Technological, Market and Organizational Change 7th</w:t>
      </w:r>
    </w:p>
    <w:p>
      <w:pPr>
        <w:spacing w:before="0" w:after="200" w:line="320" w:lineRule="exact"/>
        <w:ind w:left="0" w:right="0" w:firstLineChars="0" w:firstLine="0"/>
        <w:jc w:val="both"/>
      </w:pPr>
      <w:r>
        <w:rPr>
          <w:rFonts w:ascii="HY신명조" w:hAnsi="HY신명조" w:cs="HY신명조" w:eastAsia="HY신명조"/>
          <w:b w:val="0"/>
          <w:i w:val="0"/>
          <w:sz w:val="20"/>
        </w:rPr>
        <w:t>Yoon, B. and Park, Y. (2004). A text-mining-based patent network: Analytical tool for high-technology trend. The Journal of High Technology Management Research, 15(1), 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