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3"/>
          <w:footerReference w:type="default" r:id="rId34"/>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rPr>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5"/>
          <w:footerReference w:type="default" r:id="rId36"/>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11</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전공정 미세화 한계 및 비용증가</w:t>
        <w:tab/>
        <w:t>12</w:t>
      </w:r>
    </w:p>
    <w:p>
      <w:pPr>
        <w:pStyle w:val="toc4"/>
      </w:pPr>
      <w:r>
        <w:t>[그림 2-3] 2.5D PKG</w:t>
        <w:tab/>
        <w:t>13</w:t>
      </w:r>
    </w:p>
    <w:p>
      <w:pPr>
        <w:pStyle w:val="toc4"/>
      </w:pPr>
      <w:r>
        <w:t>[그림 2-4]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7"/>
          <w:footerReference w:type="default" r:id="rId38"/>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z w:val="22"/>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w:t>
      </w:r>
      <w:r>
        <w:rPr>
          <w:rFonts w:ascii="HY신명조" w:hAnsi="HY신명조" w:cs="HY신명조" w:eastAsia="HY신명조"/>
          <w:b w:val="0"/>
          <w:i w:val="0"/>
          <w:sz w:val="22"/>
        </w:rPr>
        <w:t>Schaller, 1997) Tidd</w:t>
      </w:r>
      <w:r>
        <w:rPr>
          <w:rFonts w:ascii="HY신명조" w:hAnsi="HY신명조" w:cs="HY신명조" w:eastAsia="HY신명조"/>
          <w:b w:val="0"/>
          <w:i w:val="0"/>
          <w:sz w:val="22"/>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z w:val="22"/>
        </w:rPr>
        <w:t>(</w:t>
      </w:r>
      <w:r>
        <w:rPr>
          <w:rFonts w:ascii="HY신명조" w:hAnsi="HY신명조" w:cs="HY신명조" w:eastAsia="HY신명조"/>
          <w:b w:val="0"/>
          <w:i w:val="0"/>
          <w:sz w:val="22"/>
        </w:rPr>
        <w:t>2021</w:t>
      </w:r>
      <w:r>
        <w:rPr>
          <w:rFonts w:ascii="HY신명조" w:hAnsi="HY신명조" w:cs="HY신명조" w:eastAsia="HY신명조"/>
          <w:b w:val="0"/>
          <w:i w:val="0"/>
          <w:sz w:val="22"/>
        </w:rPr>
        <w:t>)는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w:t>
      </w:r>
      <w:r>
        <w:rPr>
          <w:rFonts w:ascii="HY신명조" w:hAnsi="HY신명조" w:cs="HY신명조" w:eastAsia="HY신명조"/>
          <w:b w:val="0"/>
          <w:i w:val="0"/>
          <w:sz w:val="20"/>
        </w:rPr>
        <w:t>Yole Group</w:t>
      </w:r>
      <w:r>
        <w:rPr>
          <w:rFonts w:ascii="HY신명조" w:hAnsi="HY신명조" w:cs="HY신명조" w:eastAsia="HY신명조"/>
          <w:b w:val="0"/>
          <w:i w:val="0"/>
          <w:sz w:val="20"/>
        </w:rPr>
        <w:t>,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z w:val="22"/>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z w:val="22"/>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z w:val="22"/>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z w:val="22"/>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w:t>
      </w:r>
      <w:r>
        <w:rPr>
          <w:rFonts w:ascii="HY신명조" w:hAnsi="HY신명조" w:cs="HY신명조" w:eastAsia="HY신명조"/>
          <w:b w:val="0"/>
          <w:i w:val="0"/>
          <w:sz w:val="20"/>
        </w:rPr>
        <w:t>BCG &amp; SIA</w:t>
      </w:r>
      <w:r>
        <w:rPr>
          <w:rFonts w:ascii="HY신명조" w:hAnsi="HY신명조" w:cs="HY신명조" w:eastAsia="HY신명조"/>
          <w:b w:val="0"/>
          <w:i w:val="0"/>
          <w:sz w:val="20"/>
        </w:rPr>
        <w:t>,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z w:val="22"/>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w:t>
      </w:r>
      <w:r>
        <w:rPr>
          <w:rFonts w:ascii="HY신명조" w:hAnsi="HY신명조" w:cs="HY신명조" w:eastAsia="HY신명조"/>
          <w:b w:val="0"/>
          <w:i w:val="0"/>
          <w:sz w:val="22"/>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z w:val="22"/>
        </w:rPr>
        <w:t>2021</w:t>
      </w:r>
      <w:r>
        <w:rPr>
          <w:rFonts w:ascii="HY신명조" w:hAnsi="HY신명조" w:cs="HY신명조" w:eastAsia="HY신명조"/>
          <w:b w:val="0"/>
          <w:i w:val="0"/>
          <w:sz w:val="22"/>
        </w:rPr>
        <w:t>)가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w:t>
      </w:r>
      <w:r>
        <w:rPr>
          <w:rFonts w:ascii="HY신명조" w:hAnsi="HY신명조" w:cs="HY신명조" w:eastAsia="HY신명조"/>
          <w:b w:val="0"/>
          <w:i w:val="0"/>
          <w:sz w:val="20"/>
        </w:rPr>
        <w:t>AMD, n.d.</w:t>
      </w:r>
      <w:r>
        <w:rPr>
          <w:rFonts w:ascii="HY신명조" w:hAnsi="HY신명조" w:cs="HY신명조" w:eastAsia="HY신명조"/>
          <w:b w:val="0"/>
          <w:i w:val="0"/>
          <w:sz w:val="20"/>
        </w:rPr>
        <w:t>)</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z w:val="22"/>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남은영(</w:t>
      </w:r>
      <w:r>
        <w:rPr>
          <w:rFonts w:ascii="HY신명조" w:hAnsi="HY신명조" w:cs="HY신명조" w:eastAsia="HY신명조"/>
          <w:b w:val="0"/>
          <w:i w:val="0"/>
          <w:sz w:val="22"/>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z w:val="22"/>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z w:val="22"/>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z w:val="22"/>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z w:val="22"/>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z w:val="22"/>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z w:val="22"/>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지난 50년간 반도체 산업을 지배해 온 집적도 향상은 주로 회로 선폭을 줄이는 전공정 리소그래피(Lithography) 기술에 의존해 왔다. 그러나 이종호</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z w:val="22"/>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z w:val="22"/>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8" name="Picture 8"/>
            <wp:cNvGraphicFramePr>
              <a:graphicFrameLocks noChangeAspect="1"/>
            </wp:cNvGraphicFramePr>
            <a:graphic>
              <a:graphicData uri="http://schemas.openxmlformats.org/drawingml/2006/picture">
                <pic:pic>
                  <pic:nvPicPr>
                    <pic:cNvPr id="0" name="f2-3_scaling_limits.png"/>
                    <pic:cNvPicPr/>
                  </pic:nvPicPr>
                  <pic:blipFill>
                    <a:blip r:embed="rId16"/>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전공정 미세화 한계 및 비용증가 (</w:t>
      </w:r>
      <w:r>
        <w:rPr>
          <w:rFonts w:ascii="HY신명조" w:hAnsi="HY신명조" w:cs="HY신명조" w:eastAsia="HY신명조"/>
          <w:b w:val="0"/>
          <w:i w:val="0"/>
          <w:sz w:val="20"/>
        </w:rPr>
        <w:t>Davis &amp; Olson</w:t>
      </w:r>
      <w:r>
        <w:rPr>
          <w:rFonts w:ascii="HY신명조" w:hAnsi="HY신명조" w:cs="HY신명조" w:eastAsia="HY신명조"/>
          <w:b w:val="0"/>
          <w:i w:val="0"/>
          <w:sz w:val="20"/>
        </w:rPr>
        <w:t>, 2023)</w:t>
      </w:r>
      <w:r>
        <w:fldChar w:fldCharType="begin"/>
      </w:r>
      <w:r>
        <w:instrText xml:space="preserve"> TC "[그림 2-2]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9" name="Picture 9"/>
            <wp:cNvGraphicFramePr>
              <a:graphicFrameLocks noChangeAspect="1"/>
            </wp:cNvGraphicFramePr>
            <a:graphic>
              <a:graphicData uri="http://schemas.openxmlformats.org/drawingml/2006/picture">
                <pic:pic>
                  <pic:nvPicPr>
                    <pic:cNvPr id="0" name="f2-4_2p5d_pkg.png"/>
                    <pic:cNvPicPr/>
                  </pic:nvPicPr>
                  <pic:blipFill>
                    <a:blip r:embed="rId17"/>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2.5D PKG (</w:t>
      </w:r>
      <w:r>
        <w:rPr>
          <w:rFonts w:ascii="HY신명조" w:hAnsi="HY신명조" w:cs="HY신명조" w:eastAsia="HY신명조"/>
          <w:b w:val="0"/>
          <w:i w:val="0"/>
          <w:sz w:val="20"/>
        </w:rPr>
        <w:t>Applied Materials</w:t>
      </w:r>
      <w:r>
        <w:rPr>
          <w:rFonts w:ascii="HY신명조" w:hAnsi="HY신명조" w:cs="HY신명조" w:eastAsia="HY신명조"/>
          <w:b w:val="0"/>
          <w:i w:val="0"/>
          <w:sz w:val="20"/>
        </w:rPr>
        <w:t>, 2021)</w:t>
      </w:r>
      <w:r>
        <w:fldChar w:fldCharType="begin"/>
      </w:r>
      <w:r>
        <w:instrText xml:space="preserve"> TC "[그림 2-3]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w:t>
      </w:r>
      <w:r>
        <w:rPr>
          <w:rFonts w:ascii="HY신명조" w:hAnsi="HY신명조" w:cs="HY신명조" w:eastAsia="HY신명조"/>
          <w:b w:val="0"/>
          <w:i w:val="0"/>
          <w:sz w:val="22"/>
        </w:rPr>
        <w:t xml:space="preserve"> ·</w:t>
      </w:r>
      <w:r>
        <w:rPr>
          <w:rFonts w:ascii="HY신명조" w:hAnsi="HY신명조" w:cs="HY신명조" w:eastAsia="HY신명조"/>
          <w:b w:val="0"/>
          <w:i w:val="0"/>
          <w:sz w:val="22"/>
        </w:rPr>
        <w:t xml:space="preserve">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0" name="Picture 10"/>
            <wp:cNvGraphicFramePr>
              <a:graphicFrameLocks noChangeAspect="1"/>
            </wp:cNvGraphicFramePr>
            <a:graphic>
              <a:graphicData uri="http://schemas.openxmlformats.org/drawingml/2006/picture">
                <pic:pic>
                  <pic:nvPicPr>
                    <pic:cNvPr id="0" name="f2-5_d2w_flow.png"/>
                    <pic:cNvPicPr/>
                  </pic:nvPicPr>
                  <pic:blipFill>
                    <a:blip r:embed="rId18"/>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D2W 하이브리드 본딩</w:t>
      </w:r>
      <w:r>
        <w:rPr>
          <w:rFonts w:ascii="HY신명조" w:hAnsi="HY신명조" w:cs="HY신명조" w:eastAsia="HY신명조"/>
          <w:b w:val="0"/>
          <w:i w:val="0"/>
          <w:sz w:val="20"/>
        </w:rPr>
        <w:t xml:space="preserve"> 공정 (</w:t>
      </w:r>
      <w:r>
        <w:rPr>
          <w:rFonts w:ascii="HY신명조" w:hAnsi="HY신명조" w:cs="HY신명조" w:eastAsia="HY신명조"/>
          <w:b w:val="0"/>
          <w:i w:val="0"/>
          <w:sz w:val="20"/>
        </w:rPr>
        <w:t>김지혜, 2025</w:t>
      </w:r>
      <w:r>
        <w:rPr>
          <w:rFonts w:ascii="HY신명조" w:hAnsi="HY신명조" w:cs="HY신명조" w:eastAsia="HY신명조"/>
          <w:b w:val="0"/>
          <w:i w:val="0"/>
          <w:sz w:val="20"/>
        </w:rPr>
        <w:t>)</w:t>
      </w:r>
      <w:r>
        <w:fldChar w:fldCharType="begin"/>
      </w:r>
      <w:r>
        <w:instrText xml:space="preserve"> TC "[그림 2-4]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유럽특허청(EPO)의 PATSTAT 2025 데이터베이스를 활용하여 데이터를 추출하였으며 </w:t>
      </w:r>
      <w:r>
        <w:rPr>
          <w:rFonts w:ascii="HY신명조" w:hAnsi="HY신명조" w:cs="HY신명조" w:eastAsia="HY신명조"/>
          <w:b w:val="0"/>
          <w:i w:val="0"/>
          <w:sz w:val="22"/>
        </w:rPr>
        <w:t>하이브리드 본딩 관련 출원–CPC 레코드 5,277건(출원 기준으로는 1968–2024년에 출원된 928건)과 비교군인 HBM 관련 레코드 약 2,330건이 검색되었다.</w:t>
      </w:r>
      <w:r>
        <w:rPr>
          <w:rFonts w:ascii="HY신명조" w:hAnsi="HY신명조" w:cs="HY신명조" w:eastAsia="HY신명조"/>
          <w:b w:val="0"/>
          <w:i w:val="0"/>
          <w:sz w:val="22"/>
        </w:rPr>
        <w:t xml:space="preserve"> 데이터는 CPC Code 로 1차 추출 후, 공정특성에 맞는 Key word 검색을 통한 And 조건으로 필터링하였다.</w:t>
      </w:r>
      <w:r>
        <w:rPr>
          <w:rFonts w:ascii="HY신명조" w:hAnsi="HY신명조" w:cs="HY신명조" w:eastAsia="HY신명조"/>
          <w:b w:val="0"/>
          <w:i w:val="0"/>
          <w:sz w:val="22"/>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1" name="Picture 11"/>
            <wp:cNvGraphicFramePr>
              <a:graphicFrameLocks noChangeAspect="1"/>
            </wp:cNvGraphicFramePr>
            <a:graphic>
              <a:graphicData uri="http://schemas.openxmlformats.org/drawingml/2006/picture">
                <pic:pic>
                  <pic:nvPicPr>
                    <pic:cNvPr id="0" name="t3-1_hb_cpc_keywords.png"/>
                    <pic:cNvPicPr/>
                  </pic:nvPicPr>
                  <pic:blipFill>
                    <a:blip r:embed="rId19"/>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2" name="Picture 12"/>
            <wp:cNvGraphicFramePr>
              <a:graphicFrameLocks noChangeAspect="1"/>
            </wp:cNvGraphicFramePr>
            <a:graphic>
              <a:graphicData uri="http://schemas.openxmlformats.org/drawingml/2006/picture">
                <pic:pic>
                  <pic:nvPicPr>
                    <pic:cNvPr id="0" name="t3-2_hbm_cpc_keywords.png"/>
                    <pic:cNvPicPr/>
                  </pic:nvPicPr>
                  <pic:blipFill>
                    <a:blip r:embed="rId20"/>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z w:val="22"/>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3" name="Picture 13"/>
            <wp:cNvGraphicFramePr>
              <a:graphicFrameLocks noChangeAspect="1"/>
            </wp:cNvGraphicFramePr>
            <a:graphic>
              <a:graphicData uri="http://schemas.openxmlformats.org/drawingml/2006/picture">
                <pic:pic>
                  <pic:nvPicPr>
                    <pic:cNvPr id="0" name="f3-1_hb_hbm_trend.png"/>
                    <pic:cNvPicPr/>
                  </pic:nvPicPr>
                  <pic:blipFill>
                    <a:blip r:embed="rId21"/>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4" name="Picture 14"/>
            <wp:cNvGraphicFramePr>
              <a:graphicFrameLocks noChangeAspect="1"/>
            </wp:cNvGraphicFramePr>
            <a:graphic>
              <a:graphicData uri="http://schemas.openxmlformats.org/drawingml/2006/picture">
                <pic:pic>
                  <pic:nvPicPr>
                    <pic:cNvPr id="0" name="f3-2_top10_applicants.png"/>
                    <pic:cNvPicPr/>
                  </pic:nvPicPr>
                  <pic:blipFill>
                    <a:blip r:embed="rId22"/>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5" name="Picture 15"/>
            <wp:cNvGraphicFramePr>
              <a:graphicFrameLocks noChangeAspect="1"/>
            </wp:cNvGraphicFramePr>
            <a:graphic>
              <a:graphicData uri="http://schemas.openxmlformats.org/drawingml/2006/picture">
                <pic:pic>
                  <pic:nvPicPr>
                    <pic:cNvPr id="0" name="t3-3_country_rank.png"/>
                    <pic:cNvPicPr/>
                  </pic:nvPicPr>
                  <pic:blipFill>
                    <a:blip r:embed="rId23"/>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z w:val="22"/>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w:t>
      </w:r>
      <w:r>
        <w:rPr>
          <w:rFonts w:ascii="HY신명조" w:hAnsi="HY신명조" w:cs="HY신명조" w:eastAsia="HY신명조"/>
          <w:b w:val="0"/>
          <w:i w:val="0"/>
          <w:sz w:val="22"/>
        </w:rPr>
        <w:t>장경윤</w:t>
      </w:r>
      <w:r>
        <w:rPr>
          <w:rFonts w:ascii="HY신명조" w:hAnsi="HY신명조" w:cs="HY신명조" w:eastAsia="HY신명조"/>
          <w:b w:val="0"/>
          <w:i w:val="0"/>
          <w:sz w:val="22"/>
        </w:rPr>
        <w:t>,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z w:val="22"/>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z w:val="22"/>
        </w:rPr>
        <w:t>(1.26/0)</w:t>
      </w:r>
      <w:r>
        <w:rPr>
          <w:rFonts w:ascii="HY신명조" w:hAnsi="HY신명조" w:cs="HY신명조" w:eastAsia="HY신명조"/>
          <w:b w:val="0"/>
          <w:i w:val="0"/>
          <w:sz w:val="22"/>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6" name="Picture 16"/>
            <wp:cNvGraphicFramePr>
              <a:graphicFrameLocks noChangeAspect="1"/>
            </wp:cNvGraphicFramePr>
            <a:graphic>
              <a:graphicData uri="http://schemas.openxmlformats.org/drawingml/2006/picture">
                <pic:pic>
                  <pic:nvPicPr>
                    <pic:cNvPr id="0" name="f3-3_market_size.png"/>
                    <pic:cNvPicPr/>
                  </pic:nvPicPr>
                  <pic:blipFill>
                    <a:blip r:embed="rId24"/>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z w:val="22"/>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w:t>
      </w:r>
      <w:r>
        <w:rPr>
          <w:rFonts w:ascii="HY신명조" w:hAnsi="HY신명조" w:cs="HY신명조" w:eastAsia="HY신명조"/>
          <w:b w:val="0"/>
          <w:i w:val="0"/>
          <w:sz w:val="22"/>
        </w:rPr>
        <w:t>김지혜</w:t>
      </w:r>
      <w:r>
        <w:rPr>
          <w:rFonts w:ascii="HY신명조" w:hAnsi="HY신명조" w:cs="HY신명조" w:eastAsia="HY신명조"/>
          <w:b w:val="0"/>
          <w:i w:val="0"/>
          <w:sz w:val="22"/>
        </w:rPr>
        <w:t>,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z w:val="22"/>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z w:val="22"/>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7" name="Picture 17"/>
            <wp:cNvGraphicFramePr>
              <a:graphicFrameLocks noChangeAspect="1"/>
            </wp:cNvGraphicFramePr>
            <a:graphic>
              <a:graphicData uri="http://schemas.openxmlformats.org/drawingml/2006/picture">
                <pic:pic>
                  <pic:nvPicPr>
                    <pic:cNvPr id="0" name="t3-4_rta.png"/>
                    <pic:cNvPicPr/>
                  </pic:nvPicPr>
                  <pic:blipFill>
                    <a:blip r:embed="rId25"/>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z w:val="22"/>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8" name="Picture 18"/>
            <wp:cNvGraphicFramePr>
              <a:graphicFrameLocks noChangeAspect="1"/>
            </wp:cNvGraphicFramePr>
            <a:graphic>
              <a:graphicData uri="http://schemas.openxmlformats.org/drawingml/2006/picture">
                <pic:pic>
                  <pic:nvPicPr>
                    <pic:cNvPr id="0" name="t3-5_tech_cluster.png"/>
                    <pic:cNvPicPr/>
                  </pic:nvPicPr>
                  <pic:blipFill>
                    <a:blip r:embed="rId26"/>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19" name="Picture 19"/>
            <wp:cNvGraphicFramePr>
              <a:graphicFrameLocks noChangeAspect="1"/>
            </wp:cNvGraphicFramePr>
            <a:graphic>
              <a:graphicData uri="http://schemas.openxmlformats.org/drawingml/2006/picture">
                <pic:pic>
                  <pic:nvPicPr>
                    <pic:cNvPr id="0" name="t3-6_tech_network.png"/>
                    <pic:cNvPicPr/>
                  </pic:nvPicPr>
                  <pic:blipFill>
                    <a:blip r:embed="rId27"/>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z w:val="22"/>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0" name="Picture 20"/>
            <wp:cNvGraphicFramePr>
              <a:graphicFrameLocks noChangeAspect="1"/>
            </wp:cNvGraphicFramePr>
            <a:graphic>
              <a:graphicData uri="http://schemas.openxmlformats.org/drawingml/2006/picture">
                <pic:pic>
                  <pic:nvPicPr>
                    <pic:cNvPr id="0" name="f3-4_science_linkage.png"/>
                    <pic:cNvPicPr/>
                  </pic:nvPicPr>
                  <pic:blipFill>
                    <a:blip r:embed="rId28"/>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z w:val="22"/>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1" name="Picture 21"/>
            <wp:cNvGraphicFramePr>
              <a:graphicFrameLocks noChangeAspect="1"/>
            </wp:cNvGraphicFramePr>
            <a:graphic>
              <a:graphicData uri="http://schemas.openxmlformats.org/drawingml/2006/picture">
                <pic:pic>
                  <pic:nvPicPr>
                    <pic:cNvPr id="0" name="f3-5_citation_impact.png"/>
                    <pic:cNvPicPr/>
                  </pic:nvPicPr>
                  <pic:blipFill>
                    <a:blip r:embed="rId29"/>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z w:val="22"/>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z w:val="22"/>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2" name="Picture 22"/>
            <wp:cNvGraphicFramePr>
              <a:graphicFrameLocks noChangeAspect="1"/>
            </wp:cNvGraphicFramePr>
            <a:graphic>
              <a:graphicData uri="http://schemas.openxmlformats.org/drawingml/2006/picture">
                <pic:pic>
                  <pic:nvPicPr>
                    <pic:cNvPr id="0" name="t3-7_top10_cited.png"/>
                    <pic:cNvPicPr/>
                  </pic:nvPicPr>
                  <pic:blipFill>
                    <a:blip r:embed="rId30"/>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z w:val="22"/>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z w:val="22"/>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z w:val="22"/>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z w:val="22"/>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3" name="Picture 23"/>
            <wp:cNvGraphicFramePr>
              <a:graphicFrameLocks noChangeAspect="1"/>
            </wp:cNvGraphicFramePr>
            <a:graphic>
              <a:graphicData uri="http://schemas.openxmlformats.org/drawingml/2006/picture">
                <pic:pic>
                  <pic:nvPicPr>
                    <pic:cNvPr id="0" name="t3-8_citation_life.png"/>
                    <pic:cNvPicPr/>
                  </pic:nvPicPr>
                  <pic:blipFill>
                    <a:blip r:embed="rId31"/>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4" name="Picture 24"/>
            <wp:cNvGraphicFramePr>
              <a:graphicFrameLocks noChangeAspect="1"/>
            </wp:cNvGraphicFramePr>
            <a:graphic>
              <a:graphicData uri="http://schemas.openxmlformats.org/drawingml/2006/picture">
                <pic:pic>
                  <pic:nvPicPr>
                    <pic:cNvPr id="0" name="f3-6_citation_decay.png"/>
                    <pic:cNvPicPr/>
                  </pic:nvPicPr>
                  <pic:blipFill>
                    <a:blip r:embed="rId32"/>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z w:val="22"/>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left"/>
      </w:pPr>
      <w:r>
        <w:rPr>
          <w:rFonts w:ascii="HY신명조" w:hAnsi="HY신명조" w:cs="HY신명조" w:eastAsia="HY신명조"/>
          <w:b w:val="0"/>
          <w:i w:val="0"/>
          <w:sz w:val="20"/>
        </w:rPr>
        <w:t>강해령(2025), “SK하이닉스, 내년 300단대 'V10 낸드' 낸다,” 한국경제신문, 2025. 12. 8., https://www.hankyung.com/article/202512088973i</w:t>
      </w:r>
    </w:p>
    <w:p>
      <w:pPr>
        <w:spacing w:before="0" w:after="200" w:line="320" w:lineRule="exact"/>
        <w:ind w:left="0" w:right="0" w:firstLineChars="0" w:firstLine="0"/>
        <w:jc w:val="left"/>
      </w:pPr>
      <w:r>
        <w:rPr>
          <w:rFonts w:ascii="HY신명조" w:hAnsi="HY신명조" w:cs="HY신명조" w:eastAsia="HY신명조"/>
          <w:b w:val="0"/>
          <w:i w:val="0"/>
          <w:sz w:val="20"/>
        </w:rPr>
        <w:t>권성호(2022), 특허 빅데이터 분석을 통한 소재부품 산업 경쟁력 우위확보 전략연구, 특허청 국외훈련 결과보고서.</w:t>
      </w:r>
    </w:p>
    <w:p>
      <w:pPr>
        <w:spacing w:before="0" w:after="200" w:line="320" w:lineRule="exact"/>
        <w:ind w:left="0" w:right="0" w:firstLineChars="0" w:firstLine="0"/>
        <w:jc w:val="left"/>
      </w:pPr>
      <w:r>
        <w:rPr>
          <w:rFonts w:ascii="HY신명조" w:hAnsi="HY신명조" w:cs="HY신명조" w:eastAsia="HY신명조"/>
          <w:b w:val="0"/>
          <w:i w:val="0"/>
          <w:sz w:val="20"/>
        </w:rPr>
        <w:t>금연욱 · 김의석(2023), 반도체 장비 기업의 유형별 혁신 속성 및 기술지식 영향력 요인 연구, 한국산학기술학회논문지, 제24권 7호, pp.176-188.</w:t>
      </w:r>
    </w:p>
    <w:p>
      <w:pPr>
        <w:spacing w:before="0" w:after="200" w:line="320" w:lineRule="exact"/>
        <w:ind w:left="0" w:right="0" w:firstLineChars="0" w:firstLine="0"/>
        <w:jc w:val="left"/>
      </w:pPr>
      <w:r>
        <w:rPr>
          <w:rFonts w:ascii="HY신명조" w:hAnsi="HY신명조" w:cs="HY신명조" w:eastAsia="HY신명조"/>
          <w:b w:val="0"/>
          <w:i w:val="0"/>
          <w:sz w:val="20"/>
        </w:rPr>
        <w:t>김기윤 · 이성주(2024), 한국 반도체 기술 네트워크 연구: 데이터 기반 접근법, 정부학연구, 제30권 1호, pp.89-116.</w:t>
      </w:r>
    </w:p>
    <w:p>
      <w:pPr>
        <w:spacing w:before="0" w:after="200" w:line="320" w:lineRule="exact"/>
        <w:ind w:left="0" w:right="0" w:firstLineChars="0" w:firstLine="0"/>
        <w:jc w:val="left"/>
      </w:pPr>
      <w:r>
        <w:rPr>
          <w:rFonts w:ascii="HY신명조" w:hAnsi="HY신명조" w:cs="HY신명조" w:eastAsia="HY신명조"/>
          <w:b w:val="0"/>
          <w:i w:val="0"/>
          <w:sz w:val="20"/>
        </w:rPr>
        <w:t>김민규 · 설영진 · 이승현 · 윤장혁(2025), 특허의 Problem-Solution 분석을 활용한 반도체 기술 동향분석, 지식재산연구, 제20권 1호, pp.145-175.</w:t>
      </w:r>
    </w:p>
    <w:p>
      <w:pPr>
        <w:spacing w:before="0" w:after="200" w:line="320" w:lineRule="exact"/>
        <w:ind w:left="0" w:right="0" w:firstLineChars="0" w:firstLine="0"/>
        <w:jc w:val="left"/>
      </w:pPr>
      <w:r>
        <w:rPr>
          <w:rFonts w:ascii="HY신명조" w:hAnsi="HY신명조" w:cs="HY신명조" w:eastAsia="HY신명조"/>
          <w:b w:val="0"/>
          <w:i w:val="0"/>
          <w:sz w:val="20"/>
        </w:rPr>
        <w:t>김영준(2023),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rPr>
        <w:t>김지혜(2025), “Kinex(키넥스) 다이 투 웨이퍼 하이브리드 본딩 통합 시스템,” 어플라이드 머티어리얼즈 홈페이지(보도자료, 2025. 11. 26.), https://www.appliedmaterials.com/kr/ko/newsroom/press-releases/251126-next-gen-semi-equipment-ko.html</w:t>
      </w:r>
    </w:p>
    <w:p>
      <w:pPr>
        <w:spacing w:before="0" w:after="200" w:line="320" w:lineRule="exact"/>
        <w:ind w:left="0" w:right="0" w:firstLineChars="0" w:firstLine="0"/>
        <w:jc w:val="left"/>
      </w:pPr>
      <w:r>
        <w:rPr>
          <w:rFonts w:ascii="HY신명조" w:hAnsi="HY신명조" w:cs="HY신명조" w:eastAsia="HY신명조"/>
          <w:b w:val="0"/>
          <w:i w:val="0"/>
          <w:sz w:val="20"/>
        </w:rPr>
        <w:t>김현경(2022),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rPr>
        <w:t>민성기(2023), 미중 디커플링과 AI 산업 기술공급망 분리: AI 반도체와 AI 소프트웨어를 중심으로, 중국과 중국학, 제48호, pp.51-75.</w:t>
      </w:r>
    </w:p>
    <w:p>
      <w:pPr>
        <w:spacing w:before="0" w:after="200" w:line="320" w:lineRule="exact"/>
        <w:ind w:left="0" w:right="0" w:firstLineChars="0" w:firstLine="0"/>
        <w:jc w:val="left"/>
      </w:pPr>
      <w:r>
        <w:rPr>
          <w:rFonts w:ascii="HY신명조" w:hAnsi="HY신명조" w:cs="HY신명조" w:eastAsia="HY신명조"/>
          <w:b w:val="0"/>
          <w:i w:val="0"/>
          <w:sz w:val="20"/>
        </w:rPr>
        <w:t>박지민(2019), 특허 데이터를 활용한 인공지능 반도체 트랜드 및 글로벌 기업 활동 분석, 연세대학교 기술경영학협동과정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오유진(2025),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오철(2024), 시스템 반도체 산업에서 미 · 중 경쟁과 한국의 AI 반도체 산업정책에 대한 시사점: 특허 데이터를 이용한 분석을 중심으로, 중국과 중국학, 제51호, pp.1-24.</w:t>
      </w:r>
    </w:p>
    <w:p>
      <w:pPr>
        <w:spacing w:before="0" w:after="200" w:line="320" w:lineRule="exact"/>
        <w:ind w:left="0" w:right="0" w:firstLineChars="0" w:firstLine="0"/>
        <w:jc w:val="left"/>
      </w:pPr>
      <w:r>
        <w:rPr>
          <w:rFonts w:ascii="HY신명조" w:hAnsi="HY신명조" w:cs="HY신명조" w:eastAsia="HY신명조"/>
          <w:b w:val="0"/>
          <w:i w:val="0"/>
          <w:sz w:val="20"/>
        </w:rPr>
        <w:t>우징원 · 남은영(2023), 중국 3세대 반도체 산업 발전이 한국에 주는 시사점, 한중사회과학연구, 제21권 4호, pp.81-109.</w:t>
      </w:r>
    </w:p>
    <w:p>
      <w:pPr>
        <w:spacing w:before="0" w:after="200" w:line="320" w:lineRule="exact"/>
        <w:ind w:left="0" w:right="0" w:firstLineChars="0" w:firstLine="0"/>
        <w:jc w:val="left"/>
      </w:pPr>
      <w:r>
        <w:rPr>
          <w:rFonts w:ascii="HY신명조" w:hAnsi="HY신명조" w:cs="HY신명조" w:eastAsia="HY신명조"/>
          <w:b w:val="0"/>
          <w:i w:val="0"/>
          <w:sz w:val="20"/>
        </w:rPr>
        <w:t>이승환(2025),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rPr>
        <w:t>이제환(2019), 특허 빅데이터 정량 분석을 이용한 기술 분석 연구, 고려대학교 공학대학원 지식재산학과 석사학위논문.</w:t>
      </w:r>
    </w:p>
    <w:p>
      <w:pPr>
        <w:spacing w:before="0" w:after="200" w:line="320" w:lineRule="exact"/>
        <w:ind w:left="0" w:right="0" w:firstLineChars="0" w:firstLine="0"/>
        <w:jc w:val="left"/>
      </w:pPr>
      <w:r>
        <w:rPr>
          <w:rFonts w:ascii="HY신명조" w:hAnsi="HY신명조" w:cs="HY신명조" w:eastAsia="HY신명조"/>
          <w:b w:val="0"/>
          <w:i w:val="0"/>
          <w:sz w:val="20"/>
        </w:rPr>
        <w:t>이종호 · 오철(2022), AI 반도체 산업의 기술발전 방향과 후발자의 추격 가능성에 대한 고찰: 미국 특허를 이용한 기술수명주기 분석을 중심으로, 한국혁신학회지, 제17권 3호, pp.113-133.</w:t>
      </w:r>
    </w:p>
    <w:p>
      <w:pPr>
        <w:spacing w:before="0" w:after="200" w:line="320" w:lineRule="exact"/>
        <w:ind w:left="0" w:right="0" w:firstLineChars="0" w:firstLine="0"/>
        <w:jc w:val="left"/>
      </w:pPr>
      <w:r>
        <w:rPr>
          <w:rFonts w:ascii="HY신명조" w:hAnsi="HY신명조" w:cs="HY신명조" w:eastAsia="HY신명조"/>
          <w:b w:val="0"/>
          <w:i w:val="0"/>
          <w:sz w:val="20"/>
        </w:rPr>
        <w:t>이찬우(2020), 중국 반도체 산업의 기술혁신 성과 분석: 파운드리 기업 SMIC의 특허 분석을 중심으로, 중국학연구, 제93집, pp.175-208.</w:t>
      </w:r>
    </w:p>
    <w:p>
      <w:pPr>
        <w:spacing w:before="0" w:after="200" w:line="320" w:lineRule="exact"/>
        <w:ind w:left="0" w:right="0" w:firstLineChars="0" w:firstLine="0"/>
        <w:jc w:val="left"/>
      </w:pPr>
      <w:r>
        <w:rPr>
          <w:rFonts w:ascii="HY신명조" w:hAnsi="HY신명조" w:cs="HY신명조" w:eastAsia="HY신명조"/>
          <w:b w:val="0"/>
          <w:i w:val="0"/>
          <w:sz w:val="20"/>
        </w:rPr>
        <w:t>장경윤(2025), “삼성전자, V10 낸드부터 中 YMTC 특허 쓴다,” 지디넷코리아, 2025. 2. 24., https://zdnet.co.kr/view/?no=20250213202429</w:t>
      </w:r>
    </w:p>
    <w:p>
      <w:pPr>
        <w:spacing w:before="0" w:after="200" w:line="320" w:lineRule="exact"/>
        <w:ind w:left="0" w:right="0" w:firstLineChars="0" w:firstLine="0"/>
        <w:jc w:val="left"/>
      </w:pPr>
      <w:r>
        <w:rPr>
          <w:rFonts w:ascii="HY신명조" w:hAnsi="HY신명조" w:cs="HY신명조" w:eastAsia="HY신명조"/>
          <w:b w:val="0"/>
          <w:i w:val="0"/>
          <w:sz w:val="20"/>
        </w:rPr>
        <w:t>지일용(2025), 특허 자료를 활용한 한국과 대만의 대표 파운드리 기업 간 반도체 공정기술 분야 기술경쟁력 및 차별성 비교 분석, 한국산학기술학회논문지, 제26권 6호, pp.841-851.</w:t>
      </w:r>
    </w:p>
    <w:p>
      <w:pPr>
        <w:spacing w:before="0" w:after="200" w:line="320" w:lineRule="exact"/>
        <w:ind w:left="0" w:right="0" w:firstLineChars="0" w:firstLine="0"/>
        <w:jc w:val="left"/>
      </w:pPr>
      <w:r>
        <w:rPr>
          <w:rFonts w:ascii="HY신명조" w:hAnsi="HY신명조" w:cs="HY신명조" w:eastAsia="HY신명조"/>
          <w:b w:val="0"/>
          <w:i w:val="0"/>
          <w:sz w:val="20"/>
        </w:rPr>
        <w:t>AMD(n.d.), “AMD 3D V-Cache™ Technology,” AMD 홈페이지, https://www.amd.com/en/products/processors/technologies/3d-v-cache.html</w:t>
      </w:r>
    </w:p>
    <w:p>
      <w:pPr>
        <w:spacing w:before="0" w:after="200" w:line="320" w:lineRule="exact"/>
        <w:ind w:left="0" w:right="0" w:firstLineChars="0" w:firstLine="0"/>
        <w:jc w:val="left"/>
      </w:pPr>
      <w:r>
        <w:rPr>
          <w:rFonts w:ascii="HY신명조" w:hAnsi="HY신명조" w:cs="HY신명조" w:eastAsia="HY신명조"/>
          <w:b w:val="0"/>
          <w:i w:val="0"/>
          <w:sz w:val="20"/>
        </w:rPr>
        <w:t>Applied Materials(2021), 2021 ICAPS and Packaging Master Class, Applied Materials 투자자 설명회 발표자료, 2021. 9. 8., https://ir.appliedmaterials.com/events/event-details/2021-icaps-and-packaging-master-class</w:t>
      </w:r>
    </w:p>
    <w:p>
      <w:pPr>
        <w:spacing w:before="0" w:after="200" w:line="320" w:lineRule="exact"/>
        <w:ind w:left="0" w:right="0" w:firstLineChars="0" w:firstLine="0"/>
        <w:jc w:val="left"/>
      </w:pPr>
      <w:r>
        <w:rPr>
          <w:rFonts w:ascii="HY신명조" w:hAnsi="HY신명조" w:cs="HY신명조" w:eastAsia="HY신명조"/>
          <w:b w:val="0"/>
          <w:i w:val="0"/>
          <w:sz w:val="20"/>
        </w:rPr>
        <w:t>BCG &amp; SIA(2024), Emerging Resilience in the Semiconductor Supply Chain, Boston Consulting Group · Semiconductor Industry Association, 2024. 5., https://www.semiconductors.org/wp-content/uploads/2024/05/Report_Emerging-Resilience-in-the-Semiconductor-Supply-Chain.pdf</w:t>
      </w:r>
    </w:p>
    <w:p>
      <w:pPr>
        <w:spacing w:before="0" w:after="200" w:line="320" w:lineRule="exact"/>
        <w:ind w:left="0" w:right="0" w:firstLineChars="0" w:firstLine="0"/>
        <w:jc w:val="left"/>
      </w:pPr>
      <w:r>
        <w:rPr>
          <w:rFonts w:ascii="HY신명조" w:hAnsi="HY신명조" w:cs="HY신명조" w:eastAsia="HY신명조"/>
          <w:b w:val="0"/>
          <w:i w:val="0"/>
          <w:sz w:val="20"/>
        </w:rPr>
        <w:t>Clancy, M.(2020), “Are Ideas Getting Harder to Find Because of the Burden of Knowledge?,” What's New Under the Sun, 2020. 6. 11., https://mattsclancy.substack.com/p/are-ideas-getting-harder-to-find</w:t>
      </w:r>
    </w:p>
    <w:p>
      <w:pPr>
        <w:spacing w:before="0" w:after="200" w:line="320" w:lineRule="exact"/>
        <w:ind w:left="0" w:right="0" w:firstLineChars="0" w:firstLine="0"/>
        <w:jc w:val="left"/>
      </w:pPr>
      <w:r>
        <w:rPr>
          <w:rFonts w:ascii="HY신명조" w:hAnsi="HY신명조" w:cs="HY신명조" w:eastAsia="HY신명조"/>
          <w:b w:val="0"/>
          <w:i w:val="0"/>
          <w:sz w:val="20"/>
        </w:rPr>
        <w:t>Davis, R. &amp; Olson, T.(2023), “Scaling Interconnect Densities: Meeting the Growing Demand for Chiplet Integration,” IMAPS 19th International Conference on Device Packaging(DPC 2023), Fountain Hills, AZ, IMAPSource Proceedings, https://doi.org/10.4071/001c.90161</w:t>
      </w:r>
    </w:p>
    <w:p>
      <w:pPr>
        <w:spacing w:before="0" w:after="200" w:line="320" w:lineRule="exact"/>
        <w:ind w:left="0" w:right="0" w:firstLineChars="0" w:firstLine="0"/>
        <w:jc w:val="left"/>
      </w:pPr>
      <w:r>
        <w:rPr>
          <w:rFonts w:ascii="HY신명조" w:hAnsi="HY신명조" w:cs="HY신명조" w:eastAsia="HY신명조"/>
          <w:b w:val="0"/>
          <w:i w:val="0"/>
          <w:sz w:val="20"/>
        </w:rPr>
        <w:t>Furman, J. L., Porter, M. E., &amp; Stern, S.(2000), “The Determinants of National Innovative Capacity,” NBER Working Paper, No.7876.</w:t>
      </w:r>
    </w:p>
    <w:p>
      <w:pPr>
        <w:spacing w:before="0" w:after="200" w:line="320" w:lineRule="exact"/>
        <w:ind w:left="0" w:right="0" w:firstLineChars="0" w:firstLine="0"/>
        <w:jc w:val="left"/>
      </w:pPr>
      <w:r>
        <w:rPr>
          <w:rFonts w:ascii="HY신명조" w:hAnsi="HY신명조" w:cs="HY신명조" w:eastAsia="HY신명조"/>
          <w:b w:val="0"/>
          <w:i w:val="0"/>
          <w:sz w:val="20"/>
        </w:rPr>
        <w:t>Jaffe, A. B. &amp; Trajtenberg, M.(1996), “Flows of Knowledge from Universities and Federal Laboratories: Modeling the Flow of Patent Citations over Time and across Institutional and Geographic Boundaries,” Proceedings of the National Academy of Sciences of the United States of America, Vol.93(23), pp.12671-12677.</w:t>
      </w:r>
    </w:p>
    <w:p>
      <w:pPr>
        <w:spacing w:before="0" w:after="200" w:line="320" w:lineRule="exact"/>
        <w:ind w:left="0" w:right="0" w:firstLineChars="0" w:firstLine="0"/>
        <w:jc w:val="left"/>
      </w:pPr>
      <w:r>
        <w:rPr>
          <w:rFonts w:ascii="HY신명조" w:hAnsi="HY신명조" w:cs="HY신명조" w:eastAsia="HY신명조"/>
          <w:b w:val="0"/>
          <w:i w:val="0"/>
          <w:sz w:val="20"/>
        </w:rPr>
        <w:t>Schaller, R. R.(1997), “Moore's Law: Past, Present and Future,” IEEE Spectrum, Vol.34(6), pp.52-59.</w:t>
      </w:r>
    </w:p>
    <w:p>
      <w:pPr>
        <w:spacing w:before="0" w:after="200" w:line="320" w:lineRule="exact"/>
        <w:ind w:left="0" w:right="0" w:firstLineChars="0" w:firstLine="0"/>
        <w:jc w:val="left"/>
      </w:pPr>
      <w:r>
        <w:rPr>
          <w:rFonts w:ascii="HY신명조" w:hAnsi="HY신명조" w:cs="HY신명조" w:eastAsia="HY신명조"/>
          <w:b w:val="0"/>
          <w:i w:val="0"/>
          <w:sz w:val="20"/>
        </w:rPr>
        <w:t>Tidd, J. &amp; Bessant, J.(2021), Managing Innovation: Integrating Technological, Market and Organizational Change, 7th ed., Hoboken, NJ : Wiley.</w:t>
      </w:r>
    </w:p>
    <w:p>
      <w:pPr>
        <w:spacing w:before="0" w:after="200" w:line="320" w:lineRule="exact"/>
        <w:ind w:left="0" w:right="0" w:firstLineChars="0" w:firstLine="0"/>
        <w:jc w:val="left"/>
      </w:pPr>
      <w:r>
        <w:rPr>
          <w:rFonts w:ascii="HY신명조" w:hAnsi="HY신명조" w:cs="HY신명조" w:eastAsia="HY신명조"/>
          <w:b w:val="0"/>
          <w:i w:val="0"/>
          <w:sz w:val="20"/>
        </w:rPr>
        <w:t>Yole Group(2024), Status of the Advanced Packaging Industry 2024, Yole Group, https://www.yolegroup.com/product/report/status-of-the-advanced-packaging-industry-2024/</w:t>
      </w:r>
    </w:p>
    <w:p>
      <w:pPr>
        <w:spacing w:before="0" w:after="200" w:line="320" w:lineRule="exact"/>
        <w:ind w:left="0" w:right="0" w:firstLineChars="0" w:firstLine="0"/>
        <w:jc w:val="left"/>
      </w:pPr>
      <w:r>
        <w:rPr>
          <w:rFonts w:ascii="HY신명조" w:hAnsi="HY신명조" w:cs="HY신명조" w:eastAsia="HY신명조"/>
          <w:b w:val="0"/>
          <w:i w:val="0"/>
          <w:sz w:val="20"/>
        </w:rPr>
        <w:t>Yoon, B. &amp; Park, Y.(2004), “A Text-Mining-Based Patent Network: Analytical Tool for High-Technology Trend,” The Journal of High Technology Management Research, Vol.15(1), pp.37-50.</w:t>
      </w:r>
    </w:p>
    <w:sectPr w:rsidR="00FC693F" w:rsidRPr="0006063C" w:rsidSect="00034616">
      <w:headerReference w:type="default" r:id="rId39"/>
      <w:footerReference w:type="default" r:id="rId40"/>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header" Target="header1.xml"/><Relationship Id="rId34" Type="http://schemas.openxmlformats.org/officeDocument/2006/relationships/footer" Target="footer1.xml"/><Relationship Id="rId35" Type="http://schemas.openxmlformats.org/officeDocument/2006/relationships/header" Target="header2.xml"/><Relationship Id="rId36" Type="http://schemas.openxmlformats.org/officeDocument/2006/relationships/footer" Target="footer2.xml"/><Relationship Id="rId37" Type="http://schemas.openxmlformats.org/officeDocument/2006/relationships/header" Target="header3.xml"/><Relationship Id="rId38" Type="http://schemas.openxmlformats.org/officeDocument/2006/relationships/footer" Target="footer3.xml"/><Relationship Id="rId39" Type="http://schemas.openxmlformats.org/officeDocument/2006/relationships/header" Target="header4.xml"/><Relationship Id="rId40"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