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Hybrid bonding patents show convergence of front-end and back-end process stages</w:t>
      </w:r>
    </w:p>
    <w:p>
      <w:pPr>
        <w:pStyle w:val="Compact"/>
        <w:numPr>
          <w:ilvl w:val="0"/>
          <w:numId w:val="1001"/>
        </w:numPr>
      </w:pPr>
      <w:r>
        <w:t xml:space="preserve">Integrated applications combining bonding and fabrication formed the largest group</w:t>
      </w:r>
    </w:p>
    <w:p>
      <w:pPr>
        <w:pStyle w:val="Compact"/>
        <w:numPr>
          <w:ilvl w:val="0"/>
          <w:numId w:val="1001"/>
        </w:numPr>
      </w:pPr>
      <w:r>
        <w:t xml:space="preserve">Convergence evolved through formation, diffusion, and reconfiguration phases</w:t>
      </w:r>
    </w:p>
    <w:p>
      <w:pPr>
        <w:pStyle w:val="Compact"/>
        <w:numPr>
          <w:ilvl w:val="0"/>
          <w:numId w:val="1001"/>
        </w:numPr>
      </w:pPr>
      <w:r>
        <w:t xml:space="preserve">The center of gravity of filings moved from fabrication processes toward bonding</w:t>
      </w:r>
    </w:p>
    <w:p>
      <w:pPr>
        <w:pStyle w:val="Compact"/>
        <w:numPr>
          <w:ilvl w:val="0"/>
          <w:numId w:val="1001"/>
        </w:numPr>
      </w:pPr>
      <w:r>
        <w:t xml:space="preserve">Core bonding technologies’ tie to fabrication processes weakened in later phases</w:t>
      </w:r>
    </w:p>
    <w:bookmarkEnd w:id="9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2026-10-13T05:42:41Z</dcterms:created>
  <dcterms:modified xsi:type="dcterms:W3CDTF">2026-10-13T05:42:41Z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