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접합·인터커넥트(H01L24)와 제조공정(H01L21)을 한 발명 안에서 함께 청구하는 통합형 특허를 경계를 넘는 특허로 정의하고, 이를 조립 단독형·공정 단독형과 구분한다. 통합형은 출원의 45.8%로 최빈 유형이며, 전공정 기술을 청구하는 출원은 63.6%에 이른다. 다항·이항 로짓 추정 결과, 기술범위가 경계 넘기의 가장 강한 상관요인이며(CPC 서브클래스 1개당 통합형 상대위험비 1.40, 전공정 청구 승산비 1.27), 순수 전공정 청구는 시간이 갈수록 줄었으나 통합형 청구는 비중을 유지했고, 출원청이 중요하였다. 중국 출원청 출원은 뚜렷하게 공정 지향적인 반면, 일본 출원청 출원은 거의 공정 단독형을 취하지 않는다.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Integrated applications are the modal type (45.8%), and 63.6% of applications claim front-end technology. Multinomial and binary logit estimates show that technological scope is the strongest correlate of boundary spanning (relative-risk ratio 1.40 for the integrated type and odds ratio 1.27 for any front-end claim, per additional CPC subclass), that pure front-end claiming has declined over time while integrated claiming has held its share, and that filing office matters: applications at the Chinese office are markedly more process-oriented, whereas those at the Japanese office almost never take a process-only form.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w:t>
      </w:r>
      <w:r>
        <w:t xml:space="preserve"> </w:t>
      </w:r>
      <w:r>
        <w:rPr>
          <w:i/>
          <w:iCs/>
        </w:rPr>
        <w:t xml:space="preserve">통합형(integrated)</w:t>
      </w:r>
      <w:r>
        <w:t xml:space="preserve"> </w:t>
      </w:r>
      <w:r>
        <w:t xml:space="preserve">청구가 출원의 45.8%로 최빈 유형이며, 전공정 기술을 청구하는 출원은 63.6%에 이른다. 둘째, 기술범위가 가장 강력한 상관요인이다. 특허가 걸치는 CPC 서브클래스가 하나 늘 때마다 통합형이 될 상대위험이 약 40% 높아지고(전공정 청구 승산은 약 27%), 넓은 특허는 통합형으로, 좁은 특허는 한 단계 특화형으로 이동한다. 시간이 갈수록</w:t>
      </w:r>
      <w:r>
        <w:t xml:space="preserve"> </w:t>
      </w:r>
      <w:r>
        <w:rPr>
          <w:i/>
          <w:iCs/>
        </w:rPr>
        <w:t xml:space="preserve">순수</w:t>
      </w:r>
      <w:r>
        <w:t xml:space="preserve"> </w:t>
      </w:r>
      <w:r>
        <w:t xml:space="preserve">전공정 청구의 비중은 줄었으나 통합형 청구는 조립 수준 청구 대비 비중을 유지하였다. 즉 융합은 경계를 넘는 청구의 단순 증가가 아니라 재구성(recomposition)의 형태로 진행되었다. 셋째, 출원청 효과가 산업 아키텍처 및 추격 양상과 부합하는 방식으로 나타난다. 중국 출원청 출원은 범위가 좁고 공정 단독형일 가능성이 훨씬 높으며, 일본 출원청 출원은 가장 넓고 사실상 공정 단독형이 없다.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담지하며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w:t>
      </w:r>
      <w:r>
        <w:t xml:space="preserve"> </w:t>
      </w:r>
      <w:r>
        <w:rPr>
          <w:i/>
          <w:iCs/>
        </w:rPr>
        <w:t xml:space="preserve">조직 경계</w:t>
      </w:r>
      <w:r>
        <w:t xml:space="preserve"> </w:t>
      </w:r>
      <w:r>
        <w:t xml:space="preserve">로, 어느 기업이 어느 단계를 직접 수행하는가를 묻는다. 반면 융합 문헌의 분석 단위는</w:t>
      </w:r>
      <w:r>
        <w:t xml:space="preserve"> </w:t>
      </w:r>
      <w:r>
        <w:rPr>
          <w:i/>
          <w:iCs/>
        </w:rPr>
        <w:t xml:space="preserve">지식·기술 기반</w:t>
      </w:r>
      <w:r>
        <w:t xml:space="preserve"> </w:t>
      </w:r>
      <w:r>
        <w:t xml:space="preserve">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w:t>
      </w:r>
      <w:r>
        <w:t xml:space="preserve"> </w:t>
      </w:r>
      <w:r>
        <w:rPr>
          <w:i/>
          <w:iCs/>
        </w:rPr>
        <w:t xml:space="preserve">기술적</w:t>
      </w:r>
      <w:r>
        <w:t xml:space="preserve"> </w:t>
      </w:r>
      <w:r>
        <w:t xml:space="preserve">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측정하는 셈이다.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w:t>
      </w:r>
      <w:r>
        <w:t xml:space="preserve"> </w:t>
      </w:r>
      <w:r>
        <w:rPr>
          <w:i/>
          <w:iCs/>
        </w:rPr>
        <w:t xml:space="preserve">경계를 넘는 특허</w:t>
      </w:r>
      <w:r>
        <w:t xml:space="preserve"> </w:t>
      </w:r>
      <w:r>
        <w:t xml:space="preserve">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w:t>
      </w:r>
      <w:r>
        <w:t xml:space="preserve"> </w:t>
      </w:r>
      <w:r>
        <w:rPr>
          <w:i/>
          <w:iCs/>
        </w:rPr>
        <w:t xml:space="preserve">전공정 지향(front-end orientation)</w:t>
      </w:r>
      <w:r>
        <w:t xml:space="preserve"> </w:t>
      </w:r>
      <w:r>
        <w:t xml:space="preserve">으로 따로 명명하여 경계 넘기와 구별한다.</w:t>
      </w:r>
    </w:p>
    <w:p>
      <w:pPr>
        <w:pStyle w:val="BodyText"/>
      </w:pPr>
      <w:r>
        <w:t xml:space="preserve">설명변수의 선정에는 두 갈래의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클래스에 걸치는 특허가 접합 클래스와 전공정 클래스를 함께 포함하는 통합형일 가능성이 더 높아야 한다. 이 메커니즘은 클래스가 많을수록 그중 하나가 H01L21일 가능성이 커진다는 점에서 부분적으로 기계적이지만, 동시에 전략적이기도 하다.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모든 기호는 H01L(반도체 장치) 아래에 있으며, 그 안에서 레코드는 본 연구에서 전/후공정 경계를 정의하는 두 클래스 H01L21과 H01L24로 나뉜다.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고유 CPC 서브클래스 기호의 수로, Lerner(1994)의 전통에 따른 기술범위의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배정하며, 통합형이 경계 넘기의 측정치다.</w:t>
      </w:r>
      <w:r>
        <w:t xml:space="preserve"> </w:t>
      </w:r>
      <w:r>
        <w:rPr>
          <w:i/>
          <w:iCs/>
        </w:rPr>
        <w:t xml:space="preserve">Has_process</w:t>
      </w:r>
      <w:r>
        <w:t xml:space="preserve"> </w:t>
      </w:r>
      <w:r>
        <w:t xml:space="preserve">는 출원이 H01L21 기호를 하나라도 보유하면 1인 이항 지표로, 통합형과 공정 단독형을 합한 전공정 지향의 측정치다. 두 변수는 역할이 다르다. 경계 넘기의 본 검정은</w:t>
      </w:r>
      <w:r>
        <w:t xml:space="preserve"> </w:t>
      </w:r>
      <w:r>
        <w:rPr>
          <w:i/>
          <w:iCs/>
        </w:rPr>
        <w:t xml:space="preserve">tech_cat</w:t>
      </w:r>
      <w:r>
        <w:t xml:space="preserve"> </w:t>
      </w:r>
      <w:r>
        <w:t xml:space="preserve">의 통합형 갈래이며,</w:t>
      </w:r>
      <w:r>
        <w:t xml:space="preserve"> </w:t>
      </w:r>
      <w:r>
        <w:rPr>
          <w:i/>
          <w:iCs/>
        </w:rPr>
        <w:t xml:space="preserve">has_process</w:t>
      </w:r>
      <w:r>
        <w:t xml:space="preserve"> </w:t>
      </w:r>
      <w:r>
        <w:t xml:space="preserve">는 전공정 기술이 청구되는지 여부만을 묻는 보조 지표다.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고유 CPC 서브클래스 기호 수(기술범위)</w:t>
            </w:r>
          </w:p>
        </w:tc>
        <w:tc>
          <w:tcPr/>
          <w:p>
            <w:pPr>
              <w:pStyle w:val="Compact"/>
            </w:pPr>
            <w:r>
              <w:t xml:space="preserve">카운트, 1–21</w:t>
            </w:r>
          </w:p>
        </w:tc>
      </w:tr>
      <w:tr>
        <w:tc>
          <w:tcPr/>
          <w:p>
            <w:pPr>
              <w:pStyle w:val="Compact"/>
            </w:pPr>
            <w:r>
              <w:t xml:space="preserve">tech_cat</w:t>
            </w:r>
          </w:p>
        </w:tc>
        <w:tc>
          <w:tcPr/>
          <w:p>
            <w:pPr>
              <w:pStyle w:val="Compact"/>
            </w:pPr>
            <w:r>
              <w:t xml:space="preserve">조립 단독형(H01L24만) / 통합형(둘 다 = 경계 넘기) / 공정 단독형(H01L21만)</w:t>
            </w:r>
          </w:p>
        </w:tc>
        <w:tc>
          <w:tcPr/>
          <w:p>
            <w:pPr>
              <w:pStyle w:val="Compact"/>
            </w:pPr>
            <w:r>
              <w:t xml:space="preserve">범주, 3</w:t>
            </w:r>
          </w:p>
        </w:tc>
      </w:tr>
      <w:tr>
        <w:tc>
          <w:tcPr/>
          <w:p>
            <w:pPr>
              <w:pStyle w:val="Compact"/>
            </w:pPr>
            <w:r>
              <w:t xml:space="preserve">has_process</w:t>
            </w:r>
          </w:p>
        </w:tc>
        <w:tc>
          <w:tcPr/>
          <w:p>
            <w:pPr>
              <w:pStyle w:val="Compact"/>
            </w:pPr>
            <w:r>
              <w:t xml:space="preserve">H01L21(제조공정) 기호를 하나라도 보유하면 1(전공정 지향), 아니면 0</w:t>
            </w:r>
          </w:p>
        </w:tc>
        <w:tc>
          <w:tcPr/>
          <w:p>
            <w:pPr>
              <w:pStyle w:val="Compact"/>
            </w:pPr>
            <w:r>
              <w:t xml:space="preserve">이항</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서브클래스(표준편차 4.07, 범위 1–21)다. 미국 출원청이 382건으로 가장 많고, 중국(175), PCT 경로(113), EPO(83), 대만(75), 한국(58), 일본(26), 기타(16)가 뒤를 잇는다. 그림 1은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w:t>
      </w:r>
      <w:r>
        <w:t xml:space="preserve"> </w:t>
      </w:r>
      <w:r>
        <w:rPr>
          <w:i/>
          <w:iCs/>
        </w:rPr>
        <w:t xml:space="preserve">tech_cat</w:t>
      </w:r>
      <w:r>
        <w:t xml:space="preserve"> </w:t>
      </w:r>
      <w:r>
        <w:t xml:space="preserve">을 모형화하고 상대위험비(RRR)로 보고하여, 통합형(경계 넘기)과 공정 단독형을 동일한 기준 범주 대비로 해석할 수 있게 한다. 이것이 H1과 H2의 본 검정이다. 이에 앞서 이항 로짓은 기술범위, 연도 추세, 출원청으로</w:t>
      </w:r>
      <w:r>
        <w:t xml:space="preserve"> </w:t>
      </w:r>
      <w:r>
        <w:rPr>
          <w:i/>
          <w:iCs/>
        </w:rPr>
        <w:t xml:space="preserve">has_process</w:t>
      </w:r>
      <w:r>
        <w:t xml:space="preserve"> </w:t>
      </w:r>
      <w:r>
        <w:t xml:space="preserve">(전공정 지향)를 예측하며, 승산비(OR)로 보고하고 ROC 곡선 하면적(AUC)으로 평가한다(Hosmer et al., 2013). 이항 로짓은 전공정 기술이 청구되는지만을 묻는 단순한 명세로서 다항 결과의 예비 점검 역할을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38"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분야가 성숙하면서 범위가 넓어졌다. 연도 추세의 발생률비(IRR)는 1.014로, 서브클래스 수가 연간 약 1.4%씩 증가한다.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2는 모형이 함의하는 출원청별 예측 기술범위를 도시한다. 일본 출원청 출원이 더 넓다는 H3b의 범위 성분은 10% 수준에서 지지되며,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출원청별 예측 기술범위(음이항, 다른 공변량은 평균; 95% 신뢰구간).</w:t>
      </w:r>
    </w:p>
    <w:bookmarkEnd w:id="28"/>
    <w:bookmarkStart w:id="32" w:name="전공정-지향-이항-로짓"/>
    <w:p>
      <w:pPr>
        <w:pStyle w:val="Heading3"/>
      </w:pPr>
      <w:r>
        <w:t xml:space="preserve">5.2 전공정 지향: 이항 로짓</w:t>
      </w:r>
    </w:p>
    <w:p>
      <w:pPr>
        <w:pStyle w:val="FirstParagraph"/>
      </w:pPr>
      <w:r>
        <w:t xml:space="preserve">표 4는 전공정 지향(</w:t>
      </w:r>
      <w:r>
        <w:rPr>
          <w:i/>
          <w:iCs/>
        </w:rPr>
        <w:t xml:space="preserve">has_process</w:t>
      </w:r>
      <w:r>
        <w:t xml:space="preserve">)에 대한 이항 로짓을 보고한다. 기술범위가 가장 강력한 예측변수다. CPC 서브클래스가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3).</w:t>
      </w:r>
    </w:p>
    <w:p>
      <w:pPr>
        <w:pStyle w:val="BodyText"/>
      </w:pPr>
      <w:r>
        <w:rPr>
          <w:b/>
          <w:bCs/>
        </w:rPr>
        <w:t xml:space="preserve">표 4.</w:t>
      </w:r>
      <w:r>
        <w:t xml:space="preserve"> </w:t>
      </w:r>
      <w:r>
        <w:t xml:space="preserve">전공정 지향의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전공정 지향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분리하며, 경계 넘기(통합형)에 대한 본 검정이다. 조립 단독형 대비로 읽으면, 기술범위는 특허를 통합형으로 밀고(RRR 1.403, p &lt; 0.01) 공정 단독형에서 멀어지게 한다(RRR 0.905, p &lt; 0.05). 넓은 특허는 두 단계에 걸치고, 좁은 특허는 한 단계에 특화한다. H1은 지지된다.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평탄하다(RRR 0.993, 비유의). 따라서 줄어든 것은 순수 전공정 청구이지 경계 넘기가 아니다. 통합형 청구는 기간 내내 조립 수준 청구 대비 비중을 유지하였다. 이는 H2가 예상한 패턴이며 이항 로짓의 결과를 정교화한다. 표 4의 음의 연도 계수는 공정 단독형 발명의 소멸을 반영하는 것이지 경계로부터의 후퇴가 아니다.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갈래에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갈래의 출원청 계수는 어느 것도 유의하지 않다. 범위와 시점을 통제하면 경계를 넘는 특허를 출원하는 성향은 출원청 간에 체계적으로 다르지 않다. 그림 4는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H3a와 H3b의 전략 성분이 지지된다.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 전략의 예측 확률(다항 로짓, 다른 공변량은 평균; 95% 신뢰구간).</w:t>
      </w:r>
    </w:p>
    <w:bookmarkEnd w:id="36"/>
    <w:bookmarkStart w:id="37" w:name="가설-검정-요약과-강건성"/>
    <w:p>
      <w:pPr>
        <w:pStyle w:val="Heading3"/>
      </w:pPr>
      <w:r>
        <w:t xml:space="preserve">5.4 가설 검정 요약과 강건성</w:t>
      </w:r>
    </w:p>
    <w:p>
      <w:pPr>
        <w:pStyle w:val="FirstParagraph"/>
      </w:pPr>
      <w:r>
        <w:t xml:space="preserve">표 6은 가설 검정 결과를 요약한다. H1은 다항 로짓의 통합형 갈래에서 지지되며 이항 로짓도 같은 방향이다. H2도 지지되어, 공정 단독형 청구는 감소하는 반면 통합형 청구는 비중을 유지한다. H3a는 두 명세 모두에서 지지되고, H3b는 공정 단독형 형태에 대해(강하게) 그리고 기술범위에 대해(10% 수준에서) 지지되며, 이항 로짓의 일본 계수는 기대 방향이지만 부정확하다.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넘기(통합형)</w:t>
            </w:r>
          </w:p>
        </w:tc>
        <w:tc>
          <w:tcPr/>
          <w:p>
            <w:pPr>
              <w:pStyle w:val="Compact"/>
            </w:pPr>
            <w:r>
              <w:rPr>
                <w:b/>
                <w:bCs/>
              </w:rPr>
              <w:t xml:space="preserve">본 검정:</w:t>
            </w:r>
            <w:r>
              <w:t xml:space="preserve"> </w:t>
            </w:r>
            <w:r>
              <w:t xml:space="preserve">RRR 통합형 1.403***, 공정 단독형 0.905**(표 5); 보조: 전공정 지향 OR 1.267***(표 4)</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RRR 공정 단독형 연간 0.913***; RRR 통합형 0.993(비유의)</w:t>
            </w:r>
          </w:p>
        </w:tc>
        <w:tc>
          <w:tcPr/>
          <w:p>
            <w:pPr>
              <w:pStyle w:val="Compact"/>
            </w:pPr>
            <w:r>
              <w:t xml:space="preserve">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RRR 공정 단독형 2.687***(표 5); 전공정 지향 OR 1.650**(표 4);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RRR 공정 단독형 0.086***(표 5); OR 0.483(비유의)(표 4)</w:t>
            </w:r>
          </w:p>
        </w:tc>
        <w:tc>
          <w:tcPr/>
          <w:p>
            <w:pPr>
              <w:pStyle w:val="Compact"/>
            </w:pPr>
            <w:r>
              <w:t xml:space="preserve">대체로 지지</w:t>
            </w:r>
          </w:p>
        </w:tc>
      </w:tr>
    </w:tbl>
    <w:p>
      <w:pPr>
        <w:pStyle w:val="BodyText"/>
      </w:pPr>
      <w:r>
        <w:t xml:space="preserve">결과의 강건성과 관련하여 세 가지를 점검하였다. 첫째, 카운트 모형의 선택이 범위 결과를 좌우하지 않는다. 연도와 중국 출원청 효과의 부호와 유의성은 OLS, 로버스트 OLS, Poisson, 음이항 명세에서 동일하며(표 3), 표준오차가 보정되면서 정밀도를 잃는 것은 일본 출원청 계수뿐이고, 이 때문에 이를 10% 수준에서 보고한다. 둘째, 2023–2024년의 출원 감소는 공개 시차의 인공물이다. 연도 추세가 1968–2024년 전 기간에 걸쳐 추정되고 모형이 연도를 선형으로 통제하므로, 절단은 추정 추세의 방향보다 최근 카운트의 수준에 영향을 미친다. 다만 공정 단독형의 감소를 절단된 연도까지 외삽하지는 않는다. 셋째, 다항 결과는 무관 대안의 독립성 가정에 따라 조립 단독형 기준 대비 상대적 경향으로 읽으며, 그 가정을 요구하지 않는 이항 로짓이 범위·시간·중국 출원청에 대해 같은 질적 결론을 준다. 넷째, 공정 단독형의 시간적 감소에는 기술 변화 외에 분류 관행의 변화라는 경쟁 설명이 있다. 하이브리드 본딩 전용 인덱싱 코드(예: H01L2224/08145)가 도입·정착되면서 과거에는 H01L21로만 분류되던 접합 발명이 이후에는 H01L24 계열 코드를 함께 받게 되었다면, 공정 단독형의 감소는 발명 내용의 변화가 아니라 분류 체계의 변화를 반영한다. CPC는 기존 문헌에도 소급 적용되므로 이 효과의 방향은 단정하기 어려우나, 본 연구의 자료로는 두 설명을 분리할 수 없다. 재구성 해석은 이 유보 아래 제시한다.</w:t>
      </w:r>
    </w:p>
    <w:bookmarkEnd w:id="37"/>
    <w:bookmarkEnd w:id="38"/>
    <w:bookmarkStart w:id="42" w:name="논의"/>
    <w:p>
      <w:pPr>
        <w:pStyle w:val="Heading2"/>
      </w:pPr>
      <w:r>
        <w:t xml:space="preserve">6. 논의</w:t>
      </w:r>
    </w:p>
    <w:bookmarkStart w:id="39"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w:t>
      </w:r>
      <w:r>
        <w:t xml:space="preserve"> </w:t>
      </w:r>
      <w:r>
        <w:rPr>
          <w:i/>
          <w:iCs/>
        </w:rPr>
        <w:t xml:space="preserve">조직적</w:t>
      </w:r>
      <w:r>
        <w:t xml:space="preserve"> </w:t>
      </w:r>
      <w:r>
        <w:t xml:space="preserve">통합이 지속되었다는 사실이고, 본 연구가 보인 것은 그 통합의</w:t>
      </w:r>
      <w:r>
        <w:t xml:space="preserve"> </w:t>
      </w:r>
      <w:r>
        <w:rPr>
          <w:i/>
          <w:iCs/>
        </w:rPr>
        <w:t xml:space="preserve">기술적</w:t>
      </w:r>
      <w:r>
        <w:t xml:space="preserve"> </w:t>
      </w:r>
      <w:r>
        <w:t xml:space="preserve">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상승할 것으로 예측하게 된다. 그러나 결과는 그렇지 않았다. 통합형 청구는 비중을 유지하였고 순수 전공정 청구가 감소하였다. 이 패턴은</w:t>
      </w:r>
      <w:r>
        <w:t xml:space="preserve"> </w:t>
      </w:r>
      <w:r>
        <w:rPr>
          <w:i/>
          <w:iCs/>
        </w:rPr>
        <w:t xml:space="preserve">재구성(recomposition)</w:t>
      </w:r>
      <w:r>
        <w:t xml:space="preserve"> </w:t>
      </w:r>
      <w:r>
        <w:t xml:space="preserve">으로 더 잘 기술된다. 기술 생애의 초기에 중요했던 발명은 평탄화, 표면 활성화, 어닐링 등 제조 단계에 관한 것이었고 공정 발명으로 청구되었다. 기술이 성숙하여 W2W에서 D2W 응용으로 이동하면서 발명은 접합 구조와 통합 적층으로 옮겨갔고, 공정 지식은 특허</w:t>
      </w:r>
      <w:r>
        <w:t xml:space="preserve"> </w:t>
      </w:r>
      <w:r>
        <w:rPr>
          <w:i/>
          <w:iCs/>
        </w:rPr>
        <w:t xml:space="preserve">그 자체</w:t>
      </w:r>
      <w:r>
        <w:t xml:space="preserve"> </w:t>
      </w:r>
      <w:r>
        <w:t xml:space="preserve">에서 특허가</w:t>
      </w:r>
      <w:r>
        <w:t xml:space="preserve"> </w:t>
      </w:r>
      <w:r>
        <w:rPr>
          <w:i/>
          <w:iCs/>
        </w:rPr>
        <w:t xml:space="preserve">포함하는 것</w:t>
      </w:r>
      <w:r>
        <w:t xml:space="preserve"> </w:t>
      </w:r>
      <w:r>
        <w:t xml:space="preserve">이 되었다. 이는 Hacklin et al.(2009)의 공진화 논리를 단일 기술 안에서 관찰한 것이다. 융합은 더 많은 특허가 경계를 넘음으로써가 아니라 특허의 경계 넘는 내용이 형태를 바꿈으로써 진행된다. 이는 이항 모형의 음(−)의 연도 계수를 전공정으로부터의 후퇴로 읽어서는 안 되는 이유이기도 하다.</w:t>
      </w:r>
    </w:p>
    <w:p>
      <w:pPr>
        <w:pStyle w:val="BodyText"/>
      </w:pPr>
      <w:r>
        <w:rPr>
          <w:i/>
          <w:iCs/>
        </w:rPr>
        <w:t xml:space="preserve">산업 아키텍처와 추격이 청구에 남기는 흔적.</w:t>
      </w:r>
      <w:r>
        <w:t xml:space="preserve"> </w:t>
      </w:r>
      <w:r>
        <w:t xml:space="preserve">네 번째 함의는 특허 수준 결과를 전략 문헌과 연결하되, 관할권 변수가 출원청이지 출원인 국적이 아니라는 제4.2절의 단서 안에서 읽어야 한다. 관할권 대비는 공정 단독형 갈래에 집중되어 있으며 제2.4절에서 제시한 해석과 부합한다. 중국 출원청 출원은 범위가 좁고 공정 단독형에 편중되어 있다. 이는 통합된 적층 전체를 청구하기 전에 특정 제조 단계를 내재화하는 추격 자세의 프로필과 부합하며(Lee and Lim, 2001), 중국 특허의 양적 팽창이 보조금과 추격 동학에 의해 형성되어 왔다는 증거(Hu and Jefferson, 2009; Dang and Motohashi, 2015)와도 일관된다. 다만 이는 결과와 부합하는 한 가지 해석이다. 중국 출원청에는 외국 기업이 중국 시장 보호를 위해 제출한 2차 출원이 다수 포함되며, 이러한 패밀리 구성원 출원은 통상 원출원보다 범위가 좁게 정리되므로, 좁고 공정 단독형인 프로필의 일부는 외국 출원인의 방어적 출원 관행과 중국 심사 관행에서 비롯되었을 수 있다. 두 해석을 가르려면 출원인 국적 또는 우선권 출원청 기준의 재추정이 필요하다(제6.3절). 일본 출원청 출원은 넓고 사실상 공정 단독형이 없다. 이는 단일 단계 주변이 아니라 전체 공정 흐름에 걸쳐 특허를 내는 장비·소재 공급사의 강점(Langlois and Steinmueller, 1999) 및 1988년 개혁 이후의 다항 청구 관행(Sakakibara and Branstetter, 2001)과 부합한다. 한국과 대만은 범위와 통합형 갈래에서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39"/>
    <w:bookmarkStart w:id="40"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넓고 통합 지향적이며 공정 단독형이 없는 일본 출원청의 프로필이 전·후공정 인터페이스에서의 차별적이고 방어 가능한 위치를 시사한다.</w:t>
      </w:r>
    </w:p>
    <w:p>
      <w:pPr>
        <w:pStyle w:val="BodyText"/>
      </w:pPr>
      <w:r>
        <w:t xml:space="preserve">정책에 대해서는 관할권 대비가 시사적이다. 중국 출원청 프로필은, 추격 해석을 취할 경우, 단계별로 진행되는 추격 전략과 부합한다. 이러한 전략은 제조 역량의 내재화에는 효과적이지만 통합형 청구를 타국 출원인에게 남겨 둔다. 특허 건수를 보상하는 산업정책(Dang and Motohashi, 2015)은 이 패턴을 강화할 것이다. 한국 출원청 계수는 어느 모형에서도 유의하지 않으므로,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0"/>
    <w:bookmarkStart w:id="41"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고정효과를 넣을 수 있으며, 이는 본 연구의 모든 비교를 보다 정밀하게 할 것이다. 둘째, 추정치는 연관적이다. 범위와 전략은 공동 결정될 개연성이 있고, 데이터에 신뢰할 만한 도구변수가 없어 인과 식별을 시도하지 않는다. 특히 기술범위와 통합형 사이의 연관에는 구성상의 요소가 있다. 통합형은 정의상 H01L21과 H01L24를 모두 보유하므로 기술범위가 2 이상이며, 두 클래스를 제외한 기술범위로 재추정하여 이 기계적 성분을 분리하는 것이 후속 과제다. 또한 공정 단독형의 시간적 감소가 분류 관행의 변화를 반영할 가능성(제5.4절)은 2010년 이후 하위표본과 기간 더미를 이용한 재추정, 그리고 기간별 세 유형 비중의 직접 비교로 점검할 필요가 있다.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1"/>
    <w:bookmarkEnd w:id="42"/>
    <w:bookmarkStart w:id="43"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최빈 발명은 두 단계를 한 발명 안에 통합하는 유형(45.8%)이며 제조공정 기술을 청구하는 출원은 63.6%에 이른다. 경계 넘기는 기술범위와 강하게 연관되고, 시간이 갈수록 경계를 넘는 청구의 단조 증가가 아니라 순수 전공정 청구가 통합형 청구로 대체되는 재구성을 통해 진행되었으며, 산업 아키텍처와 추격의 흔적을 지닌다. 중국 출원청 출원은 좁고 공정 지향적이며, 일본 출원청 출원은 넓고 통합 지향적이다.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3"/>
    <w:bookmarkStart w:id="44"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2026-09-23T23:57:49Z</dcterms:created>
  <dcterms:modified xsi:type="dcterms:W3CDTF">2026-09-23T23:57:49Z</dcterms:modified>
</cp:coreProperties>
</file>

<file path=docProps/custom.xml><?xml version="1.0" encoding="utf-8"?>
<Properties xmlns="http://schemas.openxmlformats.org/officeDocument/2006/custom-properties" xmlns:vt="http://schemas.openxmlformats.org/officeDocument/2006/docPropsVTypes"/>
</file>