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반도체-하이브리드-본딩-특허를-통한-공정-단계-간-기술융합의-동태적-분석"/>
    <w:p>
      <w:pPr>
        <w:pStyle w:val="Heading1"/>
      </w:pPr>
      <w:r>
        <w:t xml:space="preserve">반도체 하이브리드 본딩 특허를 통한 공정 단계 간 기술융합의 동태적 분석</w:t>
      </w:r>
    </w:p>
    <w:p>
      <w:pPr>
        <w:pStyle w:val="FirstParagraph"/>
      </w:pPr>
      <w:r>
        <w:rPr>
          <w:b/>
          <w:bCs/>
        </w:rPr>
        <w:t xml:space="preserve">A dynamic analysis of cross-stage technological convergence through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표면 평탄화와 표면 처리 등 전공정의 제조공정 역량이 뒷받침되어야 요구 성능을 확보할 수 있다는 점에서, 공정 단계 간 기술융합을 대표하는 사례로 볼 수 있다. 본 연구는 하이브리드 본딩 특허를 대상으로 공정 단계 간 기술융합의 수준과 유형, 그 시간적 변화, 그리고 융합의 구조적 중심 변화를 분석하였다.</w:t>
      </w:r>
    </w:p>
    <w:p>
      <w:pPr>
        <w:pStyle w:val="BodyText"/>
      </w:pPr>
      <w:r>
        <w:t xml:space="preserve">이를 위해 유럽특허청 PATSTAT에서 하이브리드 본딩 관련 특허출원을 추출하고, 각 출원에 부여된 CPC 기호를 바탕으로 접합·인터커넥트 분류만 부여된 접합 단독형, 제조공정 분류만 부여된 공정 단독형, 두 분류가 함께 부여된 통합형으로 유형화하였다. 두 분류의 공동분류를 공정 단계 간 기술융합의 대리지표로 사용하였으며, 다항 로짓과 이항 로짓 분석에 기술 클러스터 및 기술 네트워크 분석을 결합하였다.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Front-end wafer fabrication and back-end assembly have long been treated as separate domains of semiconductor manufacturing. Hybrid bonding, although a back-end bonding technology, cannot achieve its required performance without front-end fabrication capabilities such as surface planarisation and surface treatment, which makes it a representative case of convergence between process stages. This study analyses hybrid bonding patents to examine the level and types of cross-stage technological convergence, its change over time and the shift in its structural centre.</w:t>
      </w:r>
    </w:p>
    <w:p>
      <w:pPr>
        <w:pStyle w:val="BodyText"/>
      </w:pPr>
      <w:r>
        <w:t xml:space="preserve">Hybrid-bonding-related patent applications were extracted from EPO PATSTAT and, on the basis of their CPC symbols, classified as bonding-only (bonding and interconnect classification only), process-only (fabrication-process classification only) or integrated (both). Co-classification in the two classifications served as a proxy for cross-stage convergence, and multinomial and binary logit models were combined with technology cluster and network analyses.</w:t>
      </w:r>
    </w:p>
    <w:p>
      <w:pPr>
        <w:pStyle w:val="BodyText"/>
      </w:pPr>
      <w:r>
        <w:t xml:space="preserve">The results are as follows. First, integrated applications formed the largest group and retained a substantial share under a narrower definition that excludes packaging-stage processes, showing that cross-stage convergence is not exceptional; applications covering more diverse technical elements were also more likely to be integrated. Second, the level and form of convergence changed over three phases—a formation phase dominated by process-only applications, a diffusion phase in which integrated applications peaked, and a reconfiguration phase in which integrated applications declined and bonding-only applications increased—while the centre of gravity of filings moved from fabrication processes towards bonding. Third, applications containing the core bonding technologies identified through cluster and network analysis were far more likely to carry fabrication-process symbols in the formation phase, but this difference narrowed over time and was no longer statistically significant in the reconfiguration phase; the centre of the fabrication processes combined with bonding also moved from wafer fabrication to processing apparatus and packaging-stage processes.</w:t>
      </w:r>
    </w:p>
    <w:p>
      <w:pPr>
        <w:pStyle w:val="BodyText"/>
      </w:pPr>
      <w:r>
        <w:t xml:space="preserve">These findings suggest that cross-stage technological convergence is not a linear expansion but a dynamic process in which its content and centre are reorganised across phases, consistent with the entrenchment of the core design.</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직면하였다(그림 1).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이러한 분석 틀을 바탕으로, 본 논문은 다음 세 가지 연구 질문(RQ1–RQ3)에 답함으로써 학술적 기여를 제공하고자 한다. 첫째(RQ1), 하이브리드 본딩 기술에서 제조공정과 접합 기술 간의 융합이 어느 정도로, 어떠한 형태로 나타나는지를 분석하여,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w:t>
      </w:r>
    </w:p>
    <w:p>
      <w:pPr>
        <w:pStyle w:val="BodyText"/>
      </w:pPr>
      <w:r>
        <w:t xml:space="preserve">둘째(RQ2), 공정 간 기술융합의 수준과 형태가 시간에 따라 어떻게 변화하는지를 살펴,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w:t>
      </w:r>
    </w:p>
    <w:p>
      <w:pPr>
        <w:pStyle w:val="BodyText"/>
      </w:pPr>
      <w:r>
        <w:t xml:space="preserve">셋째(RQ3), 공정 간 기술융합의 중심이 핵심 기술과 주변 기술 사이에서 어떻게 변화하는지를 살펴,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4"/>
    <w:bookmarkStart w:id="19" w:name="이론적-배경"/>
    <w:p>
      <w:pPr>
        <w:pStyle w:val="Heading2"/>
      </w:pPr>
      <w:r>
        <w:t xml:space="preserve">2. 이론적 배경</w:t>
      </w:r>
    </w:p>
    <w:bookmarkStart w:id="15"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5"/>
    <w:bookmarkStart w:id="16"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6"/>
    <w:bookmarkStart w:id="17"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 변화하는지(RQ2), 그리고 융합의 중심이 핵심 기술과 주변 기술 사이에서 어떻게 이동하는지(RQ3)를 분석한다.</w:t>
      </w:r>
    </w:p>
    <w:bookmarkEnd w:id="17"/>
    <w:bookmarkStart w:id="18"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RQ1에서는 공정 단계 간 융합의 수준과 함께 기술적 다양성과 통합형의 관계를 분석한다.</w:t>
      </w:r>
    </w:p>
    <w:bookmarkEnd w:id="18"/>
    <w:bookmarkEnd w:id="19"/>
    <w:bookmarkStart w:id="28"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23"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2는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bookmarkEnd w:id="23"/>
    <w:bookmarkStart w:id="27"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2의 기반 공정은 주로 제조공정 클래스(H01L21)와, 접합 형태 및 인터커넥트 구성은 주로 접합·인터커넥트 클래스(H01L24)와 대응한다. 이러한 상호의존은 실제 공정 흐름에서도 확인할 수 있다. 그림 3은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5" name="Picture"/>
            <a:graphic>
              <a:graphicData uri="http://schemas.openxmlformats.org/drawingml/2006/picture">
                <pic:pic>
                  <pic:nvPicPr>
                    <pic:cNvPr descr="figures/fig_d2w_flow_amat_ko.png" id="26" name="Picture"/>
                    <pic:cNvPicPr>
                      <a:picLocks noChangeArrowheads="1" noChangeAspect="1"/>
                    </pic:cNvPicPr>
                  </pic:nvPicPr>
                  <pic:blipFill>
                    <a:blip r:embed="rId24"/>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7"/>
    <w:bookmarkEnd w:id="28"/>
    <w:bookmarkStart w:id="40" w:name="자료와-방법"/>
    <w:p>
      <w:pPr>
        <w:pStyle w:val="Heading2"/>
      </w:pPr>
      <w:r>
        <w:t xml:space="preserve">4. 자료와 방법</w:t>
      </w:r>
    </w:p>
    <w:bookmarkStart w:id="29"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원자료에는 공식 특허 패밀리 식별자가 없어 패밀리 단위의 중복을 직접 제거할 수 없으며, 따라서 동일한 발명이 여러 국가에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9"/>
    <w:bookmarkStart w:id="30"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30"/>
    <w:bookmarkStart w:id="34"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4는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32" name="Picture"/>
            <a:graphic>
              <a:graphicData uri="http://schemas.openxmlformats.org/drawingml/2006/picture">
                <pic:pic>
                  <pic:nvPicPr>
                    <pic:cNvPr descr="figures/fig2_applications_by_year_ko.png" id="33" name="Picture"/>
                    <pic:cNvPicPr>
                      <a:picLocks noChangeArrowheads="1" noChangeAspect="1"/>
                    </pic:cNvPicPr>
                  </pic:nvPicPr>
                  <pic:blipFill>
                    <a:blip r:embed="rId31"/>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후 공개까지의 시차가 영향을 미쳤을 가능성이 크다.</w:t>
      </w:r>
    </w:p>
    <w:bookmarkEnd w:id="34"/>
    <w:bookmarkStart w:id="38"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RQ3을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동시에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5는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6" name="Picture"/>
            <a:graphic>
              <a:graphicData uri="http://schemas.openxmlformats.org/drawingml/2006/picture">
                <pic:pic>
                  <pic:nvPicPr>
                    <pic:cNvPr descr="figures/fig_core_network_ko.png" id="37" name="Picture"/>
                    <pic:cNvPicPr>
                      <a:picLocks noChangeArrowheads="1" noChangeAspect="1"/>
                    </pic:cNvPicPr>
                  </pic:nvPicPr>
                  <pic:blipFill>
                    <a:blip r:embed="rId35"/>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8"/>
    <w:bookmarkStart w:id="39"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rPr>
        <w:t xml:space="preserve">표 6.</w:t>
      </w:r>
      <w:r>
        <w:t xml:space="preserve"> </w:t>
      </w:r>
      <w: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로짓(RQ1·RQ2 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로짓(RQ1·RQ2).</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출원과 비교하여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RQ1(기술범위와 통합형)과 RQ2(출원연도와 공정 단독형)의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로짓(RQ3).</w:t>
      </w:r>
      <w:r>
        <w:t xml:space="preserve"> </w:t>
      </w:r>
      <w:r>
        <w:t xml:space="preserve">핵심 기술은 접합 기호이므로 공정 단독형 출원은 정의상 핵심 기술을 보유할 수 없다. 따라서 RQ3은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 핵심 기호를 제외한 접합 기호 수를 통제한 결과는 제5.4절에 제시한다.</w:t>
      </w:r>
    </w:p>
    <w:p>
      <w:pPr>
        <w:pStyle w:val="BodyText"/>
      </w:pPr>
      <w:r>
        <w:rPr>
          <w:b/>
          <w:bCs/>
        </w:rPr>
        <w:t xml:space="preserve">융합의 보조 지표.</w:t>
      </w:r>
      <w:r>
        <w:t xml:space="preserve"> </w:t>
      </w:r>
      <w:r>
        <w:t xml:space="preserve">RQ3에서 분석하는 융합의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9"/>
    <w:bookmarkEnd w:id="40"/>
    <w:bookmarkStart w:id="51" w:name="결과"/>
    <w:p>
      <w:pPr>
        <w:pStyle w:val="Heading2"/>
      </w:pPr>
      <w:r>
        <w:t xml:space="preserve">5. 결과</w:t>
      </w:r>
    </w:p>
    <w:p>
      <w:pPr>
        <w:pStyle w:val="FirstParagraph"/>
      </w:pPr>
      <w:r>
        <w:t xml:space="preserve">본 절에서는 RQ1–RQ3의 순서에 따라 분석 결과를 제시하고(제5.1–5.3절), 제5.4절에서 결과의 강건성을 검증한다.</w:t>
      </w:r>
    </w:p>
    <w:bookmarkStart w:id="44"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rPr>
        <w:t xml:space="preserve">표 7.</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6은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6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42" name="Picture"/>
            <a:graphic>
              <a:graphicData uri="http://schemas.openxmlformats.org/drawingml/2006/picture">
                <pic:pic>
                  <pic:nvPicPr>
                    <pic:cNvPr descr="figures/fig_pred_types_v37_ko.png" id="43" name="Picture"/>
                    <pic:cNvPicPr>
                      <a:picLocks noChangeArrowheads="1" noChangeAspect="1"/>
                    </pic:cNvPicPr>
                  </pic:nvPicPr>
                  <pic:blipFill>
                    <a:blip r:embed="rId4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기술범위(왼쪽)와 출원연도(오른쪽)에 따른 공동분류 유형별 예측확률(다항 로짓; 다른 변수는 각 출원의 관측값으로 고정한 후 평균).</w:t>
      </w:r>
    </w:p>
    <w:p>
      <w:pPr>
        <w:pStyle w:val="BodyText"/>
        <w:keepNext/>
      </w:pPr>
      <w:r>
        <w:rPr>
          <w:b/>
          <w:bCs/>
        </w:rPr>
        <w:t xml:space="preserve">표 8.</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4"/>
    <w:bookmarkStart w:id="48" w:name="기술융합의-시간적-변화-rq2"/>
    <w:p>
      <w:pPr>
        <w:pStyle w:val="Heading3"/>
      </w:pPr>
      <w:r>
        <w:t xml:space="preserve">5.2 기술융합의 시간적 변화 (RQ2)</w:t>
      </w:r>
    </w:p>
    <w:p>
      <w:pPr>
        <w:pStyle w:val="FirstParagraph"/>
      </w:pPr>
      <w:r>
        <w:t xml:space="preserve">RQ1에서 확인한 융합의 수준은 시기에 따라 크게 달랐다. 표 9와 그림 7은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rPr>
        <w:t xml:space="preserve">표 9.</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6" name="Picture"/>
            <a:graphic>
              <a:graphicData uri="http://schemas.openxmlformats.org/drawingml/2006/picture">
                <pic:pic>
                  <pic:nvPicPr>
                    <pic:cNvPr descr="figures/fig7_period_shares_v37_ko.png" id="47" name="Picture"/>
                    <pic:cNvPicPr>
                      <a:picLocks noChangeArrowheads="1" noChangeAspect="1"/>
                    </pic:cNvPicPr>
                  </pic:nvPicPr>
                  <pic:blipFill>
                    <a:blip r:embed="rId45"/>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6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8"/>
    <w:bookmarkStart w:id="49" w:name="기술융합의-구조적-중심-변화-rq3"/>
    <w:p>
      <w:pPr>
        <w:pStyle w:val="Heading3"/>
      </w:pPr>
      <w:r>
        <w:t xml:space="preserve">5.3 기술융합의 구조적 중심 변화 (RQ3)</w:t>
      </w:r>
    </w:p>
    <w:p>
      <w:pPr>
        <w:pStyle w:val="FirstParagraph"/>
      </w:pPr>
      <w:r>
        <w:t xml:space="preserve">RQ2에서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rPr>
        <w:t xml:space="preserve">표 11.</w:t>
      </w:r>
      <w:r>
        <w:t xml:space="preserve"> </w:t>
      </w:r>
      <w: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rPr>
        <w:t xml:space="preserve">주:</w:t>
      </w:r>
      <w:r>
        <w:t xml:space="preserve"> </w:t>
      </w:r>
      <w: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9"/>
    <w:bookmarkStart w:id="50"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다항 로짓(RQ1·RQ2)의 핵심 계수를, 표 13은 핵심 기술 모형(RQ3)의 시기별 승산비를 비교한 것이며, 다항 로짓의 전체 계수는 부록 A에 제시하였다.</w:t>
      </w:r>
    </w:p>
    <w:p>
      <w:pPr>
        <w:pStyle w:val="BodyText"/>
        <w:keepNext/>
      </w:pPr>
      <w:r>
        <w:rPr>
          <w:b/>
          <w:bCs/>
        </w:rPr>
        <w:t xml:space="preserve">표 12.</w:t>
      </w:r>
      <w:r>
        <w:t xml:space="preserve"> </w:t>
      </w:r>
      <w:r>
        <w:t xml:space="preserve">다항 로짓(RQ1·RQ2)의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35.4%,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분석(RQ3)의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13.</w:t>
      </w:r>
      <w:r>
        <w:t xml:space="preserve"> </w:t>
      </w:r>
      <w:r>
        <w:t xml:space="preserve">핵심 기술 모형(RQ3)의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재분류하므로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rPr>
        <w:t xml:space="preserve">표 14.</w:t>
      </w:r>
      <w:r>
        <w:t xml:space="preserve"> </w:t>
      </w:r>
      <w: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50"/>
    <w:bookmarkEnd w:id="51"/>
    <w:bookmarkStart w:id="55"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52"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RQ1의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rPr>
        <w:t xml:space="preserve">표 15.</w:t>
      </w:r>
      <w:r>
        <w:t xml:space="preserve"> </w:t>
      </w:r>
      <w: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 다음의 RQ3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52"/>
    <w:bookmarkStart w:id="53"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RQ1의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RQ2와 RQ3의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53"/>
    <w:bookmarkStart w:id="54"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공식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동시에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4"/>
    <w:bookmarkEnd w:id="55"/>
    <w:bookmarkStart w:id="56"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나타나는지(RQ1), 그 수준과 형태가 시간에 따라 어떻게 변화하는지(RQ2), 그리고 그 중심이 핵심 기술과 주변 기술 사이에서 어떻게 이동하는지(RQ3)를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확장하였고(RQ1), 기술융합을 시간에 따라 유형별 구성이 변화하는 동태적 과정으로 분석하였으며(RQ2), 융합의 구조적 중심 변화를 기술 아키텍처의 핵심–주변 관계와 기술 순환 관점에서 실증하였다(RQ3).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6"/>
    <w:bookmarkStart w:id="57"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7"/>
    <w:bookmarkStart w:id="60" w:name="부록"/>
    <w:p>
      <w:pPr>
        <w:pStyle w:val="Heading2"/>
      </w:pPr>
      <w:r>
        <w:t xml:space="preserve">부록</w:t>
      </w:r>
    </w:p>
    <w:bookmarkStart w:id="58"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모형(RQ3)도 동일한 표본을 사용한다.</w:t>
      </w:r>
    </w:p>
    <w:bookmarkEnd w:id="58"/>
    <w:bookmarkStart w:id="59"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9"/>
    <w:bookmarkEnd w:id="60"/>
    <w:bookmarkEnd w:id="61"/>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45" Type="http://schemas.openxmlformats.org/officeDocument/2006/relationships/image" Target="media/rId45.png"/><Relationship Id="rId35" Type="http://schemas.openxmlformats.org/officeDocument/2006/relationships/image" Target="media/rId35.png"/><Relationship Id="rId24" Type="http://schemas.openxmlformats.org/officeDocument/2006/relationships/image" Target="media/rId24.png"/><Relationship Id="rId20" Type="http://schemas.openxmlformats.org/officeDocument/2006/relationships/image" Target="media/rId20.png"/><Relationship Id="rId41" Type="http://schemas.openxmlformats.org/officeDocument/2006/relationships/image" Target="media/rId41.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2026-10-10T06:52:43Z</dcterms:created>
  <dcterms:modified xsi:type="dcterms:W3CDTF">2026-10-10T06:52:43Z</dcterms:modified>
</cp:coreProperties>
</file>

<file path=docProps/custom.xml><?xml version="1.0" encoding="utf-8"?>
<Properties xmlns="http://schemas.openxmlformats.org/officeDocument/2006/custom-properties" xmlns:vt="http://schemas.openxmlformats.org/officeDocument/2006/docPropsVTypes"/>
</file>