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5ec4d9369b29b4fa5cbeffae1b8dce250354062"/>
    <w:p>
      <w:pPr>
        <w:pStyle w:val="Heading1"/>
      </w:pPr>
      <w:r>
        <w:t xml:space="preserve">반도체 하이브리드 본딩 특허에 나타난 공정단계 간 기술융합: 경계를 넘는 특허의 특성과 핵심 기술</w:t>
      </w:r>
    </w:p>
    <w:p>
      <w:pPr>
        <w:pStyle w:val="FirstParagraph"/>
      </w:pPr>
      <w:r>
        <w:rPr>
          <w:b/>
          <w:bCs/>
        </w:rPr>
        <w:t xml:space="preserve">Cross-stage technological convergence in semiconductor hybrid bonding patents: Characteristics of boundary-spanning patents and the core technology</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영역이다. 하이브리드 본딩은 후공정의 접합 기술인데도 표면 평탄화, 표면 처리 같은 전공정의 제조공정 기술 없이는 성능이 나오지 않는다. 이 논문은 그 두 영역의 기술이 실제로 한 특허 안에 함께 담기는지, 담긴다면 어떤 특허에서 그러한지를 유럽특허청 PATSTAT의 하이브리드 본딩 관련 특허출원 928건으로 살핀다. 출원마다 부여된 CPC 기호를 보아 접합 기술 분류(H01L24)만 있으면 조립 단독형, 제조공정 기술 분류(H01L21)만 있으면 공정 단독형, 둘이 함께 있으면 통합형으로 나누었고, 분석단위는 개별 특허출원이다. 두 클래스가 함께 부여된 공동분류는 접합 영역과 제조공정 사이의 경계 넘기를 재는 특허 기반 대리측정치다. 기준 정의에서는 통합형이 45.8%로 가장 많았고, 조립 단계의 제조공정을 제외한 보수적 정의에서도 통합형은 전체 출원의 37.2%를 차지했다. 회귀분석 결과, 두 클래스 안에서 세부 기술을 더 다양하게 포함한 출원일수록 통합형일 가능성이 높았다(조립 단독형 대비 상대위험비 1.40). 출원연도가 최근일수록 공정 단독형으로 분류될 상대적 가능성이 낮았으며, 기술통계에서도 공정 단독형의 비중은 2014년 이전 43.6%에서 2020–2024년 10.4%로 감소했다. 기술 클러스터와 기술 네트워크 분석으로 하이브리드 본딩의 핵심 기술을 찾으면, 접합 영역끼리 범프 없이 직접 연결하는 접합 기호 네 개가 각각 출원 200건 이상에 부여되고 서로 가장 강하게 연결된 묶음을 이룬다. 이 핵심 기술을 담은 접합 출원은 2014년 이전에는 제조공정 분류를 함께 가질 승산이 그렇지 않은 출원의 11.1배였지만, 그 차이는 2015–2019년에 2.5배로 줄었고 2020–2024년에는 사라졌다. 기술의 형성기에는 핵심 기술의 발명이 제조공정 지식을 함께 담았고, 설계가 굳어 가면서 그 결합이 핵심에서 주변으로 옮겨 간 것으로 읽힌다. 이러한 결과는 기술융합이 산업과 산업 사이만이 아니라 한 산업의 공정 단계 사이에서도 일어난다는 견해와 맞아떨어지는 특허 수준의 증거이고, 그 융합을 개별 출원 단위에서 잴 수 있음을 보여준다.</w:t>
      </w:r>
    </w:p>
    <w:p>
      <w:pPr>
        <w:pStyle w:val="BodyText"/>
      </w:pPr>
      <w:r>
        <w:rPr>
          <w:b/>
          <w:bCs/>
        </w:rPr>
        <w:t xml:space="preserve">주제어:</w:t>
      </w:r>
      <w:r>
        <w:t xml:space="preserve"> </w:t>
      </w:r>
      <w:r>
        <w:t xml:space="preserve">기술융합; 산업 아키텍처;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been separate worlds in semiconductor manufacturing for decades. Hybrid bonding belongs to the back end, but it does not work without front-end capabilities, surface planarisation and surface treatment above all. This paper asks whether the two bodies of technology are actually being combined within single patents and, if so, in which ones. Using 928 hybrid-bonding-related applications drawn from EPO PATSTAT, we read the CPC symbols assigned to each application and label it assembly-only when it carries only H01L24 symbols (bonding technology), process-only when it carries only H01L21 symbols (fabrication processes), and integrated when it carries both; the unit of analysis is the individual application. Co-classification in the two classes serves as a patent-based proxy for boundary spanning between the fabrication-process and bonding domains. Under the baseline definition, integrated applications constitute the largest group at 45.8%. Even under a narrower definition that excludes assembly-stage processes, they account for 37.2% of the sample. In the regressions, applications that span more diverse technical elements within the two classes are more likely to be integrated (relative-risk ratio 1.40 against assembly-only), which we treat as a compositional feature of integrated patents since both variables come from the same CPC information. Process-only classification becomes relatively less likely for more recent filings. Descriptively, its share declines from 43.6% before 2015 to 10.4% in 2020–2024. A technology cluster and network analysis identifies the core of hybrid bonding: four bonding symbols for connecting bonding areas directly, without bumps, are each assigned to more than 200 applications and form the most tightly linked group. Among applications with bonding symbols, those containing this core were 11.1 times as likely, in odds, to also carry fabrication-process symbols before 2015; the ratio fell to 2.5 in 2015–2019 and disappeared in 2020–2024. Core inventions combined fabrication knowledge while the technology was taking shape, and the combination moved from the core to its periphery as the design settled. The findings are patent-level evidence consistent with technological convergence across the process stages of a single industry, and they show that such convergence can be measured one application at a time.</w:t>
      </w:r>
    </w:p>
    <w:p>
      <w:pPr>
        <w:pStyle w:val="BodyText"/>
      </w:pPr>
      <w:r>
        <w:rPr>
          <w:b/>
          <w:bCs/>
        </w:rPr>
        <w:t xml:space="preserve">Keywords:</w:t>
      </w:r>
      <w:r>
        <w:t xml:space="preserve"> </w:t>
      </w:r>
      <w:r>
        <w:t xml:space="preserve">technological convergence; industry architecture; hybrid bonding; advanced packaging; technology network; dominant design;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하지만 첨단 패키징의 등장으로 인해 이 인터페이스의 변화가 생기고 있다. 한 단계의 성능이 다른 단계의 공정 역량에 훨씬 직접적으로 기대게 된 것이다.</w:t>
      </w:r>
    </w:p>
    <w:p>
      <w:pPr>
        <w:pStyle w:val="BodyText"/>
      </w:pPr>
      <w:r>
        <w:t xml:space="preserve">회로를 더 작게 만드는 미세화가 한계에 부딪히자,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pPr>
      <w:r>
        <w:t xml:space="preserve">이러한 기술의 경계의 흐려짐을 개별특허의 수준에서 확인할 수 있는지가 이 논문의 질문이다. 기술융합 문헌은 서로 구분되던 기술 영역이 겹치고 결합하는 과정을 오랫동안 다루어 왔고(Rosenberg, 1963; Kodama, 1992; Curran and Leker, 2011; Sick and Bröring, 2022), 그런 점에서 자연스러운 출발점이다. 그런데 이 문헌의 실증 연구는 정보통신과 가전을 다룬 Hacklin et al.(2009), 식품과 제약을 다룬 Bröring et al.(2006), 나노기술과 바이오기술을 다룬 No와 Park(2010)에서 보듯 서로 다른 산업이나 기술 분야가 겹치는 경우에 관심을 두어 왔다. 한 산업 안에서 가치사슬의 단계를 가로지르는 융합은 좀처럼 다루어지지 않았다. 가치사슬 상·하류 기업 간의 특허 인용을 분석한 Karvonen과 Kässi(2012)가 그나마 가까운 선례이지만, 하나의 기술이 공정 단계의 경계를 넘는지를 특허 단위에서 검정한 것은 아니다. 누가 무엇을 만들고 누가 가치를 가져가는가를 정하는 틀(Jacobides et al., 2006)에 변화를 주는 것은 이러한 기술의 융합이다.</w:t>
      </w:r>
    </w:p>
    <w:p>
      <w:pPr>
        <w:pStyle w:val="BodyText"/>
      </w:pPr>
      <w:r>
        <w:t xml:space="preserve">자료는 유럽특허청(EPO) PATSTAT에서 추출한 하이브리드 본딩 관련 특허출원 928건이고, 여기에 부여된 협력적 특허분류(CPC) 기호가 분석의 재료다. 접합 기술 분류 (H01L24)의 기호와 제조공정 기술 분류 (H01L21)의 기호가 한 출원에 함께 붙어 있으면 그 출원을 통합형, 곧 경계를 넘는 특허로 본다. 접합 기호만 있으면 조립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하이브리드 본딩 특허에서 제조공정과 접합 기술의 공동분류는 얼마나 일반적이며 시간에 따라 어떻게 변했는가. 어떤 특허 특성이 공동분류 유형과 관련되는가. 하이브리드 본딩의 핵심 기술은 무엇이며, 핵심 기술을 담은 특허가 경계를 넘는 정도는 시간에 따라 어떻게 달라졌는가.</w:t>
      </w:r>
    </w:p>
    <w:p>
      <w:pPr>
        <w:pStyle w:val="BodyText"/>
      </w:pPr>
      <w:r>
        <w:t xml:space="preserve">결론부터 적으면 통합형은 출원의 45.8%로 가장 많은 유형이고 좁은 정의로도 37.2%다. 세부 기술을 더 다양하게 포함한 출원일수록 통합형이었고, 최근 출원일수록 공정 단독형은 드물었다. 기술 클러스터와 기술 네트워크로 찾은 핵심 기술, 곧 접합 영역끼리 직접 연결하는 기술을 담은 출원은 기술의 형성기에 경계를 넘는 경우가 훨씬 많았지만, 최근 출원에서는 그 차이가 사라졌다. 이 논문의 기여는 세 갈래로 나뉜다. 개념적으로는 산업 간 사례에 머물던 융합 이론을 산업 내 공정 단계 간 사례로 넓히고, 이를 Langlois와 Steinmueller(1999), Kapoor와 Adner(2012), Kapoor(2013)의 반도체 산업 아키텍처 문헌, 그리고 지배적 설계에 관한 기술 순환 문헌(Anderson and Tushman, 1990)과 잇는다. 방법론적으로는 융합지수를 하나 더 만드는 대신 공동분류를 개별 특허의 유형으로 재구성함으로써, 분야 수준 지수가 평균 속에 묻어 버리는 특허 간 이질성과 그 관련 요인을 추정할 수 있게 하고, 기술 클러스터와 기술 네트워크로 찾은 핵심 기술을 그 추정에 연결한다.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bookmarkEnd w:id="13"/>
    <w:bookmarkStart w:id="14"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설명변수와 핵심 기술의 식별은 두 갈래의 특허 연구에 기댄다.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4"/>
    <w:bookmarkStart w:id="15" w:name="가설"/>
    <w:p>
      <w:pPr>
        <w:pStyle w:val="Heading3"/>
      </w:pPr>
      <w:r>
        <w:t xml:space="preserve">2.4 가설</w:t>
      </w:r>
    </w:p>
    <w:p>
      <w:pPr>
        <w:pStyle w:val="FirstParagraph"/>
      </w:pPr>
      <w:r>
        <w:t xml:space="preserve">이상의 논의에서 세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뜻하며, 이는 두 클래스 안에서 더 다양한 세부 기술 요소를 포함하는 출원일수록 두 영역의 기호가 함께 부여될 가능성이 높아야 한다.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 다만 출원연도에는 기술의 발전만 담기는 것이 아니다. 분류 체계와 심사 관행, 출원인 구성, 최근 출원의 공개 시차도 함께 반영된다. 그래서 본 연구는 연도 효과를 오로지 기술 성숙의 효과라기보다 시간에 따른 변화로 읽는다.</w:t>
      </w:r>
    </w:p>
    <w:p>
      <w:pPr>
        <w:pStyle w:val="BlockText"/>
      </w:pPr>
      <w:r>
        <w:rPr>
          <w:b/>
          <w:bCs/>
        </w:rPr>
        <w:t xml:space="preserve">H2.</w:t>
      </w:r>
      <w:r>
        <w:t xml:space="preserve"> </w:t>
      </w:r>
      <w:r>
        <w:t xml:space="preserve">출원연도가 최근일수록 특허가 공정 단독형보다 조립 단독형으로 분류될 상대적 가능성은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영역끼리 직접 맞붙이는 연결이다(Lau, 2021). 그런데 핵심 요소를 다루는 발명이 경계 반대편의 지식을 얼마나 함께 담는지는 기술의 시기에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굳고, 이후의 발명은 정해진 설계를 다듬는 점진적 개선으로 바뀐다(Anderson and Tushman, 1990). 인터페이스가 정해지지 않은 동안 접합 영역의 직접 연결을 발명하려면 표면 평탄화와 웨이퍼 접합 같은 제조공정 지식을 함께 다루어야 한다. 반면 인터페이스가 굳고 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굳어 간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p>
      <w:pPr>
        <w:pStyle w:val="FirstParagraph"/>
      </w:pPr>
      <w:r>
        <w:t xml:space="preserve">세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32"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산업</w:t>
            </w:r>
          </w:p>
        </w:tc>
        <w:tc>
          <w:tcPr>
            <w:tcW w:type="dxa" w:w="2871"/>
          </w:tcPr>
          <w:p>
            <w:pPr>
              <w:pStyle w:val="Compact"/>
              <w:spacing w:before="20" w:after="20" w:line="240" w:lineRule="auto"/>
              <w:keepNext/>
            </w:pPr>
            <w:r>
              <w:rPr>
                <w:sz w:val="18"/>
                <w:szCs w:val="18"/>
              </w:rPr>
              <w:t xml:space="preserve">산업 아키텍처</w:t>
            </w:r>
          </w:p>
        </w:tc>
        <w:tc>
          <w:tcPr>
            <w:tcW w:type="dxa" w:w="4763"/>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접합 기호)</w:t>
            </w:r>
          </w:p>
        </w:tc>
        <w:tc>
          <w:tcPr>
            <w:tcW w:type="dxa" w:w="4763"/>
          </w:tcPr>
          <w:p>
            <w:pPr>
              <w:pStyle w:val="Compact"/>
              <w:spacing w:before="20" w:after="20" w:line="240" w:lineRule="auto"/>
              <w:keepNext/>
            </w:pPr>
            <w:r>
              <w:rPr>
                <w:sz w:val="18"/>
                <w:szCs w:val="18"/>
              </w:rPr>
              <w:t xml:space="preserve">기술 클러스터·네트워크로 식별(제4.4절)</w:t>
            </w:r>
          </w:p>
        </w:tc>
      </w:tr>
      <w:tr>
        <w:trPr>
          <w:cantSplit/>
        </w:trPr>
        <w:tc>
          <w:tcPr>
            <w:tcW w:type="dxa" w:w="1435"/>
          </w:tcPr>
          <w:p>
            <w:pPr>
              <w:pStyle w:val="Compact"/>
              <w:spacing w:before="20" w:after="20" w:line="240" w:lineRule="auto"/>
              <w:keepNext/>
            </w:pPr>
            <w:r>
              <w:rPr>
                <w:sz w:val="18"/>
                <w:szCs w:val="18"/>
              </w:rPr>
              <w:t xml:space="preserve">조직</w:t>
            </w:r>
          </w:p>
        </w:tc>
        <w:tc>
          <w:tcPr>
            <w:tcW w:type="dxa" w:w="2871"/>
          </w:tcPr>
          <w:p>
            <w:pPr>
              <w:pStyle w:val="Compact"/>
              <w:spacing w:before="20" w:after="20" w:line="240" w:lineRule="auto"/>
              <w:keepNext/>
            </w:pPr>
            <w:r>
              <w:rPr>
                <w:sz w:val="18"/>
                <w:szCs w:val="18"/>
              </w:rPr>
              <w:t xml:space="preserve">수직통합</w:t>
            </w:r>
          </w:p>
        </w:tc>
        <w:tc>
          <w:tcPr>
            <w:tcW w:type="dxa" w:w="4763"/>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조립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이 논문의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기업의 전략이 아닌 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3048000"/>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bookmarkEnd w:id="26"/>
    <w:bookmarkStart w:id="30"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방법이다(Sternitzke et al., 2008; Breschi et al., 2003).</w:t>
      </w:r>
    </w:p>
    <w:p>
      <w:pPr>
        <w:pStyle w:val="BodyText"/>
      </w:pPr>
      <w:r>
        <w:rPr>
          <w:b/>
          <w:bCs/>
        </w:rPr>
        <w:t xml:space="preserve">기술 클러스터.</w:t>
      </w:r>
      <w:r>
        <w:t xml:space="preserve"> </w:t>
      </w:r>
      <w:r>
        <w:t xml:space="preserve">표 4는 928건에 부여된 전체 CPC 기호 가운데 출원 200건 이상에 부여된 11개다. 기호의 뜻은 CPC의 공식 정의를 요약한 것이다. 가장 많은 출원에 부여된 것은 접합 영역을 이용한 연결 방법(24/80, 529건, 57.0%)과 연결 후 접합 영역의 구조(24/08, 513건, 55.3%)이고, 그다음은 도전성 표면끼리의 직접 접합(2224/80895, 504건)과 절연성 표면끼리의 직접 접합(2224/80896, 488건)이다. 이 기호들을 이으면 하이브리드 본딩의 정의가 분류 체계 안에서 그대로 드러난다. 하이브리드 본딩은 구리를 주성분으로 한 접합 영역(2224/05647)을 표면과 같은 높이로 만들고(2224/80357), 금속끼리(2224/80895)와 절연막끼리(2224/80896)를 함께 직접 접합하여(24/08, 24/80), 범프 없이 칩을 수직으로 쌓는(2224/08145, 25/0657) 기술이다. 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영역을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영역의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영역끼리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영역의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영역</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영역의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그 밖의 아홉 쌍도 모두 24/08, 24/80, 2224/80895, 2224/80896, 2224/08145의 다섯 기호 사이의 쌍이다. 하이브리드 본딩의 핵심은 서로 촘촘히 얽힌 소수의 접합 기호에 모여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영역 – 접합 영역을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영역을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영역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영역을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영역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영역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영역을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기호로 정한다. 그림 3은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다섯째로 많은 기호인 층 형태 커넥터를 이용한 연결(24/83)은 164건으로 차이가 크다. CPC 체계에서 이 네 기호는 범프·층·와이어 같은 별도의 커넥터 없이 접합 영역 자체를 맞붙이는 갈래에 속한다. 접합 영역의 제조와 구조(24/03, 24/05, 24/08)가 그 대상이고,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28" name="Picture"/>
            <a:graphic>
              <a:graphicData uri="http://schemas.openxmlformats.org/drawingml/2006/picture">
                <pic:pic>
                  <pic:nvPicPr>
                    <pic:cNvPr descr="figures/fig_core_network_ko.png" id="29" name="Picture"/>
                    <pic:cNvPicPr>
                      <a:picLocks noChangeArrowheads="1" noChangeAspect="1"/>
                    </pic:cNvPicPr>
                  </pic:nvPicPr>
                  <pic:blipFill>
                    <a:blip r:embed="rId27"/>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 763건 가운데 620건(81.3%)이 핵심 기술을 담는다. 그 비중은 2014년 이전 53.5%에서 2015–2019년 78.7%, 2020–2024년 88.0%로 높아져, 발명이 점점 이 핵심 기술로 모여들었다. 핵심 기술과 함께 부여되는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 그림 3에서도 웨이퍼 접합 계열의 기호(21/187, 21/2007)와 다이 취급 계열의 기호(21/6835, 21/568)는 핵심 기호를 사이에 두고 서로 다른 쪽에 놓인다.</w:t>
      </w:r>
    </w:p>
    <w:bookmarkEnd w:id="30"/>
    <w:bookmarkStart w:id="31" w:name="분석-방법"/>
    <w:p>
      <w:pPr>
        <w:pStyle w:val="Heading3"/>
      </w:pPr>
      <w:r>
        <w:t xml:space="preserve">4.5 분석 방법</w:t>
      </w:r>
    </w:p>
    <w:p>
      <w:pPr>
        <w:pStyle w:val="FirstParagraph"/>
      </w:pPr>
      <w:r>
        <w:t xml:space="preserve">하나의 회귀모형으로 모든 가설을 검정하지는 않는다. 종속변수의 측정 척도와 각 가설이 묻는 질문이 다르기 때문에 세 모형을 쓴다(표 6). 분석단위는 출원 식별자별로 집계된 특허출원이며, 모든 모형에 출원청 더미를 통제변수로 넣는다. 제조공정 분류 보유 모형과 공동분류 유형 모형(928건)의 설명변수는 출원연도(yc)와 기술범위(breadth)이고,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조립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조립 단독형 338건이 0이다. 종속변수가 두 상태뿐이므로 확률을 0과 1 사이로 제한하는 이항 로짓(log[P/(1 − P)] = β₀ + β₁·breadth + β₂·yc + Σγ_k·ccode_k)으로 추정하고 승산비(OR)로 보고한다. OR은 확률이 아니라 오즈의 배율이다. OR이 1.5이면 제조공정 분류를 가질 오즈가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조립 단독형을 기준범주로 두면, 접합 기호만 있는 출원에 견주어 제조공정 분류가 함께 나타나는 통합형과 접합 분류 없이 제조공정만 나타나는 공정 단독형을 각각 비교할 수 있다. 기준범주를 바꾸어도 예측확률과 적합도는 같고 계수의 비교 방향만 달라진다. 결과는 통합형 대 조립 단독형, 공정 단독형 대 조립 단독형의 상대위험비(RRR)로 보고한다. RRR이 1.4이면 설명변수가 1단위 늘 때 해당 유형 대 조립 단독형의 상대확률비가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따라서 기술범위와 통합형 사이의 관계에는 구성적·기계적 연관이 들어 있으며, breadth의 계수는 독립적인 인과효과가 아니라 유형별 기술 구성의 조건부·구성적 연관으로 해석한다.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그래서 H3은 H01L24 기호를 가진 출원 763건(통합형 425건, 조립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계산한다. 출원연도를 선형으로 넣지 않고 세 시기로 나눈 것은 기술 순환의 단계를 근사하기 위해서다. 기술범위를 넣지 않은 것은 기술범위가 핵심 기호와 제조공정 기호를 모두 세므로 핵심 기술 변수와 종속변수를 함께 담기 때문이며,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보여주기 어렵다. 그래서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기준 분석은 2024년 출원까지 포함하되, 2023–2024년 출원은 공개와 CPC 분류가 끝나지 않았을 수 있으므로 두 해를 뺀 표본으로 다시 추정한다. 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 제목에</w:t>
      </w:r>
      <w:r>
        <w:t xml:space="preserve"> </w:t>
      </w:r>
      <w:r>
        <w:rPr>
          <w:i/>
          <w:iCs/>
        </w:rPr>
        <w:t xml:space="preserve">hybrid bonding</w:t>
      </w:r>
      <w:r>
        <w:t xml:space="preserve">이 있는 핵심 표본은 2020년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방식이며, 동일 제목은 공식 특허 패밀리를 완전히 대체하지는 못한다. 다항 로짓은 두 유형 사이의 상대확률비가 세 번째 유형의 존재에 영향받지 않는다는 무관 대안의 독립성(IIA)을 가정하는데, 통합형이 두 단독형과 기술적으로 이어져 있어 강한 가정일 수 있다. 정식 IIA 검정 대신 공정 단독형을 제외하고 통합형 대 조립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1"/>
    <w:bookmarkEnd w:id="32"/>
    <w:bookmarkStart w:id="44" w:name="결과"/>
    <w:p>
      <w:pPr>
        <w:pStyle w:val="Heading2"/>
      </w:pPr>
      <w:r>
        <w:t xml:space="preserve">5. 결과</w:t>
      </w:r>
    </w:p>
    <w:bookmarkStart w:id="33" w:name="제조공정-분류-여부"/>
    <w:p>
      <w:pPr>
        <w:pStyle w:val="Heading3"/>
      </w:pPr>
      <w:r>
        <w:t xml:space="preserve">5.1 제조공정 분류 여부</w:t>
      </w:r>
    </w:p>
    <w:p>
      <w:pPr>
        <w:pStyle w:val="FirstParagraph"/>
      </w:pPr>
      <w:r>
        <w:t xml:space="preserve">표 7은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작아(연간 OR 0.946, p &lt; 0.01), 최근 출원일수록 제조공정 기호를 가질 승산이 낮다. 모형의 판별력을 나타내는 ROC 곡선 하면적은 0.707로, Hosmer et al.(2013)의 기준에서 받아들일 만한 수준의 하한에 해당한다. 표 7의 이항 로짓은 제조공정 분류의 전반적 보유 여부를 확인하는 보완분석이며, 공동분류 유형에 관한 H1과 H2의 본 검정은 제5.2절의 다항 로짓이다.</w:t>
      </w:r>
    </w:p>
    <w:p>
      <w:pPr>
        <w:pStyle w:val="BodyText"/>
        <w:keepNext/>
      </w:pPr>
      <w:r>
        <w:rPr>
          <w:b/>
          <w:bCs/>
        </w:rPr>
        <w:t xml:space="preserve">표 7.</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bl>
    <w:bookmarkEnd w:id="33"/>
    <w:bookmarkStart w:id="40" w:name="공동분류-유형"/>
    <w:p>
      <w:pPr>
        <w:pStyle w:val="Heading3"/>
      </w:pPr>
      <w:r>
        <w:t xml:space="preserve">5.2 공동분류 유형</w:t>
      </w:r>
    </w:p>
    <w:p>
      <w:pPr>
        <w:pStyle w:val="FirstParagraph"/>
      </w:pPr>
      <w:r>
        <w:t xml:space="preserve">표 8은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다만 유형과 기술범위가 같은 CPC 정보에서 만들어지므로, 이를 독립적인 인과적 결정요인으로 해석하지 않는다.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7에서 본 제조공정 분류의 감소는 주로 공정 단독형의 감소에서 온 것이다. H2는 지지된다.</w:t>
      </w:r>
    </w:p>
    <w:p>
      <w:pPr>
        <w:pStyle w:val="BodyText"/>
        <w:keepNext/>
      </w:pPr>
      <w:r>
        <w:drawing>
          <wp:inline>
            <wp:extent cx="5334000" cy="2794000"/>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8.</w:t>
      </w:r>
      <w:r>
        <w:t xml:space="preserve"> </w:t>
      </w:r>
      <w:r>
        <w:t xml:space="preserve">공동분류 유형의 다항 로짓(기준 범주 = 조립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bl>
    <w:p>
      <w:pPr>
        <w:pStyle w:val="BodyText"/>
      </w:pPr>
      <w:r>
        <w:rPr>
          <w:b/>
          <w:bCs/>
        </w:rPr>
        <w:t xml:space="preserve">시기별 분포.</w:t>
      </w:r>
      <w:r>
        <w:t xml:space="preserve"> </w:t>
      </w:r>
      <w:r>
        <w:t xml:space="preserve">선형 연도 추세는 통합형 비중의 오르내림을 가린다. 표 9와 그림 5는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9.</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38" name="Picture"/>
            <a:graphic>
              <a:graphicData uri="http://schemas.openxmlformats.org/drawingml/2006/picture">
                <pic:pic>
                  <pic:nvPicPr>
                    <pic:cNvPr descr="figures/fig7_period_shares_ko.png" id="39" name="Picture"/>
                    <pic:cNvPicPr>
                      <a:picLocks noChangeArrowheads="1" noChangeAspect="1"/>
                    </pic:cNvPicPr>
                  </pic:nvPicPr>
                  <pic:blipFill>
                    <a:blip r:embed="rId37"/>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세 출원 시기별 공동분류 유형의 구성비(N = 928; 첫 시기는 1968–2014년으로 이후 두 시기보다 길다).</w:t>
      </w:r>
    </w:p>
    <w:bookmarkEnd w:id="40"/>
    <w:bookmarkStart w:id="41" w:name="핵심-기술과-공동분류-유형"/>
    <w:p>
      <w:pPr>
        <w:pStyle w:val="Heading3"/>
      </w:pPr>
      <w:r>
        <w:t xml:space="preserve">5.3 핵심 기술과 공동분류 유형</w:t>
      </w:r>
    </w:p>
    <w:p>
      <w:pPr>
        <w:pStyle w:val="FirstParagraph"/>
      </w:pPr>
      <w:r>
        <w:t xml:space="preserve">표 10은 H3의 검정 결과다. 2014년 이전에는 핵심 기술을 담은 접합 출원의 79.6%가 통합형이었지만 핵심 기술이 없는 출원은 27.7%에 그쳤고, 출원청을 통제한 핵심 기술의 승산비는 11.071(p &lt; 0.01)이다. 2015–2019년에도 핵심 기술을 담은 출원이 더 자주 통합형이었지만(77.1% 대 57.9%, 승산비 2.452, p &lt; 0.05), 그 승산비는 2014년 이전의 0.221배로 줄었다(p &lt; 0.05). 2020–2024년에는 핵심 기술을 담은 출원의 통합형 비중이 48.4%로 낮아져 핵심 기술이 없는 출원(56.9%)과 차이가 없다(승산비 0.658, p = 0.15). 이 시기의 승산비는 2014년 이전의 0.059배다(p &lt; 0.01). 핵심 기술을 담은 출원이 경계를 넘는 경향은 기술의 형성기에 뚜렷했고 최근 출원에서는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2020–2024년에 핵심 기술을 담은 통합형 출원과 함께 부여된 제조공정 기호는 주로 임시 지지 기판과 봉지 공정의 기호였다(제4.4절). 접합 원리 자체보다 다이를 다루고 패키지로 만드는 공정에 가깝다. 핵심 기술의 발명이 제조공정 지식을 함께 담던 단계에서, 핵심 기술은 접합 영역 안에서 기술되고 제조공정 지식은 다이 취급과 패키지 공정 같은 주변 공정과 결합하는 단계로 옮겨 간 것으로 읽힌다.</w:t>
      </w:r>
    </w:p>
    <w:bookmarkEnd w:id="41"/>
    <w:bookmarkStart w:id="42"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조립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전공정 정의(조립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sz w:val="18"/>
                <w:szCs w:val="18"/>
              </w:rPr>
              <w:t xml:space="preserve">핵심 표본(제목에 hybrid bonding)</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r>
        <w:trPr>
          <w:cantSplit/>
        </w:trPr>
        <w:tc>
          <w:tcPr>
            <w:tcW w:type="dxa" w:w="4352"/>
          </w:tcPr>
          <w:p>
            <w:pPr>
              <w:pStyle w:val="Compact"/>
              <w:spacing w:before="20" w:after="20" w:line="240" w:lineRule="auto"/>
              <w:keepNext/>
            </w:pPr>
            <w:r>
              <w:rPr>
                <w:sz w:val="18"/>
                <w:szCs w:val="18"/>
              </w:rPr>
              <w:t xml:space="preserve">2023–2024년 제외</w:t>
            </w:r>
          </w:p>
        </w:tc>
        <w:tc>
          <w:tcPr>
            <w:tcW w:type="dxa" w:w="705"/>
          </w:tcPr>
          <w:p>
            <w:pPr>
              <w:pStyle w:val="Compact"/>
              <w:spacing w:before="20" w:after="20" w:line="240" w:lineRule="auto"/>
              <w:jc w:val="right"/>
              <w:keepNext/>
            </w:pPr>
            <w:r>
              <w:rPr>
                <w:sz w:val="18"/>
                <w:szCs w:val="18"/>
              </w:rPr>
              <w:t xml:space="preserve">753</w:t>
            </w:r>
          </w:p>
        </w:tc>
        <w:tc>
          <w:tcPr>
            <w:tcW w:type="dxa" w:w="1682"/>
          </w:tcPr>
          <w:p>
            <w:pPr>
              <w:pStyle w:val="Compact"/>
              <w:spacing w:before="20" w:after="20" w:line="240" w:lineRule="auto"/>
              <w:keepNext/>
            </w:pPr>
            <w:r>
              <w:rPr>
                <w:sz w:val="18"/>
                <w:szCs w:val="18"/>
              </w:rPr>
              <w:t xml:space="preserve">1.418***</w:t>
            </w:r>
          </w:p>
        </w:tc>
        <w:tc>
          <w:tcPr>
            <w:tcW w:type="dxa" w:w="2329"/>
          </w:tcPr>
          <w:p>
            <w:pPr>
              <w:pStyle w:val="Compact"/>
              <w:spacing w:before="20" w:after="20" w:line="240" w:lineRule="auto"/>
              <w:keepNext/>
            </w:pPr>
            <w:r>
              <w:rPr>
                <w:sz w:val="18"/>
                <w:szCs w:val="18"/>
              </w:rPr>
              <w:t xml:space="preserve">0.909***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그래서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통합형(1.485)은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그대로 유지된다(1.418, 0.909).</w:t>
      </w:r>
    </w:p>
    <w:p>
      <w:pPr>
        <w:pStyle w:val="BodyText"/>
      </w:pPr>
      <w:r>
        <w:rPr>
          <w:b/>
          <w:bCs/>
        </w:rPr>
        <w:t xml:space="preserve">핵심 기술(H3).</w:t>
      </w:r>
      <w:r>
        <w:t xml:space="preserve"> </w:t>
      </w:r>
      <w:r>
        <w:t xml:space="preserve">표 12는 H3의 재추정 결과다. 2014년 이전의 승산비가 1보다 크고, 2020–2024년의 승산비가 1과 다르지 않으며, 그 차이(마지막 열)가 유의하게 1보다 작다는 결과는 여덟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조립 단독형이었기 때문이다. 이 표본에서도 2014년 이전의 승산비(p &lt; 0.05)와 2020–2024년의 상호작용(0.185, p &lt; 0.05)은 유의하다. 다만 2015–2019년의 승산비는 군집 표준오차와 무관 용법 제외 표본에서 유의성을 잃으므로, 차이가 줄어든 시점이 2015–2019년부터인지 2020–2024년인지는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619</w:t>
            </w:r>
          </w:p>
        </w:tc>
        <w:tc>
          <w:tcPr>
            <w:tcW w:type="dxa" w:w="1137"/>
          </w:tcPr>
          <w:p>
            <w:pPr>
              <w:pStyle w:val="Compact"/>
              <w:spacing w:before="20" w:after="20" w:line="240" w:lineRule="auto"/>
              <w:jc w:val="center"/>
              <w:keepNext/>
            </w:pPr>
            <w:r>
              <w:rPr>
                <w:sz w:val="13"/>
                <w:szCs w:val="13"/>
              </w:rPr>
              <w:t xml:space="preserve">9.620***</w:t>
            </w:r>
          </w:p>
        </w:tc>
        <w:tc>
          <w:tcPr>
            <w:tcW w:type="dxa" w:w="1295"/>
          </w:tcPr>
          <w:p>
            <w:pPr>
              <w:pStyle w:val="Compact"/>
              <w:spacing w:before="20" w:after="20" w:line="240" w:lineRule="auto"/>
              <w:jc w:val="center"/>
              <w:keepNext/>
            </w:pPr>
            <w:r>
              <w:rPr>
                <w:sz w:val="13"/>
                <w:szCs w:val="13"/>
              </w:rPr>
              <w:t xml:space="preserve">2.337**</w:t>
            </w:r>
          </w:p>
        </w:tc>
        <w:tc>
          <w:tcPr>
            <w:tcW w:type="dxa" w:w="1295"/>
          </w:tcPr>
          <w:p>
            <w:pPr>
              <w:pStyle w:val="Compact"/>
              <w:spacing w:before="20" w:after="20" w:line="240" w:lineRule="auto"/>
              <w:jc w:val="center"/>
              <w:keepNext/>
            </w:pPr>
            <w:r>
              <w:rPr>
                <w:sz w:val="13"/>
                <w:szCs w:val="13"/>
              </w:rPr>
              <w:t xml:space="preserve">0.863</w:t>
            </w:r>
          </w:p>
        </w:tc>
        <w:tc>
          <w:tcPr>
            <w:tcW w:type="dxa" w:w="1583"/>
          </w:tcPr>
          <w:p>
            <w:pPr>
              <w:pStyle w:val="Compact"/>
              <w:spacing w:before="20" w:after="20" w:line="240" w:lineRule="auto"/>
              <w:jc w:val="center"/>
              <w:keepNext/>
            </w:pPr>
            <w:r>
              <w:rPr>
                <w:sz w:val="13"/>
                <w:szCs w:val="13"/>
              </w:rPr>
              <w:t xml:space="preserve">0.090***</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전공정 정의에서는 조립 단계 공정 기호만 가진 출원을 조립 단독형으로 다시 분류하므로 표본 수는 같고 통합형이 338건이 된다. 제목에</w:t>
      </w:r>
      <w:r>
        <w:t xml:space="preserve"> </w:t>
      </w:r>
      <w:r>
        <w:rPr>
          <w:i/>
          <w:iCs/>
        </w:rPr>
        <w:t xml:space="preserve">hybrid bonding</w:t>
      </w:r>
      <w:r>
        <w:t xml:space="preserve">이 있는 핵심 표본은 2020년 이전에 핵심 기술이 없는 접합 출원이 12건뿐이어서 추정하지 않았다.</w:t>
      </w:r>
    </w:p>
    <w:bookmarkEnd w:id="42"/>
    <w:bookmarkStart w:id="43" w:name="가설-판정"/>
    <w:p>
      <w:pPr>
        <w:pStyle w:val="Heading3"/>
      </w:pPr>
      <w:r>
        <w:t xml:space="preserve">5.5 가설 판정</w:t>
      </w:r>
    </w:p>
    <w:p>
      <w:pPr>
        <w:pStyle w:val="FirstParagraph"/>
      </w:pPr>
      <w:r>
        <w:t xml:space="preserve">표 13은 기준 모형(표 8,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8); 모든 재추정에서 1.295–1.485***(표 11)</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공정 단독형이 드묾</w:t>
            </w:r>
          </w:p>
        </w:tc>
        <w:tc>
          <w:tcPr>
            <w:tcW w:type="dxa" w:w="3492"/>
          </w:tcPr>
          <w:p>
            <w:pPr>
              <w:pStyle w:val="Compact"/>
              <w:spacing w:before="20" w:after="20" w:line="240" w:lineRule="auto"/>
              <w:keepNext/>
            </w:pPr>
            <w:r>
              <w:rPr>
                <w:sz w:val="14"/>
                <w:szCs w:val="14"/>
              </w:rPr>
              <w:t xml:space="preserve">RRR 0.913***(95% CI 0.887–0.940; 표 8); 기간 더미 0.273***/0.101***; 재추정에서 0.820–0.935***(표 11); 다만 2015년 이전 출원이 30건뿐인 핵심 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0.050–0.185(5% 수준 이하 유의; 표 12)</w:t>
            </w:r>
          </w:p>
        </w:tc>
        <w:tc>
          <w:tcPr>
            <w:tcW w:type="dxa" w:w="2348"/>
          </w:tcPr>
          <w:p>
            <w:pPr>
              <w:pStyle w:val="Compact"/>
              <w:spacing w:before="20" w:after="20" w:line="240" w:lineRule="auto"/>
              <w:keepNext/>
            </w:pPr>
            <w:r>
              <w:rPr>
                <w:sz w:val="14"/>
                <w:szCs w:val="14"/>
              </w:rPr>
              <w:t xml:space="preserve">지지</w:t>
            </w:r>
          </w:p>
        </w:tc>
      </w:tr>
    </w:tbl>
    <w:bookmarkEnd w:id="43"/>
    <w:bookmarkEnd w:id="44"/>
    <w:bookmarkStart w:id="48" w:name="논의"/>
    <w:p>
      <w:pPr>
        <w:pStyle w:val="Heading2"/>
      </w:pPr>
      <w:r>
        <w:t xml:space="preserve">6. 논의</w:t>
      </w:r>
    </w:p>
    <w:bookmarkStart w:id="45"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9).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핵심 기술의 성숙과 경계의 재조정.</w:t>
      </w:r>
      <w:r>
        <w:t xml:space="preserve"> </w:t>
      </w:r>
      <w:r>
        <w:t xml:space="preserve">H3의 결과는 융합이 기술의 어느 부분에서 일어나는지가 시간에 따라 바뀐다는 것을 보여준다. 기술 클러스터와 기술 네트워크로 찾은 하이브리드 본딩의 핵심은 접합 영역끼리 직접 맞붙이는 소수의 접합 기호였다. 2014년 이전에는 이 핵심 기술을 담은 접합 출원의 대부분이 제조공정 기호도 함께 가졌지만, 2020–2024년에는 그렇지 않은 출원과 차이가 없었다. 같은 기간 접합 출원 가운데 핵심 기술을 담은 비중은 53.5%에서 88.0%로 높아졌다. 발명이 하나의 핵심 설계로 모여들고, 그 핵심을 다루는 발명은 제조공정 지식을 따로 담지 않게 된 것이다. 이는 지배적 설계가 자리 잡으면 인터페이스가 굳고 이후의 혁신이 정해진 설계 안의 점진적 개선으로 바뀐다는 기술 순환 모형(Anderson and Tushman, 1990)과 맞고, 핵심 요소의 설계가 굳으면 그와 얽힌 요소를 함께 바꿀 필요가 줄어든다는 Murmann과 Frenken(2006)의 논리와도 통한다. 제조공정과의 결합이 사라진 것은 아니다. 2020–2024년의 핵심 기술 출원과 결합한 제조공정은 웨이퍼 접합에서 임시 지지 기판과 봉지 같은 다이 취급 공정으로 바뀌었고, 핵심 기술이 없는 접합 출원의 통합형 비중은 오히려 높아졌다. 융합이 핵심에서 주변으로 옮겨 간 셈이다. 산업 아키텍처의 관점에서 보면 이 결과는 인터페이스가 다시 안정되는 과정의 초기 신호일 수 있다. 제2.2절에서 보았듯이 공정 단계 사이의 인터페이스가 안정적일 때 전문화가 가능하다면(Jacobides et al., 2006), 핵심 기술이 접합 영역 안에서 기술되기 시작했다는 것은 그 핵심을 둘러싼 분업이 다시 짜일 여지를 뜻한다. 다만 이 해석에는 대안이 있다. 금속끼리와 절연막끼리의 직접 접합이 접합의 인덱싱 코드(H01L2224)로 기술되는 것처럼, 분류 체계와 심사 관행이 핵심 기술을 접합 클래스 안에서 기술하게 되었을 가능성이다. 이는 기술 지식이 체계화된 결과일 수도, 분류 관행만 바뀐 결과일 수도 있으며, 본 연구의 자료로는 둘을 가리지 못한다.</w:t>
      </w:r>
    </w:p>
    <w:bookmarkEnd w:id="45"/>
    <w:bookmarkStart w:id="46" w:name="실무적정책적-함의"/>
    <w:p>
      <w:pPr>
        <w:pStyle w:val="Heading3"/>
      </w:pPr>
      <w:r>
        <w:t xml:space="preserve">6.2 실무적·정책적 함의</w:t>
      </w:r>
    </w:p>
    <w:p>
      <w:pPr>
        <w:pStyle w:val="FirstParagraph"/>
      </w:pPr>
      <w:r>
        <w:t xml:space="preserve">자료가 출원인의 유형을 구분해 주지 않으므로 실무적 함의는 가능성의 수준에서만 적는다. 조립·테스트 전문업체의 성과나 특허 경쟁력을 직접 비교한 연구가 아니라는 점을 먼저 밝혀 둔다. 그럼에도 상당수 출원이 제조공정과 접합 기술을 함께 포함한다는 결과에서 한 가지를 읽을 수 있다. 하이브리드 본딩에서는 접합 장비를 잘 다루는 것으로 끝나지 않고, 표면 평탄화, 오염 제어, 표면 화학, 정렬까지 아우르는 인접 공정 지식이 중요해질 수 있다는 것이다. KnowMade(2024)의 독립적 산업 분석이 파운드리, 종합반도체기업, 라이선싱 기업을 특허 활동을 주도하는 출원인으로 꼽는 것도 같은 방향이다. 파운드리와 종합반도체기업의 패키징 내재화를 이 결과가 직접 입증하지는 않지만,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H3의 결과에서도 한 가지를 더 읽을 수 있다. 하이브리드 본딩의 핵심 원리를 담은 발명은 최근 접합 영역 안에서 기술되고, 제조공정과의 결합은 임시 지지 기판, 봉지, 다이싱처럼 다이를 다루고 패키지로 만드는 공정에서 늘었다. 경쟁의 초점이 핵심 원리의 발명에서 그 원리를 다이 단위 공정과 결합하는 응용의 발명으로 옮겨 가고 있을 수 있다는 뜻이다. 차세대 HBM을 하이브리드 본딩에 기대고 있는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하나의 특허출원에서 통합적으로 보호하는 능력이 함께 필요할 수 있다.</w:t>
      </w:r>
    </w:p>
    <w:bookmarkEnd w:id="46"/>
    <w:bookmarkStart w:id="47"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200건이라는 기준에 기댄다. 다만 가장 강한 쌍(24/08, 24/80)으로 좁혀도 결과는 같았다.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출원청은 통제변수로만 넣었고, 산업 아키텍처와 기업 전략은 직접 검정하지 않는다. H3의 시기 구분도 지배적 설계의 형성 시점을 직접 잰 것이 아니라 출원 시기로 근사한 것이다.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7"/>
    <w:bookmarkEnd w:id="48"/>
    <w:bookmarkStart w:id="49"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물었다. 하이브리드 본딩 관련 출원 928건에 부여된 CPC 기호를 기준으로 각 출원을 조립 단독형, 공정 단독형, 통합형으로 나누고, 어떤 특성의 출원이 두 영역의 분류를 함께 가지는지를 추정하였다.</w:t>
      </w:r>
    </w:p>
    <w:p>
      <w:pPr>
        <w:pStyle w:val="BodyText"/>
      </w:pPr>
      <w:r>
        <w:t xml:space="preserve">결과는 견고성에 따라 세 층으로 나누어 읽는 것이 정직하다. 가장 견고한 층에는 세 가지가 있다. 이 논문의 검색식으로 식별된 하이브리드 본딩 관련 출원에서 제조공정과 접합 기술의 공동분류는 45.8%였고 보수적 정의로도 37.2%여서, 예외적인 현상이라고는 보기 어렵다. 공정 단독형의 상대위험은 표본과 정의를 어떻게 바꾸어도 최근 출원일수록 낮았다. 기술 클러스터와 기술 네트워크로 찾은 핵심 기술, 곧 접합 영역끼리 직접 연결하는 기술을 담은 접합 출원은 2014년 이전에는 제조공정 분류를 함께 가질 가능성이 훨씬 높았지만, 그 차이는 최근 출원일수록 줄어 2020–2024년에는 사라졌다. 이 감소는 모든 재추정에서 살아남았다.</w:t>
      </w:r>
    </w:p>
    <w:p>
      <w:pPr>
        <w:pStyle w:val="BodyText"/>
      </w:pPr>
      <w:r>
        <w:t xml:space="preserve">그다음 층의 보조 결과로는 통합형과 높은 기술적 다양성의 연관, 그리고 통합형 비중이 늘었다가 줄어든 시기별 움직임이 있다. 앞의 것은 통합형의 구성적 특징으로, 뒤의 것은 탐색적 해석으로 제시하였다. 핵심 기술과 경계 넘기의 관계가 바뀐 이유가 지배적 설계의 형성인지 분류 관행의 변화인지는 이 자료로 가리지 못하며, 산업 아키텍처의 변화는 직접 검정하지 않았다.</w:t>
      </w:r>
    </w:p>
    <w:p>
      <w:pPr>
        <w:pStyle w:val="BodyText"/>
      </w:pPr>
      <w:r>
        <w:t xml:space="preserve">본 연구의 핵심 기여는 새로운 융합지수를 제안한 데 있지 않다. 공동분류를 개별 특허의 유형으로 재구성하여 특허 수준의 이질성과 관련 요인을 추정할 수 있게 하고, 기술 클러스터와 기술 네트워크로 찾은 핵심 기술에 연결하여 융합이 기술의 핵심에서 주변으로 옮겨 가는 과정을 보인 데 있다. 이를 산업 내 공정 단계 간 융합이라는 새로운 사례에 적용하였다.</w:t>
      </w:r>
    </w:p>
    <w:p>
      <w:r>
        <w:pict>
          <v:rect style="width:0;height:1.5pt" o:hralign="center" o:hrstd="t" o:hr="t"/>
        </w:pict>
      </w:r>
    </w:p>
    <w:bookmarkEnd w:id="49"/>
    <w:bookmarkStart w:id="50"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0"/>
    <w:bookmarkStart w:id="53" w:name="부록"/>
    <w:p>
      <w:pPr>
        <w:pStyle w:val="Heading2"/>
      </w:pPr>
      <w:r>
        <w:t xml:space="preserve">부록</w:t>
      </w:r>
    </w:p>
    <w:bookmarkStart w:id="51" w:name="부록-a.-재추정-결과-전체"/>
    <w:p>
      <w:pPr>
        <w:pStyle w:val="Heading3"/>
      </w:pPr>
      <w:r>
        <w:t xml:space="preserve">부록 A. 재추정 결과 전체</w:t>
      </w:r>
    </w:p>
    <w:p>
      <w:pPr>
        <w:pStyle w:val="FirstParagraph"/>
      </w:pPr>
      <w:r>
        <w:t xml:space="preserve">표 A1과 A2는 본문의 강건성 요약표(표 11)에 실은 재추정의 전체 계수다.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전공정 정의는 H01L21의 조립 단계 공정 기호를 제조공정으로 세지 않은 변수를, 무관 용법 제외는 부록 B의 68건을 뺀 표본을, 핵심 표본은 제목에 hybrid bonding이 들어 있는 출원만 남긴 표본을, 2023–2024년 제외는 공개 시차의 영향을 받는 두 해를 뺀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조립 단독형; 출원청 더미 포함;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조립 단독형; 출원청 더미 포함; 괄호 안은 로그 계수의 표준오차;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97"/>
        <w:gridCol w:w="997"/>
        <w:gridCol w:w="997"/>
        <w:gridCol w:w="997"/>
        <w:gridCol w:w="997"/>
        <w:gridCol w:w="880"/>
        <w:gridCol w:w="1106"/>
        <w:gridCol w:w="99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9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8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97"/>
          </w:tcPr>
          <w:p>
            <w:pPr>
              <w:pStyle w:val="Compact"/>
              <w:spacing w:before="20" w:after="20" w:line="240" w:lineRule="auto"/>
              <w:jc w:val="center"/>
              <w:keepNext/>
            </w:pPr>
            <w:r>
              <w:rPr>
                <w:sz w:val="13"/>
                <w:szCs w:val="13"/>
              </w:rPr>
              <w:t xml:space="preserve">0.913*** (0.015)</w:t>
            </w:r>
          </w:p>
        </w:tc>
        <w:tc>
          <w:tcPr>
            <w:tcW w:type="dxa" w:w="997"/>
          </w:tcPr>
          <w:p>
            <w:pPr>
              <w:pStyle w:val="Compact"/>
              <w:spacing w:before="20" w:after="20" w:line="240" w:lineRule="auto"/>
              <w:jc w:val="center"/>
              <w:keepNext/>
            </w:pPr>
            <w:r>
              <w:rPr>
                <w:sz w:val="13"/>
                <w:szCs w:val="13"/>
              </w:rPr>
              <w:t xml:space="preserve">0.911*** (0.015)</w:t>
            </w:r>
          </w:p>
        </w:tc>
        <w:tc>
          <w:tcPr>
            <w:tcW w:type="dxa" w:w="997"/>
          </w:tcPr>
          <w:p>
            <w:pPr>
              <w:pStyle w:val="Compact"/>
              <w:spacing w:before="20" w:after="20" w:line="240" w:lineRule="auto"/>
              <w:jc w:val="center"/>
              <w:keepNext/>
            </w:pPr>
            <w:r>
              <w:rPr>
                <w:sz w:val="13"/>
                <w:szCs w:val="13"/>
              </w:rPr>
              <w:t xml:space="preserve">0.935*** (0.016)</w:t>
            </w:r>
          </w:p>
        </w:tc>
        <w:tc>
          <w:tcPr>
            <w:tcW w:type="dxa" w:w="997"/>
          </w:tcPr>
          <w:p>
            <w:pPr>
              <w:pStyle w:val="Compact"/>
              <w:spacing w:before="20" w:after="20" w:line="240" w:lineRule="auto"/>
              <w:jc w:val="center"/>
              <w:keepNext/>
            </w:pPr>
            <w:r>
              <w:rPr>
                <w:sz w:val="13"/>
                <w:szCs w:val="13"/>
              </w:rPr>
              <w:t xml:space="preserve">0.898*** (0.015)</w:t>
            </w:r>
          </w:p>
        </w:tc>
        <w:tc>
          <w:tcPr>
            <w:tcW w:type="dxa" w:w="997"/>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97"/>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97"/>
          </w:tcPr>
          <w:p>
            <w:pPr>
              <w:pStyle w:val="Compact"/>
              <w:spacing w:before="20" w:after="20" w:line="240" w:lineRule="auto"/>
              <w:jc w:val="center"/>
              <w:keepNext/>
            </w:pPr>
            <w:r>
              <w:rPr>
                <w:sz w:val="13"/>
                <w:szCs w:val="13"/>
              </w:rPr>
              <w:t xml:space="preserve">0.905** (0.048)</w:t>
            </w:r>
          </w:p>
        </w:tc>
        <w:tc>
          <w:tcPr>
            <w:tcW w:type="dxa" w:w="997"/>
          </w:tcPr>
          <w:p>
            <w:pPr>
              <w:pStyle w:val="Compact"/>
              <w:spacing w:before="20" w:after="20" w:line="240" w:lineRule="auto"/>
              <w:jc w:val="center"/>
              <w:keepNext/>
            </w:pPr>
            <w:r>
              <w:rPr>
                <w:sz w:val="13"/>
                <w:szCs w:val="13"/>
              </w:rPr>
              <w:t xml:space="preserve">0.915** (0.044)</w:t>
            </w:r>
          </w:p>
        </w:tc>
        <w:tc>
          <w:tcPr>
            <w:tcW w:type="dxa" w:w="997"/>
          </w:tcPr>
          <w:p>
            <w:pPr>
              <w:pStyle w:val="Compact"/>
              <w:spacing w:before="20" w:after="20" w:line="240" w:lineRule="auto"/>
              <w:jc w:val="center"/>
              <w:keepNext/>
            </w:pPr>
            <w:r>
              <w:rPr>
                <w:sz w:val="13"/>
                <w:szCs w:val="13"/>
              </w:rPr>
              <w:t xml:space="preserve">0.826*** (0.061)</w:t>
            </w:r>
          </w:p>
        </w:tc>
        <w:tc>
          <w:tcPr>
            <w:tcW w:type="dxa" w:w="997"/>
          </w:tcPr>
          <w:p>
            <w:pPr>
              <w:pStyle w:val="Compact"/>
              <w:spacing w:before="20" w:after="20" w:line="240" w:lineRule="auto"/>
              <w:jc w:val="center"/>
              <w:keepNext/>
            </w:pPr>
            <w:r>
              <w:rPr>
                <w:sz w:val="13"/>
                <w:szCs w:val="13"/>
              </w:rPr>
              <w:t xml:space="preserve">0.923* (0.045)</w:t>
            </w:r>
          </w:p>
        </w:tc>
        <w:tc>
          <w:tcPr>
            <w:tcW w:type="dxa" w:w="997"/>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97"/>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N</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473</w:t>
            </w:r>
          </w:p>
        </w:tc>
        <w:tc>
          <w:tcPr>
            <w:tcW w:type="dxa" w:w="997"/>
          </w:tcPr>
          <w:p>
            <w:pPr>
              <w:pStyle w:val="Compact"/>
              <w:spacing w:before="20" w:after="20" w:line="240" w:lineRule="auto"/>
              <w:jc w:val="center"/>
              <w:keepNext/>
            </w:pPr>
            <w:r>
              <w:rPr>
                <w:sz w:val="13"/>
                <w:szCs w:val="13"/>
              </w:rPr>
              <w:t xml:space="preserve">908</w:t>
            </w:r>
          </w:p>
        </w:tc>
        <w:tc>
          <w:tcPr>
            <w:tcW w:type="dxa" w:w="997"/>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9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97"/>
          </w:tcPr>
          <w:p>
            <w:pPr>
              <w:pStyle w:val="Compact"/>
              <w:spacing w:before="20" w:after="20" w:line="240" w:lineRule="auto"/>
              <w:jc w:val="center"/>
              <w:keepNext/>
            </w:pPr>
            <w:r>
              <w:rPr>
                <w:sz w:val="13"/>
                <w:szCs w:val="13"/>
              </w:rPr>
              <w:t xml:space="preserve">−774.5</w:t>
            </w:r>
          </w:p>
        </w:tc>
        <w:tc>
          <w:tcPr>
            <w:tcW w:type="dxa" w:w="997"/>
          </w:tcPr>
          <w:p>
            <w:pPr>
              <w:pStyle w:val="Compact"/>
              <w:spacing w:before="20" w:after="20" w:line="240" w:lineRule="auto"/>
              <w:jc w:val="center"/>
              <w:keepNext/>
            </w:pPr>
            <w:r>
              <w:rPr>
                <w:sz w:val="13"/>
                <w:szCs w:val="13"/>
              </w:rPr>
              <w:t xml:space="preserve">−829.4</w:t>
            </w:r>
          </w:p>
        </w:tc>
        <w:tc>
          <w:tcPr>
            <w:tcW w:type="dxa" w:w="997"/>
          </w:tcPr>
          <w:p>
            <w:pPr>
              <w:pStyle w:val="Compact"/>
              <w:spacing w:before="20" w:after="20" w:line="240" w:lineRule="auto"/>
              <w:jc w:val="center"/>
              <w:keepNext/>
            </w:pPr>
            <w:r>
              <w:rPr>
                <w:sz w:val="13"/>
                <w:szCs w:val="13"/>
              </w:rPr>
              <w:t xml:space="preserve">−425.3</w:t>
            </w:r>
          </w:p>
        </w:tc>
        <w:tc>
          <w:tcPr>
            <w:tcW w:type="dxa" w:w="997"/>
          </w:tcPr>
          <w:p>
            <w:pPr>
              <w:pStyle w:val="Compact"/>
              <w:spacing w:before="20" w:after="20" w:line="240" w:lineRule="auto"/>
              <w:jc w:val="center"/>
              <w:keepNext/>
            </w:pPr>
            <w:r>
              <w:rPr>
                <w:sz w:val="13"/>
                <w:szCs w:val="13"/>
              </w:rPr>
              <w:t xml:space="preserve">−755.9</w:t>
            </w:r>
          </w:p>
        </w:tc>
        <w:tc>
          <w:tcPr>
            <w:tcW w:type="dxa" w:w="997"/>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97"/>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1"/>
    <w:bookmarkStart w:id="52" w:name="부록-b.-검색어의-무관한-용법"/>
    <w:p>
      <w:pPr>
        <w:pStyle w:val="Heading3"/>
      </w:pPr>
      <w:r>
        <w:t xml:space="preserve">부록 B.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2"/>
    <w:bookmarkEnd w:id="53"/>
    <w:bookmarkEnd w:id="54"/>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37" Type="http://schemas.openxmlformats.org/officeDocument/2006/relationships/image" Target="media/rId37.png"/><Relationship Id="rId27" Type="http://schemas.openxmlformats.org/officeDocument/2006/relationships/image" Target="media/rId27.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2026-10-07T16:47:22Z</dcterms:created>
  <dcterms:modified xsi:type="dcterms:W3CDTF">2026-10-07T16:47:22Z</dcterms:modified>
</cp:coreProperties>
</file>

<file path=docProps/custom.xml><?xml version="1.0" encoding="utf-8"?>
<Properties xmlns="http://schemas.openxmlformats.org/officeDocument/2006/custom-properties" xmlns:vt="http://schemas.openxmlformats.org/officeDocument/2006/docPropsVTypes"/>
</file>