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324" w:lineRule="auto"/>
        <w:jc w:val="center"/>
      </w:pPr>
      <w:r>
        <w:rPr>
          <w:rFonts w:ascii="맑은 고딕" w:hAnsi="맑은 고딕" w:eastAsia="맑은 고딕"/>
          <w:b/>
          <w:i w:val="0"/>
          <w:color w:val="1F3864"/>
          <w:sz w:val="40"/>
        </w:rPr>
        <w:t>JIK 투고 원고 검토서</w:t>
      </w:r>
    </w:p>
    <w:p>
      <w:pPr>
        <w:spacing w:before="0" w:after="40" w:line="324" w:lineRule="auto"/>
        <w:jc w:val="center"/>
      </w:pPr>
      <w:r>
        <w:rPr>
          <w:rFonts w:ascii="맑은 고딕" w:hAnsi="맑은 고딕" w:eastAsia="맑은 고딕"/>
          <w:b w:val="0"/>
          <w:i w:val="0"/>
          <w:sz w:val="24"/>
        </w:rPr>
        <w:t>originality · reliability · completeness 관점</w:t>
      </w:r>
    </w:p>
    <w:p>
      <w:pPr>
        <w:spacing w:before="0" w:after="40" w:line="324" w:lineRule="auto"/>
        <w:jc w:val="center"/>
      </w:pPr>
      <w:r>
        <w:rPr>
          <w:rFonts w:ascii="맑은 고딕" w:hAnsi="맑은 고딕" w:eastAsia="맑은 고딕"/>
          <w:b w:val="0"/>
          <w:i w:val="0"/>
          <w:color w:val="595959"/>
          <w:sz w:val="19"/>
        </w:rPr>
        <w:t>대상: Cross-stage technology convergence as knowledge integration in semiconductor hybrid bonding: A patent-based longitudinal analysis (manuscript_v89_en_JIK)</w:t>
      </w:r>
    </w:p>
    <w:p>
      <w:pPr>
        <w:spacing w:before="0" w:after="200" w:line="324" w:lineRule="auto"/>
        <w:jc w:val="center"/>
      </w:pPr>
      <w:r>
        <w:rPr>
          <w:rFonts w:ascii="맑은 고딕" w:hAnsi="맑은 고딕" w:eastAsia="맑은 고딕"/>
          <w:b w:val="0"/>
          <w:i w:val="0"/>
          <w:color w:val="595959"/>
          <w:sz w:val="19"/>
        </w:rPr>
        <w:t>검토일 2026-10-18</w:t>
      </w:r>
    </w:p>
    <w:p>
      <w:pPr>
        <w:keepNext/>
        <w:spacing w:before="280" w:after="120" w:line="324" w:lineRule="auto"/>
        <w:pBdr>
          <w:bottom w:val="single" w:sz="6" w:space="1" w:color="1F3864"/>
        </w:pBdr>
      </w:pPr>
      <w:r>
        <w:rPr>
          <w:rFonts w:ascii="맑은 고딕" w:hAnsi="맑은 고딕" w:eastAsia="맑은 고딕"/>
          <w:b/>
          <w:i w:val="0"/>
          <w:color w:val="1F3864"/>
          <w:sz w:val="28"/>
        </w:rPr>
        <w:t>0. 이 검토서를 읽는 방법</w:t>
      </w:r>
    </w:p>
    <w:p>
      <w:pPr>
        <w:spacing w:before="0" w:after="80" w:line="324" w:lineRule="auto"/>
      </w:pPr>
      <w:r>
        <w:rPr>
          <w:rFonts w:ascii="맑은 고딕" w:hAnsi="맑은 고딕" w:eastAsia="맑은 고딕"/>
          <w:b w:val="0"/>
          <w:i w:val="0"/>
          <w:sz w:val="21"/>
        </w:rPr>
        <w:t>논문 심사자의 글(심사 수백 편의 경험에서 나온 조언)이 기준입니다. 핵심은 세 가지입니다.</w:t>
      </w:r>
    </w:p>
    <w:p>
      <w:pPr>
        <w:spacing w:before="0" w:after="40" w:line="324" w:lineRule="auto"/>
        <w:ind w:left="283" w:hanging="227"/>
      </w:pPr>
      <w:r>
        <w:rPr>
          <w:rFonts w:ascii="맑은 고딕" w:hAnsi="맑은 고딕" w:eastAsia="맑은 고딕"/>
          <w:b w:val="0"/>
          <w:i w:val="0"/>
          <w:sz w:val="21"/>
        </w:rPr>
        <w:t xml:space="preserve">· </w:t>
      </w:r>
      <w:r>
        <w:rPr>
          <w:rFonts w:ascii="맑은 고딕" w:hAnsi="맑은 고딕" w:eastAsia="맑은 고딕"/>
          <w:b/>
          <w:i w:val="0"/>
          <w:sz w:val="21"/>
        </w:rPr>
        <w:t>1. Originality</w:t>
      </w:r>
      <w:r>
        <w:rPr>
          <w:rFonts w:ascii="맑은 고딕" w:hAnsi="맑은 고딕" w:eastAsia="맑은 고딕"/>
          <w:b w:val="0"/>
          <w:i w:val="0"/>
          <w:sz w:val="21"/>
        </w:rPr>
        <w:t xml:space="preserve"> 새로운가. 대체로 충족된다고 심사자가 판단하므로 문제는 드물다.</w:t>
      </w:r>
    </w:p>
    <w:p>
      <w:pPr>
        <w:spacing w:before="0" w:after="40" w:line="324" w:lineRule="auto"/>
        <w:ind w:left="283" w:hanging="227"/>
      </w:pPr>
      <w:r>
        <w:rPr>
          <w:rFonts w:ascii="맑은 고딕" w:hAnsi="맑은 고딕" w:eastAsia="맑은 고딕"/>
          <w:b w:val="0"/>
          <w:i w:val="0"/>
          <w:sz w:val="21"/>
        </w:rPr>
        <w:t xml:space="preserve">· </w:t>
      </w:r>
      <w:r>
        <w:rPr>
          <w:rFonts w:ascii="맑은 고딕" w:hAnsi="맑은 고딕" w:eastAsia="맑은 고딕"/>
          <w:b/>
          <w:i w:val="0"/>
          <w:sz w:val="21"/>
        </w:rPr>
        <w:t>2. Reliability</w:t>
      </w:r>
      <w:r>
        <w:rPr>
          <w:rFonts w:ascii="맑은 고딕" w:hAnsi="맑은 고딕" w:eastAsia="맑은 고딕"/>
          <w:b w:val="0"/>
          <w:i w:val="0"/>
          <w:sz w:val="21"/>
        </w:rPr>
        <w:t xml:space="preserve"> 저자가 앞에서 한 주장을 잊고 데이터만 늘어놓아 근거가 흐려지지 않는가.</w:t>
      </w:r>
    </w:p>
    <w:p>
      <w:pPr>
        <w:spacing w:before="0" w:after="40" w:line="324" w:lineRule="auto"/>
        <w:ind w:left="283" w:hanging="227"/>
      </w:pPr>
      <w:r>
        <w:rPr>
          <w:rFonts w:ascii="맑은 고딕" w:hAnsi="맑은 고딕" w:eastAsia="맑은 고딕"/>
          <w:b w:val="0"/>
          <w:i w:val="0"/>
          <w:sz w:val="21"/>
        </w:rPr>
        <w:t xml:space="preserve">· </w:t>
      </w:r>
      <w:r>
        <w:rPr>
          <w:rFonts w:ascii="맑은 고딕" w:hAnsi="맑은 고딕" w:eastAsia="맑은 고딕"/>
          <w:b/>
          <w:i w:val="0"/>
          <w:sz w:val="21"/>
        </w:rPr>
        <w:t>3. Completeness</w:t>
      </w:r>
      <w:r>
        <w:rPr>
          <w:rFonts w:ascii="맑은 고딕" w:hAnsi="맑은 고딕" w:eastAsia="맑은 고딕"/>
          <w:b w:val="0"/>
          <w:i w:val="0"/>
          <w:sz w:val="21"/>
        </w:rPr>
        <w:t xml:space="preserve"> 처음에 던진 질문이 끝까지 해결되고, 결론이 다른 곳으로 가지 않는가.</w:t>
      </w:r>
    </w:p>
    <w:p>
      <w:pPr>
        <w:spacing w:before="0" w:after="120" w:line="324" w:lineRule="auto"/>
      </w:pPr>
      <w:r>
        <w:rPr>
          <w:rFonts w:ascii="맑은 고딕" w:hAnsi="맑은 고딕" w:eastAsia="맑은 고딕"/>
          <w:b w:val="0"/>
          <w:i w:val="0"/>
          <w:sz w:val="21"/>
        </w:rPr>
        <w:t>원고 본문(영문 v89)을 처음부터 끝까지 읽었고, 서술한 수치를 로컬 데이터(app.pkl, app_measures_v31.pkl, 928건)로 다시 계산했습니다. 본문 인용 60건과 참고문헌도 전수 대조했습니다. 보충자료와 국문본은 이번 검토 범위에서 제외했습니다.</w:t>
      </w:r>
    </w:p>
    <w:tbl>
      <w:tblPr>
        <w:tblStyle w:val="TableGrid"/>
        <w:tblW w:type="auto" w:w="0"/>
        <w:tblLook w:firstColumn="1" w:firstRow="1" w:lastColumn="0" w:lastRow="0" w:noHBand="0" w:noVBand="1" w:val="04A0"/>
      </w:tblPr>
      <w:tblGrid>
        <w:gridCol w:w="9638"/>
      </w:tblGrid>
      <w:tr>
        <w:tc>
          <w:tcPr>
            <w:tcW w:type="dxa" w:w="9638"/>
            <w:shd w:val="clear" w:color="auto" w:fill="FFF2CC"/>
          </w:tcPr>
          <w:p>
            <w:pPr>
              <w:spacing w:after="40"/>
            </w:pPr>
            <w:r/>
            <w:r>
              <w:rPr>
                <w:rFonts w:ascii="맑은 고딕" w:hAnsi="맑은 고딕" w:eastAsia="맑은 고딕"/>
                <w:b/>
                <w:i w:val="0"/>
                <w:sz w:val="20"/>
              </w:rPr>
              <w:t>이전 검토에서 정정한 점.</w:t>
            </w:r>
            <w:r>
              <w:rPr>
                <w:rFonts w:ascii="맑은 고딕" w:hAnsi="맑은 고딕" w:eastAsia="맑은 고딕"/>
                <w:b w:val="0"/>
                <w:i w:val="0"/>
                <w:sz w:val="20"/>
              </w:rPr>
              <w:t xml:space="preserve"> 앞서 채팅으로 드린 검토에서 "통합형 비율의 기간별 변화를 뒷받침하는 유의한 검정이 없다"고 지적했는데, 데이터로 직접 검정해 보니 단순 비교에서는 모두 유의했습니다(R1). 문제는 검정의 부재가 아니라, 조정 모형과 단순 비교가 서로 다른 말을 하는 것처럼 읽힌다는 점입니다. 아래 R1은 이 정정을 반영했습니다.</w:t>
            </w:r>
          </w:p>
        </w:tc>
      </w:tr>
    </w:tbl>
    <w:p>
      <w:pPr>
        <w:spacing w:after="40"/>
      </w:pPr>
    </w:p>
    <w:p>
      <w:pPr>
        <w:keepNext/>
        <w:spacing w:before="280" w:after="120" w:line="324" w:lineRule="auto"/>
        <w:pBdr>
          <w:bottom w:val="single" w:sz="6" w:space="1" w:color="1F3864"/>
        </w:pBdr>
      </w:pPr>
      <w:r>
        <w:rPr>
          <w:rFonts w:ascii="맑은 고딕" w:hAnsi="맑은 고딕" w:eastAsia="맑은 고딕"/>
          <w:b/>
          <w:i w:val="0"/>
          <w:color w:val="1F3864"/>
          <w:sz w:val="28"/>
        </w:rPr>
        <w:t>1. 총평</w:t>
      </w:r>
    </w:p>
    <w:p>
      <w:pPr>
        <w:spacing w:before="0" w:after="120" w:line="324" w:lineRule="auto"/>
      </w:pPr>
      <w:r>
        <w:rPr>
          <w:rFonts w:ascii="맑은 고딕" w:hAnsi="맑은 고딕" w:eastAsia="맑은 고딕"/>
          <w:b w:val="0"/>
          <w:i w:val="0"/>
          <w:sz w:val="21"/>
        </w:rPr>
        <w:t xml:space="preserve">연구 설계는 분명합니다. 공정 단계 간 융합을 특허 한 건 단위의 공동분류로 포착하고, 그 변화를 형성·확산·재편의 세 국면으로 읽는다는 줄기가 Abstract부터 결론까지 이어집니다. 수치도 정확합니다. 다시 계산한 값이 본문과 모두 일치했습니다. 남은 문제는 오류가 아니라 </w:t>
      </w:r>
      <w:r>
        <w:rPr>
          <w:rFonts w:ascii="맑은 고딕" w:hAnsi="맑은 고딕" w:eastAsia="맑은 고딕"/>
          <w:b/>
          <w:i w:val="0"/>
          <w:sz w:val="21"/>
        </w:rPr>
        <w:t>주장의 강도와 근거의 강도가 맞지 않는 곳</w:t>
      </w:r>
      <w:r>
        <w:rPr>
          <w:rFonts w:ascii="맑은 고딕" w:hAnsi="맑은 고딕" w:eastAsia="맑은 고딕"/>
          <w:b w:val="0"/>
          <w:i w:val="0"/>
          <w:sz w:val="21"/>
        </w:rPr>
        <w:t xml:space="preserve">과 </w:t>
      </w:r>
      <w:r>
        <w:rPr>
          <w:rFonts w:ascii="맑은 고딕" w:hAnsi="맑은 고딕" w:eastAsia="맑은 고딕"/>
          <w:b/>
          <w:i w:val="0"/>
          <w:sz w:val="21"/>
        </w:rPr>
        <w:t>질문을 끝까지 닫지 않은 곳</w:t>
      </w:r>
      <w:r>
        <w:rPr>
          <w:rFonts w:ascii="맑은 고딕" w:hAnsi="맑은 고딕" w:eastAsia="맑은 고딕"/>
          <w:b w:val="0"/>
          <w:i w:val="0"/>
          <w:sz w:val="21"/>
        </w:rPr>
        <w:t>입니다. 이는 심사자가 말한 2번과 3번에 해당합니다.</w:t>
      </w:r>
    </w:p>
    <w:tbl>
      <w:tblPr>
        <w:tblStyle w:val="TableGrid"/>
        <w:tblW w:type="auto" w:w="0"/>
        <w:jc w:val="center"/>
        <w:tblLayout w:type="fixed"/>
        <w:tblLook w:firstColumn="1" w:firstRow="1" w:lastColumn="0" w:lastRow="0" w:noHBand="0" w:noVBand="1" w:val="04A0"/>
      </w:tblPr>
      <w:tblGrid>
        <w:gridCol w:w="1814"/>
        <w:gridCol w:w="1587"/>
        <w:gridCol w:w="6236"/>
      </w:tblGrid>
      <w:tr>
        <w:trPr>
          <w:tblHeader w:val="true"/>
          <w:cantSplit w:val="true"/>
        </w:trPr>
        <w:tc>
          <w:tcPr>
            <w:tcW w:type="dxa" w:w="1814"/>
            <w:shd w:val="clear" w:color="auto" w:fill="D9E2F3"/>
          </w:tcPr>
          <w:p>
            <w:pPr>
              <w:spacing w:after="20" w:line="288" w:lineRule="auto"/>
            </w:pPr>
            <w:r/>
            <w:r>
              <w:rPr>
                <w:rFonts w:ascii="맑은 고딕" w:hAnsi="맑은 고딕" w:eastAsia="맑은 고딕"/>
                <w:b/>
                <w:i w:val="0"/>
                <w:sz w:val="19"/>
              </w:rPr>
              <w:t>기준</w:t>
            </w:r>
          </w:p>
        </w:tc>
        <w:tc>
          <w:tcPr>
            <w:tcW w:type="dxa" w:w="1587"/>
            <w:shd w:val="clear" w:color="auto" w:fill="D9E2F3"/>
          </w:tcPr>
          <w:p>
            <w:pPr>
              <w:spacing w:after="20" w:line="288" w:lineRule="auto"/>
            </w:pPr>
            <w:r/>
            <w:r>
              <w:rPr>
                <w:rFonts w:ascii="맑은 고딕" w:hAnsi="맑은 고딕" w:eastAsia="맑은 고딕"/>
                <w:b/>
                <w:i w:val="0"/>
                <w:sz w:val="19"/>
              </w:rPr>
              <w:t>판단</w:t>
            </w:r>
          </w:p>
        </w:tc>
        <w:tc>
          <w:tcPr>
            <w:tcW w:type="dxa" w:w="6236"/>
            <w:shd w:val="clear" w:color="auto" w:fill="D9E2F3"/>
          </w:tcPr>
          <w:p>
            <w:pPr>
              <w:spacing w:after="20" w:line="288" w:lineRule="auto"/>
            </w:pPr>
            <w:r/>
            <w:r>
              <w:rPr>
                <w:rFonts w:ascii="맑은 고딕" w:hAnsi="맑은 고딕" w:eastAsia="맑은 고딕"/>
                <w:b/>
                <w:i w:val="0"/>
                <w:sz w:val="19"/>
              </w:rPr>
              <w:t>핵심 이유</w:t>
            </w:r>
          </w:p>
        </w:tc>
      </w:tr>
      <w:tr>
        <w:trPr>
          <w:cantSplit w:val="true"/>
        </w:trPr>
        <w:tc>
          <w:tcPr>
            <w:tcW w:type="dxa" w:w="1814"/>
          </w:tcPr>
          <w:p>
            <w:pPr>
              <w:spacing w:after="20" w:line="288" w:lineRule="auto"/>
            </w:pPr>
            <w:r/>
            <w:r>
              <w:rPr>
                <w:rFonts w:ascii="맑은 고딕" w:hAnsi="맑은 고딕" w:eastAsia="맑은 고딕"/>
                <w:b w:val="0"/>
                <w:i w:val="0"/>
                <w:sz w:val="19"/>
              </w:rPr>
              <w:t>1. Originality</w:t>
            </w:r>
          </w:p>
        </w:tc>
        <w:tc>
          <w:tcPr>
            <w:tcW w:type="dxa" w:w="1587"/>
          </w:tcPr>
          <w:p>
            <w:pPr>
              <w:spacing w:after="20" w:line="288" w:lineRule="auto"/>
            </w:pPr>
            <w:r/>
            <w:r>
              <w:rPr>
                <w:rFonts w:ascii="맑은 고딕" w:hAnsi="맑은 고딕" w:eastAsia="맑은 고딕"/>
                <w:b w:val="0"/>
                <w:i w:val="0"/>
                <w:sz w:val="19"/>
              </w:rPr>
              <w:t>양호</w:t>
            </w:r>
          </w:p>
        </w:tc>
        <w:tc>
          <w:tcPr>
            <w:tcW w:type="dxa" w:w="6236"/>
          </w:tcPr>
          <w:p>
            <w:pPr>
              <w:spacing w:after="20" w:line="288" w:lineRule="auto"/>
            </w:pPr>
            <w:r/>
            <w:r>
              <w:rPr>
                <w:rFonts w:ascii="맑은 고딕" w:hAnsi="맑은 고딕" w:eastAsia="맑은 고딕"/>
                <w:b w:val="0"/>
                <w:i w:val="0"/>
                <w:sz w:val="19"/>
              </w:rPr>
              <w:t>산업 간이 아니라 공정 단계 간 융합을 특허 단위로 본 점, 통합이 핵심에서 주변으로 옮겨 간다는 관점이 새롭다. 다만 측정(공동분류)은 기존 방법이어서 새로움이 "재배치" 주장에 집중된다.</w:t>
            </w:r>
          </w:p>
        </w:tc>
      </w:tr>
      <w:tr>
        <w:trPr>
          <w:cantSplit w:val="true"/>
        </w:trPr>
        <w:tc>
          <w:tcPr>
            <w:tcW w:type="dxa" w:w="1814"/>
          </w:tcPr>
          <w:p>
            <w:pPr>
              <w:spacing w:after="20" w:line="288" w:lineRule="auto"/>
            </w:pPr>
            <w:r/>
            <w:r>
              <w:rPr>
                <w:rFonts w:ascii="맑은 고딕" w:hAnsi="맑은 고딕" w:eastAsia="맑은 고딕"/>
                <w:b w:val="0"/>
                <w:i w:val="0"/>
                <w:sz w:val="19"/>
              </w:rPr>
              <w:t>2. Reliability</w:t>
            </w:r>
          </w:p>
        </w:tc>
        <w:tc>
          <w:tcPr>
            <w:tcW w:type="dxa" w:w="1587"/>
          </w:tcPr>
          <w:p>
            <w:pPr>
              <w:spacing w:after="20" w:line="288" w:lineRule="auto"/>
            </w:pPr>
            <w:r/>
            <w:r>
              <w:rPr>
                <w:rFonts w:ascii="맑은 고딕" w:hAnsi="맑은 고딕" w:eastAsia="맑은 고딕"/>
                <w:b w:val="0"/>
                <w:i w:val="0"/>
                <w:sz w:val="19"/>
              </w:rPr>
              <w:t>보통 (수정 시 양호)</w:t>
            </w:r>
          </w:p>
        </w:tc>
        <w:tc>
          <w:tcPr>
            <w:tcW w:type="dxa" w:w="6236"/>
          </w:tcPr>
          <w:p>
            <w:pPr>
              <w:spacing w:after="20" w:line="288" w:lineRule="auto"/>
            </w:pPr>
            <w:r/>
            <w:r>
              <w:rPr>
                <w:rFonts w:ascii="맑은 고딕" w:hAnsi="맑은 고딕" w:eastAsia="맑은 고딕"/>
                <w:b w:val="0"/>
                <w:i w:val="0"/>
                <w:sz w:val="19"/>
              </w:rPr>
              <w:t>수치는 정확하나, 조정 결과와 단순 비교의 관계 설명이 없고, 5.2–5.3에 수치가 본문과 표에 중복되어 논지가 묻힌다. 핵심 집단 하나가 소수 발명에 치우쳐 있다.</w:t>
            </w:r>
          </w:p>
        </w:tc>
      </w:tr>
      <w:tr>
        <w:trPr>
          <w:cantSplit w:val="true"/>
        </w:trPr>
        <w:tc>
          <w:tcPr>
            <w:tcW w:type="dxa" w:w="1814"/>
          </w:tcPr>
          <w:p>
            <w:pPr>
              <w:spacing w:after="20" w:line="288" w:lineRule="auto"/>
            </w:pPr>
            <w:r/>
            <w:r>
              <w:rPr>
                <w:rFonts w:ascii="맑은 고딕" w:hAnsi="맑은 고딕" w:eastAsia="맑은 고딕"/>
                <w:b w:val="0"/>
                <w:i w:val="0"/>
                <w:sz w:val="19"/>
              </w:rPr>
              <w:t>3. Completeness</w:t>
            </w:r>
          </w:p>
        </w:tc>
        <w:tc>
          <w:tcPr>
            <w:tcW w:type="dxa" w:w="1587"/>
          </w:tcPr>
          <w:p>
            <w:pPr>
              <w:spacing w:after="20" w:line="288" w:lineRule="auto"/>
            </w:pPr>
            <w:r/>
            <w:r>
              <w:rPr>
                <w:rFonts w:ascii="맑은 고딕" w:hAnsi="맑은 고딕" w:eastAsia="맑은 고딕"/>
                <w:b w:val="0"/>
                <w:i w:val="0"/>
                <w:sz w:val="19"/>
              </w:rPr>
              <w:t>보통</w:t>
            </w:r>
          </w:p>
        </w:tc>
        <w:tc>
          <w:tcPr>
            <w:tcW w:type="dxa" w:w="6236"/>
          </w:tcPr>
          <w:p>
            <w:pPr>
              <w:spacing w:after="20" w:line="288" w:lineRule="auto"/>
            </w:pPr>
            <w:r/>
            <w:r>
              <w:rPr>
                <w:rFonts w:ascii="맑은 고딕" w:hAnsi="맑은 고딕" w:eastAsia="맑은 고딕"/>
                <w:b w:val="0"/>
                <w:i w:val="0"/>
                <w:sz w:val="19"/>
              </w:rPr>
              <w:t>"예외적이지 않다"의 기준선이 없고, 제목은 지식 통합인데 통합 주체(출원인)가 빠져 있다. 2.3의 기대치가 6.1에서 어떻게 확인되었는지 대응이 없다.</w:t>
            </w:r>
          </w:p>
        </w:tc>
      </w:tr>
    </w:tbl>
    <w:p>
      <w:pPr>
        <w:spacing w:after="40"/>
      </w:pPr>
    </w:p>
    <w:p>
      <w:pPr>
        <w:keepNext/>
        <w:spacing w:before="280" w:after="120" w:line="324" w:lineRule="auto"/>
        <w:pBdr>
          <w:bottom w:val="single" w:sz="6" w:space="1" w:color="1F3864"/>
        </w:pBdr>
      </w:pPr>
      <w:r>
        <w:rPr>
          <w:rFonts w:ascii="맑은 고딕" w:hAnsi="맑은 고딕" w:eastAsia="맑은 고딕"/>
          <w:b/>
          <w:i w:val="0"/>
          <w:color w:val="1F3864"/>
          <w:sz w:val="28"/>
        </w:rPr>
        <w:t>2. 직접 확인한 사항</w:t>
      </w:r>
    </w:p>
    <w:p>
      <w:pPr>
        <w:spacing w:before="0" w:after="80" w:line="324" w:lineRule="auto"/>
      </w:pPr>
      <w:r>
        <w:rPr>
          <w:rFonts w:ascii="맑은 고딕" w:hAnsi="맑은 고딕" w:eastAsia="맑은 고딕"/>
          <w:b w:val="0"/>
          <w:i w:val="0"/>
          <w:sz w:val="21"/>
        </w:rPr>
        <w:t>아래는 데이터 재계산과 원고 대조로 확인한 결과입니다. 판단의 근거가 되므로 먼저 적습니다.</w:t>
      </w:r>
    </w:p>
    <w:tbl>
      <w:tblPr>
        <w:tblStyle w:val="TableGrid"/>
        <w:tblW w:type="auto" w:w="0"/>
        <w:jc w:val="center"/>
        <w:tblLayout w:type="fixed"/>
        <w:tblLook w:firstColumn="1" w:firstRow="1" w:lastColumn="0" w:lastRow="0" w:noHBand="0" w:noVBand="1" w:val="04A0"/>
      </w:tblPr>
      <w:tblGrid>
        <w:gridCol w:w="2721"/>
        <w:gridCol w:w="6917"/>
      </w:tblGrid>
      <w:tr>
        <w:trPr>
          <w:tblHeader w:val="true"/>
          <w:cantSplit w:val="true"/>
        </w:trPr>
        <w:tc>
          <w:tcPr>
            <w:tcW w:type="dxa" w:w="2721"/>
            <w:shd w:val="clear" w:color="auto" w:fill="D9E2F3"/>
          </w:tcPr>
          <w:p>
            <w:pPr>
              <w:spacing w:after="20" w:line="288" w:lineRule="auto"/>
            </w:pPr>
            <w:r/>
            <w:r>
              <w:rPr>
                <w:rFonts w:ascii="맑은 고딕" w:hAnsi="맑은 고딕" w:eastAsia="맑은 고딕"/>
                <w:b/>
                <w:i w:val="0"/>
                <w:sz w:val="19"/>
              </w:rPr>
              <w:t>확인 항목</w:t>
            </w:r>
          </w:p>
        </w:tc>
        <w:tc>
          <w:tcPr>
            <w:tcW w:type="dxa" w:w="6917"/>
            <w:shd w:val="clear" w:color="auto" w:fill="D9E2F3"/>
          </w:tcPr>
          <w:p>
            <w:pPr>
              <w:spacing w:after="20" w:line="288" w:lineRule="auto"/>
            </w:pPr>
            <w:r/>
            <w:r>
              <w:rPr>
                <w:rFonts w:ascii="맑은 고딕" w:hAnsi="맑은 고딕" w:eastAsia="맑은 고딕"/>
                <w:b/>
                <w:i w:val="0"/>
                <w:sz w:val="19"/>
              </w:rPr>
              <w:t>결과</w:t>
            </w:r>
          </w:p>
        </w:tc>
      </w:tr>
      <w:tr>
        <w:trPr>
          <w:cantSplit w:val="true"/>
        </w:trPr>
        <w:tc>
          <w:tcPr>
            <w:tcW w:type="dxa" w:w="2721"/>
          </w:tcPr>
          <w:p>
            <w:pPr>
              <w:spacing w:after="20" w:line="288" w:lineRule="auto"/>
            </w:pPr>
            <w:r/>
            <w:r>
              <w:rPr>
                <w:rFonts w:ascii="맑은 고딕" w:hAnsi="맑은 고딕" w:eastAsia="맑은 고딕"/>
                <w:b w:val="0"/>
                <w:i w:val="0"/>
                <w:sz w:val="19"/>
              </w:rPr>
              <w:t>표본 구성</w:t>
            </w:r>
          </w:p>
        </w:tc>
        <w:tc>
          <w:tcPr>
            <w:tcW w:type="dxa" w:w="6917"/>
          </w:tcPr>
          <w:p>
            <w:pPr>
              <w:spacing w:after="20" w:line="288" w:lineRule="auto"/>
            </w:pPr>
            <w:r/>
            <w:r>
              <w:rPr>
                <w:rFonts w:ascii="맑은 고딕" w:hAnsi="맑은 고딕" w:eastAsia="맑은 고딕"/>
                <w:b w:val="0"/>
                <w:i w:val="0"/>
                <w:sz w:val="19"/>
              </w:rPr>
              <w:t>928건 = 통합형 425 + 접합 단독 338 + 공정 단독 165. 본문과 일치.</w:t>
            </w:r>
          </w:p>
        </w:tc>
      </w:tr>
      <w:tr>
        <w:trPr>
          <w:cantSplit w:val="true"/>
        </w:trPr>
        <w:tc>
          <w:tcPr>
            <w:tcW w:type="dxa" w:w="2721"/>
          </w:tcPr>
          <w:p>
            <w:pPr>
              <w:spacing w:after="20" w:line="288" w:lineRule="auto"/>
            </w:pPr>
            <w:r/>
            <w:r>
              <w:rPr>
                <w:rFonts w:ascii="맑은 고딕" w:hAnsi="맑은 고딕" w:eastAsia="맑은 고딕"/>
                <w:b w:val="0"/>
                <w:i w:val="0"/>
                <w:sz w:val="19"/>
              </w:rPr>
              <w:t>기간별 건수와 구성</w:t>
            </w:r>
          </w:p>
        </w:tc>
        <w:tc>
          <w:tcPr>
            <w:tcW w:type="dxa" w:w="6917"/>
          </w:tcPr>
          <w:p>
            <w:pPr>
              <w:spacing w:after="20" w:line="288" w:lineRule="auto"/>
            </w:pPr>
            <w:r/>
            <w:r>
              <w:rPr>
                <w:rFonts w:ascii="맑은 고딕" w:hAnsi="맑은 고딕" w:eastAsia="맑은 고딕"/>
                <w:b w:val="0"/>
                <w:i w:val="0"/>
                <w:sz w:val="19"/>
              </w:rPr>
              <w:t>1968–2014 179건, 2015–2019 209건, 2020–2024 540건. 통합형 비율 31.3 → 62.2 → 44.3%, 공정 단독 43.6 → 14.8 → 10.4%, 접합 단독 25.1 → 23.0 → 45.4%. 본문·표 7과 일치.</w:t>
            </w:r>
          </w:p>
        </w:tc>
      </w:tr>
      <w:tr>
        <w:trPr>
          <w:cantSplit w:val="true"/>
        </w:trPr>
        <w:tc>
          <w:tcPr>
            <w:tcW w:type="dxa" w:w="2721"/>
          </w:tcPr>
          <w:p>
            <w:pPr>
              <w:spacing w:after="20" w:line="288" w:lineRule="auto"/>
            </w:pPr>
            <w:r/>
            <w:r>
              <w:rPr>
                <w:rFonts w:ascii="맑은 고딕" w:hAnsi="맑은 고딕" w:eastAsia="맑은 고딕"/>
                <w:b w:val="0"/>
                <w:i w:val="0"/>
                <w:sz w:val="19"/>
              </w:rPr>
              <w:t>기간 간 통합형 비율 차이(단순 χ²)</w:t>
            </w:r>
          </w:p>
        </w:tc>
        <w:tc>
          <w:tcPr>
            <w:tcW w:type="dxa" w:w="6917"/>
          </w:tcPr>
          <w:p>
            <w:pPr>
              <w:spacing w:after="20" w:line="288" w:lineRule="auto"/>
            </w:pPr>
            <w:r/>
            <w:r>
              <w:rPr>
                <w:rFonts w:ascii="맑은 고딕" w:hAnsi="맑은 고딕" w:eastAsia="맑은 고딕"/>
                <w:b w:val="0"/>
                <w:i w:val="0"/>
                <w:sz w:val="19"/>
              </w:rPr>
              <w:t>1968–2014 vs 2015–2019: p &lt; 0.001. 2015–2019 vs 2020–2024: p &lt; 0.001. 1968–2014 vs 2020–2024: p = 0.002. 3×3 전체 χ²(4) = 134.0, p &lt; 0.001. 접합 단독은 1968–2014와 2015–2019 사이에 변화가 없다(p = 0.62). 본문 서술과 일치.</w:t>
            </w:r>
          </w:p>
        </w:tc>
      </w:tr>
      <w:tr>
        <w:trPr>
          <w:cantSplit w:val="true"/>
        </w:trPr>
        <w:tc>
          <w:tcPr>
            <w:tcW w:type="dxa" w:w="2721"/>
          </w:tcPr>
          <w:p>
            <w:pPr>
              <w:spacing w:after="20" w:line="288" w:lineRule="auto"/>
            </w:pPr>
            <w:r/>
            <w:r>
              <w:rPr>
                <w:rFonts w:ascii="맑은 고딕" w:hAnsi="맑은 고딕" w:eastAsia="맑은 고딕"/>
                <w:b w:val="0"/>
                <w:i w:val="0"/>
                <w:sz w:val="19"/>
              </w:rPr>
              <w:t>표 4·7 승산비 교차 검산</w:t>
            </w:r>
          </w:p>
        </w:tc>
        <w:tc>
          <w:tcPr>
            <w:tcW w:type="dxa" w:w="6917"/>
          </w:tcPr>
          <w:p>
            <w:pPr>
              <w:spacing w:after="20" w:line="288" w:lineRule="auto"/>
            </w:pPr>
            <w:r/>
            <w:r>
              <w:rPr>
                <w:rFonts w:ascii="맑은 고딕" w:hAnsi="맑은 고딕" w:eastAsia="맑은 고딕"/>
                <w:b w:val="0"/>
                <w:i w:val="0"/>
                <w:sz w:val="19"/>
              </w:rPr>
              <w:t>11.071 × 0.221 ≈ 2.45(표 4: 2.452), 11.071 × 0.059 ≈ 0.65(표 4: 0.658). 핵심 기술 포함 접합 출원 54/140/426, 미포함 47/38/58, 비중 53.5/78.7/88.0%. 일치.</w:t>
            </w:r>
          </w:p>
        </w:tc>
      </w:tr>
      <w:tr>
        <w:trPr>
          <w:cantSplit w:val="true"/>
        </w:trPr>
        <w:tc>
          <w:tcPr>
            <w:tcW w:type="dxa" w:w="2721"/>
          </w:tcPr>
          <w:p>
            <w:pPr>
              <w:spacing w:after="20" w:line="288" w:lineRule="auto"/>
            </w:pPr>
            <w:r/>
            <w:r>
              <w:rPr>
                <w:rFonts w:ascii="맑은 고딕" w:hAnsi="맑은 고딕" w:eastAsia="맑은 고딕"/>
                <w:b w:val="0"/>
                <w:i w:val="0"/>
                <w:sz w:val="19"/>
              </w:rPr>
              <w:t>기타 산술</w:t>
            </w:r>
          </w:p>
        </w:tc>
        <w:tc>
          <w:tcPr>
            <w:tcW w:type="dxa" w:w="6917"/>
          </w:tcPr>
          <w:p>
            <w:pPr>
              <w:spacing w:after="20" w:line="288" w:lineRule="auto"/>
            </w:pPr>
            <w:r/>
            <w:r>
              <w:rPr>
                <w:rFonts w:ascii="맑은 고딕" w:hAnsi="맑은 고딕" w:eastAsia="맑은 고딕"/>
                <w:b w:val="0"/>
                <w:i w:val="0"/>
                <w:sz w:val="19"/>
              </w:rPr>
              <w:t>기호 기록 1,636 = 905 + 328 + 403(55.3/20.0/24.6%). 기술 범위 평균 5.69가 유형별 평균의 가중 평균과 일치. 620/763 = 81.3%. 좁은 정의에서 통합형 337.8/908 ≈ 37.2%.</w:t>
            </w:r>
          </w:p>
        </w:tc>
      </w:tr>
      <w:tr>
        <w:trPr>
          <w:cantSplit w:val="true"/>
        </w:trPr>
        <w:tc>
          <w:tcPr>
            <w:tcW w:type="dxa" w:w="2721"/>
          </w:tcPr>
          <w:p>
            <w:pPr>
              <w:spacing w:after="20" w:line="288" w:lineRule="auto"/>
            </w:pPr>
            <w:r/>
            <w:r>
              <w:rPr>
                <w:rFonts w:ascii="맑은 고딕" w:hAnsi="맑은 고딕" w:eastAsia="맑은 고딕"/>
                <w:b w:val="0"/>
                <w:i w:val="0"/>
                <w:sz w:val="19"/>
              </w:rPr>
              <w:t>인용·참고문헌 대조</w:t>
            </w:r>
          </w:p>
        </w:tc>
        <w:tc>
          <w:tcPr>
            <w:tcW w:type="dxa" w:w="6917"/>
          </w:tcPr>
          <w:p>
            <w:pPr>
              <w:spacing w:after="20" w:line="288" w:lineRule="auto"/>
            </w:pPr>
            <w:r/>
            <w:r>
              <w:rPr>
                <w:rFonts w:ascii="맑은 고딕" w:hAnsi="맑은 고딕" w:eastAsia="맑은 고딕"/>
                <w:b w:val="0"/>
                <w:i w:val="0"/>
                <w:sz w:val="19"/>
              </w:rPr>
              <w:t>본문 인용이 모두 참고문헌 60건에 있고, 인용되지 않은 참고문헌은 없다.</w:t>
            </w:r>
          </w:p>
        </w:tc>
      </w:tr>
      <w:tr>
        <w:trPr>
          <w:cantSplit w:val="true"/>
        </w:trPr>
        <w:tc>
          <w:tcPr>
            <w:tcW w:type="dxa" w:w="2721"/>
          </w:tcPr>
          <w:p>
            <w:pPr>
              <w:spacing w:after="20" w:line="288" w:lineRule="auto"/>
            </w:pPr>
            <w:r/>
            <w:r>
              <w:rPr>
                <w:rFonts w:ascii="맑은 고딕" w:hAnsi="맑은 고딕" w:eastAsia="맑은 고딕"/>
                <w:b w:val="0"/>
                <w:i w:val="0"/>
                <w:sz w:val="19"/>
              </w:rPr>
              <w:t>형성기 통합형의 제목 분포</w:t>
            </w:r>
          </w:p>
        </w:tc>
        <w:tc>
          <w:tcPr>
            <w:tcW w:type="dxa" w:w="6917"/>
          </w:tcPr>
          <w:p>
            <w:pPr>
              <w:spacing w:after="20" w:line="288" w:lineRule="auto"/>
            </w:pPr>
            <w:r/>
            <w:r>
              <w:rPr>
                <w:rFonts w:ascii="맑은 고딕" w:hAnsi="맑은 고딕" w:eastAsia="맑은 고딕"/>
                <w:b w:val="0"/>
                <w:i w:val="0"/>
                <w:sz w:val="19"/>
              </w:rPr>
              <w:t>1968–2014 통합형 56건은 정규화한 고유 제목 30개에 속하고, 한 제목(Room temperature metal direct bonding, 대소문자 변형 포함)이 11건을 차지한다.</w:t>
            </w:r>
          </w:p>
        </w:tc>
      </w:tr>
      <w:tr>
        <w:trPr>
          <w:cantSplit w:val="true"/>
        </w:trPr>
        <w:tc>
          <w:tcPr>
            <w:tcW w:type="dxa" w:w="2721"/>
          </w:tcPr>
          <w:p>
            <w:pPr>
              <w:spacing w:after="20" w:line="288" w:lineRule="auto"/>
            </w:pPr>
            <w:r/>
            <w:r>
              <w:rPr>
                <w:rFonts w:ascii="맑은 고딕" w:hAnsi="맑은 고딕" w:eastAsia="맑은 고딕"/>
                <w:b w:val="0"/>
                <w:i w:val="0"/>
                <w:sz w:val="19"/>
              </w:rPr>
              <w:t>제목 정규화</w:t>
            </w:r>
          </w:p>
        </w:tc>
        <w:tc>
          <w:tcPr>
            <w:tcW w:type="dxa" w:w="6917"/>
          </w:tcPr>
          <w:p>
            <w:pPr>
              <w:spacing w:after="20" w:line="288" w:lineRule="auto"/>
            </w:pPr>
            <w:r/>
            <w:r>
              <w:rPr>
                <w:rFonts w:ascii="맑은 고딕" w:hAnsi="맑은 고딕" w:eastAsia="맑은 고딕"/>
                <w:b w:val="0"/>
                <w:i w:val="0"/>
                <w:sz w:val="19"/>
              </w:rPr>
              <w:t>대소문자를 구분하면 고유 제목 589개, 대소문자·기호를 정규화하면 471개다. 본문은 473개라고 쓴다(2개 차이). 같은 제목 판정 규칙이 본문에 명시되어 있지 않다.</w:t>
            </w:r>
          </w:p>
        </w:tc>
      </w:tr>
    </w:tbl>
    <w:p>
      <w:pPr>
        <w:spacing w:after="40"/>
      </w:pPr>
    </w:p>
    <w:p>
      <w:pPr>
        <w:keepNext/>
        <w:spacing w:before="280" w:after="120" w:line="324" w:lineRule="auto"/>
        <w:pBdr>
          <w:bottom w:val="single" w:sz="6" w:space="1" w:color="1F3864"/>
        </w:pBdr>
      </w:pPr>
      <w:r>
        <w:rPr>
          <w:rFonts w:ascii="맑은 고딕" w:hAnsi="맑은 고딕" w:eastAsia="맑은 고딕"/>
          <w:b/>
          <w:i w:val="0"/>
          <w:color w:val="1F3864"/>
          <w:sz w:val="28"/>
        </w:rPr>
        <w:t>3. 1번 기준: Originality</w:t>
      </w:r>
    </w:p>
    <w:p>
      <w:pPr>
        <w:keepNext/>
        <w:spacing w:before="160" w:after="60" w:line="324" w:lineRule="auto"/>
      </w:pPr>
      <w:r>
        <w:rPr>
          <w:rFonts w:ascii="맑은 고딕" w:hAnsi="맑은 고딕" w:eastAsia="맑은 고딕"/>
          <w:b/>
          <w:i w:val="0"/>
          <w:color w:val="2F5496"/>
          <w:sz w:val="23"/>
        </w:rPr>
        <w:t>강점</w:t>
      </w:r>
    </w:p>
    <w:p>
      <w:pPr>
        <w:spacing w:before="0" w:after="40" w:line="324" w:lineRule="auto"/>
        <w:ind w:left="283" w:hanging="227"/>
      </w:pPr>
      <w:r>
        <w:rPr>
          <w:rFonts w:ascii="맑은 고딕" w:hAnsi="맑은 고딕" w:eastAsia="맑은 고딕"/>
          <w:b w:val="0"/>
          <w:i w:val="0"/>
          <w:sz w:val="21"/>
        </w:rPr>
        <w:t xml:space="preserve">· 분석 단위를 산업·분야에서 </w:t>
      </w:r>
      <w:r>
        <w:rPr>
          <w:rFonts w:ascii="맑은 고딕" w:hAnsi="맑은 고딕" w:eastAsia="맑은 고딕"/>
          <w:b/>
          <w:i w:val="0"/>
          <w:sz w:val="21"/>
        </w:rPr>
        <w:t>특허 한 건과 공정 단계의 경계</w:t>
      </w:r>
      <w:r>
        <w:rPr>
          <w:rFonts w:ascii="맑은 고딕" w:hAnsi="맑은 고딕" w:eastAsia="맑은 고딕"/>
          <w:b w:val="0"/>
          <w:i w:val="0"/>
          <w:sz w:val="21"/>
        </w:rPr>
        <w:t>로 내린 점이 이 논문의 얼굴이다. 서론의 Karvonen &amp; Kässi(2012) 대비가 이를 정확히 짚는다.</w:t>
      </w:r>
    </w:p>
    <w:p>
      <w:pPr>
        <w:spacing w:before="0" w:after="40" w:line="324" w:lineRule="auto"/>
        <w:ind w:left="283" w:hanging="227"/>
      </w:pPr>
      <w:r>
        <w:rPr>
          <w:rFonts w:ascii="맑은 고딕" w:hAnsi="맑은 고딕" w:eastAsia="맑은 고딕"/>
          <w:b w:val="0"/>
          <w:i w:val="0"/>
          <w:sz w:val="21"/>
        </w:rPr>
        <w:t xml:space="preserve">· 통합이 사라진 것이 아니라 핵심 접합에서 주변 공정(장비·패키징 단계)으로 </w:t>
      </w:r>
      <w:r>
        <w:rPr>
          <w:rFonts w:ascii="맑은 고딕" w:hAnsi="맑은 고딕" w:eastAsia="맑은 고딕"/>
          <w:b/>
          <w:i w:val="0"/>
          <w:sz w:val="21"/>
        </w:rPr>
        <w:t>옮겨 갔다</w:t>
      </w:r>
      <w:r>
        <w:rPr>
          <w:rFonts w:ascii="맑은 고딕" w:hAnsi="맑은 고딕" w:eastAsia="맑은 고딕"/>
          <w:b w:val="0"/>
          <w:i w:val="0"/>
          <w:sz w:val="21"/>
        </w:rPr>
        <w:t>는 해석은 투고 저널의 지식 통합 논의와 연결된다.</w:t>
      </w:r>
    </w:p>
    <w:p>
      <w:pPr>
        <w:keepNext/>
        <w:spacing w:before="160" w:after="60" w:line="324" w:lineRule="auto"/>
      </w:pPr>
      <w:r>
        <w:rPr>
          <w:rFonts w:ascii="맑은 고딕" w:hAnsi="맑은 고딕" w:eastAsia="맑은 고딕"/>
          <w:b/>
          <w:i w:val="0"/>
          <w:color w:val="2F5496"/>
          <w:sz w:val="23"/>
        </w:rPr>
        <w:t>위험</w:t>
      </w:r>
    </w:p>
    <w:p>
      <w:pPr>
        <w:spacing w:before="0" w:after="40" w:line="324" w:lineRule="auto"/>
        <w:ind w:left="283" w:hanging="227"/>
      </w:pPr>
      <w:r>
        <w:rPr>
          <w:rFonts w:ascii="맑은 고딕" w:hAnsi="맑은 고딕" w:eastAsia="맑은 고딕"/>
          <w:b w:val="0"/>
          <w:i w:val="0"/>
          <w:sz w:val="21"/>
        </w:rPr>
        <w:t xml:space="preserve">· 공동분류로 융합을 잡는 방법은 기존에 있다. 서론도 이를 인정한다. 따라서 독창성 심사는 사실상 </w:t>
      </w:r>
      <w:r>
        <w:rPr>
          <w:rFonts w:ascii="맑은 고딕" w:hAnsi="맑은 고딕" w:eastAsia="맑은 고딕"/>
          <w:b/>
          <w:i w:val="0"/>
          <w:sz w:val="21"/>
        </w:rPr>
        <w:t>"재배치"라는 주장이 얼마나 견고한가</w:t>
      </w:r>
      <w:r>
        <w:rPr>
          <w:rFonts w:ascii="맑은 고딕" w:hAnsi="맑은 고딕" w:eastAsia="맑은 고딕"/>
          <w:b w:val="0"/>
          <w:i w:val="0"/>
          <w:sz w:val="21"/>
        </w:rPr>
        <w:t>로 결정된다(R1, R4, C4).</w:t>
      </w:r>
    </w:p>
    <w:p>
      <w:pPr>
        <w:spacing w:before="0" w:after="40" w:line="324" w:lineRule="auto"/>
        <w:ind w:left="283" w:hanging="227"/>
      </w:pPr>
      <w:r>
        <w:rPr>
          <w:rFonts w:ascii="맑은 고딕" w:hAnsi="맑은 고딕" w:eastAsia="맑은 고딕"/>
          <w:b w:val="0"/>
          <w:i w:val="0"/>
          <w:sz w:val="21"/>
        </w:rPr>
        <w:t>· 기여 2에서 세 국면을 "보여 준다"고 썼지만, 국면 경계는 6.3에서 출원이 집중된 양상을 보고 정했다고 밝힌다. 이론에서 도출한 구분인 것처럼 읽히는 2.3과 서술이 어긋난다(R6).</w:t>
      </w:r>
    </w:p>
    <w:p>
      <w:pPr>
        <w:keepNext/>
        <w:spacing w:before="280" w:after="120" w:line="324" w:lineRule="auto"/>
        <w:pBdr>
          <w:bottom w:val="single" w:sz="6" w:space="1" w:color="1F3864"/>
        </w:pBdr>
      </w:pPr>
      <w:r>
        <w:rPr>
          <w:rFonts w:ascii="맑은 고딕" w:hAnsi="맑은 고딕" w:eastAsia="맑은 고딕"/>
          <w:b/>
          <w:i w:val="0"/>
          <w:color w:val="1F3864"/>
          <w:sz w:val="28"/>
        </w:rPr>
        <w:t>4. 2번 기준: Reliability — 논지가 데이터에 묻히는 곳</w:t>
      </w:r>
    </w:p>
    <w:tbl>
      <w:tblPr>
        <w:tblStyle w:val="TableGrid"/>
        <w:tblW w:type="auto" w:w="0"/>
        <w:jc w:val="center"/>
        <w:tblLayout w:type="fixed"/>
        <w:tblLook w:firstColumn="1" w:firstRow="1" w:lastColumn="0" w:lastRow="0" w:noHBand="0" w:noVBand="1" w:val="04A0"/>
      </w:tblPr>
      <w:tblGrid>
        <w:gridCol w:w="510"/>
        <w:gridCol w:w="1134"/>
        <w:gridCol w:w="2835"/>
        <w:gridCol w:w="1928"/>
        <w:gridCol w:w="2665"/>
        <w:gridCol w:w="567"/>
      </w:tblGrid>
      <w:tr>
        <w:trPr>
          <w:tblHeader w:val="true"/>
          <w:cantSplit w:val="true"/>
        </w:trPr>
        <w:tc>
          <w:tcPr>
            <w:tcW w:type="dxa" w:w="510"/>
            <w:shd w:val="clear" w:color="auto" w:fill="D9E2F3"/>
          </w:tcPr>
          <w:p>
            <w:pPr>
              <w:spacing w:after="20" w:line="288" w:lineRule="auto"/>
            </w:pPr>
            <w:r/>
            <w:r>
              <w:rPr>
                <w:rFonts w:ascii="맑은 고딕" w:hAnsi="맑은 고딕" w:eastAsia="맑은 고딕"/>
                <w:b/>
                <w:i w:val="0"/>
                <w:sz w:val="17"/>
              </w:rPr>
              <w:t>ID</w:t>
            </w:r>
          </w:p>
        </w:tc>
        <w:tc>
          <w:tcPr>
            <w:tcW w:type="dxa" w:w="1134"/>
            <w:shd w:val="clear" w:color="auto" w:fill="D9E2F3"/>
          </w:tcPr>
          <w:p>
            <w:pPr>
              <w:spacing w:after="20" w:line="288" w:lineRule="auto"/>
            </w:pPr>
            <w:r/>
            <w:r>
              <w:rPr>
                <w:rFonts w:ascii="맑은 고딕" w:hAnsi="맑은 고딕" w:eastAsia="맑은 고딕"/>
                <w:b/>
                <w:i w:val="0"/>
                <w:sz w:val="17"/>
              </w:rPr>
              <w:t>위치</w:t>
            </w:r>
          </w:p>
        </w:tc>
        <w:tc>
          <w:tcPr>
            <w:tcW w:type="dxa" w:w="2835"/>
            <w:shd w:val="clear" w:color="auto" w:fill="D9E2F3"/>
          </w:tcPr>
          <w:p>
            <w:pPr>
              <w:spacing w:after="20" w:line="288" w:lineRule="auto"/>
            </w:pPr>
            <w:r/>
            <w:r>
              <w:rPr>
                <w:rFonts w:ascii="맑은 고딕" w:hAnsi="맑은 고딕" w:eastAsia="맑은 고딕"/>
                <w:b/>
                <w:i w:val="0"/>
                <w:sz w:val="17"/>
              </w:rPr>
              <w:t>문제</w:t>
            </w:r>
          </w:p>
        </w:tc>
        <w:tc>
          <w:tcPr>
            <w:tcW w:type="dxa" w:w="1928"/>
            <w:shd w:val="clear" w:color="auto" w:fill="D9E2F3"/>
          </w:tcPr>
          <w:p>
            <w:pPr>
              <w:spacing w:after="20" w:line="288" w:lineRule="auto"/>
            </w:pPr>
            <w:r/>
            <w:r>
              <w:rPr>
                <w:rFonts w:ascii="맑은 고딕" w:hAnsi="맑은 고딕" w:eastAsia="맑은 고딕"/>
                <w:b/>
                <w:i w:val="0"/>
                <w:sz w:val="17"/>
              </w:rPr>
              <w:t>근거</w:t>
            </w:r>
          </w:p>
        </w:tc>
        <w:tc>
          <w:tcPr>
            <w:tcW w:type="dxa" w:w="2665"/>
            <w:shd w:val="clear" w:color="auto" w:fill="D9E2F3"/>
          </w:tcPr>
          <w:p>
            <w:pPr>
              <w:spacing w:after="20" w:line="288" w:lineRule="auto"/>
            </w:pPr>
            <w:r/>
            <w:r>
              <w:rPr>
                <w:rFonts w:ascii="맑은 고딕" w:hAnsi="맑은 고딕" w:eastAsia="맑은 고딕"/>
                <w:b/>
                <w:i w:val="0"/>
                <w:sz w:val="17"/>
              </w:rPr>
              <w:t>권고</w:t>
            </w:r>
          </w:p>
        </w:tc>
        <w:tc>
          <w:tcPr>
            <w:tcW w:type="dxa" w:w="567"/>
            <w:shd w:val="clear" w:color="auto" w:fill="D9E2F3"/>
          </w:tcPr>
          <w:p>
            <w:pPr>
              <w:spacing w:after="20" w:line="288" w:lineRule="auto"/>
            </w:pPr>
            <w:r/>
            <w:r>
              <w:rPr>
                <w:rFonts w:ascii="맑은 고딕" w:hAnsi="맑은 고딕" w:eastAsia="맑은 고딕"/>
                <w:b/>
                <w:i w:val="0"/>
                <w:sz w:val="17"/>
              </w:rPr>
              <w:t>순위</w:t>
            </w:r>
          </w:p>
        </w:tc>
      </w:tr>
      <w:tr>
        <w:trPr>
          <w:cantSplit w:val="true"/>
        </w:trPr>
        <w:tc>
          <w:tcPr>
            <w:tcW w:type="dxa" w:w="510"/>
          </w:tcPr>
          <w:p>
            <w:pPr>
              <w:spacing w:after="20" w:line="288" w:lineRule="auto"/>
            </w:pPr>
            <w:r/>
            <w:r>
              <w:rPr>
                <w:rFonts w:ascii="맑은 고딕" w:hAnsi="맑은 고딕" w:eastAsia="맑은 고딕"/>
                <w:b w:val="0"/>
                <w:i w:val="0"/>
                <w:sz w:val="17"/>
              </w:rPr>
              <w:t>R1</w:t>
            </w:r>
          </w:p>
        </w:tc>
        <w:tc>
          <w:tcPr>
            <w:tcW w:type="dxa" w:w="1134"/>
          </w:tcPr>
          <w:p>
            <w:pPr>
              <w:spacing w:after="20" w:line="288" w:lineRule="auto"/>
            </w:pPr>
            <w:r/>
            <w:r>
              <w:rPr>
                <w:rFonts w:ascii="맑은 고딕" w:hAnsi="맑은 고딕" w:eastAsia="맑은 고딕"/>
                <w:b w:val="0"/>
                <w:i w:val="0"/>
                <w:sz w:val="17"/>
              </w:rPr>
              <w:t>5.2, 6.1 Second</w:t>
            </w:r>
          </w:p>
        </w:tc>
        <w:tc>
          <w:tcPr>
            <w:tcW w:type="dxa" w:w="2835"/>
          </w:tcPr>
          <w:p>
            <w:pPr>
              <w:spacing w:after="20" w:line="288" w:lineRule="auto"/>
            </w:pPr>
            <w:r/>
            <w:r>
              <w:rPr>
                <w:rFonts w:ascii="맑은 고딕" w:hAnsi="맑은 고딕" w:eastAsia="맑은 고딕"/>
                <w:b w:val="0"/>
                <w:i w:val="0"/>
                <w:sz w:val="17"/>
              </w:rPr>
              <w:t>기간별 통합형 비율의 상승·하락은 단순 비교에서 모두 유의하다(p &lt; 0.001). 그런데 본문이 제시하는 것은 조정 모형의 기간 더미(2015–2019 RRR 1.707, p = 0.09; 2020–2024 0.762, 비유의)뿐이다. 독자는 "정점이 있다"와 "유의하지 않다"를 함께 읽게 된다.</w:t>
            </w:r>
          </w:p>
        </w:tc>
        <w:tc>
          <w:tcPr>
            <w:tcW w:type="dxa" w:w="1928"/>
          </w:tcPr>
          <w:p>
            <w:pPr>
              <w:spacing w:after="20" w:line="288" w:lineRule="auto"/>
            </w:pPr>
            <w:r/>
            <w:r>
              <w:rPr>
                <w:rFonts w:ascii="맑은 고딕" w:hAnsi="맑은 고딕" w:eastAsia="맑은 고딕"/>
                <w:b w:val="0"/>
                <w:i w:val="0"/>
                <w:sz w:val="17"/>
              </w:rPr>
              <w:t>단순 χ²: 형성→확산 p &lt; 0.001, 확산→재편 p &lt; 0.001. 통합형 연도 선형 추세는 RRR 0.993으로 없음.</w:t>
            </w:r>
          </w:p>
        </w:tc>
        <w:tc>
          <w:tcPr>
            <w:tcW w:type="dxa" w:w="2665"/>
          </w:tcPr>
          <w:p>
            <w:pPr>
              <w:spacing w:after="20" w:line="288" w:lineRule="auto"/>
            </w:pPr>
            <w:r/>
            <w:r>
              <w:rPr>
                <w:rFonts w:ascii="맑은 고딕" w:hAnsi="맑은 고딕" w:eastAsia="맑은 고딕"/>
                <w:b w:val="0"/>
                <w:i w:val="0"/>
                <w:sz w:val="17"/>
              </w:rPr>
              <w:t>5.2에 단순 비교의 검정을 한 줄 넣고, 조정 모형에서 사라지는 이유(기술 범위·출원청 구성 변화)를 한 문장으로 설명한다. 이는 2.4에 이미 있는 "구성 변화와 함께 해석" 원칙의 적용이다.</w:t>
            </w:r>
          </w:p>
        </w:tc>
        <w:tc>
          <w:tcPr>
            <w:tcW w:type="dxa" w:w="567"/>
          </w:tcPr>
          <w:p>
            <w:pPr>
              <w:spacing w:after="20" w:line="288" w:lineRule="auto"/>
            </w:pPr>
            <w:r/>
            <w:r>
              <w:rPr>
                <w:rFonts w:ascii="맑은 고딕" w:hAnsi="맑은 고딕" w:eastAsia="맑은 고딕"/>
                <w:b w:val="0"/>
                <w:i w:val="0"/>
                <w:sz w:val="17"/>
              </w:rPr>
              <w:t>상</w:t>
            </w:r>
          </w:p>
        </w:tc>
      </w:tr>
      <w:tr>
        <w:trPr>
          <w:cantSplit w:val="true"/>
        </w:trPr>
        <w:tc>
          <w:tcPr>
            <w:tcW w:type="dxa" w:w="510"/>
          </w:tcPr>
          <w:p>
            <w:pPr>
              <w:spacing w:after="20" w:line="288" w:lineRule="auto"/>
            </w:pPr>
            <w:r/>
            <w:r>
              <w:rPr>
                <w:rFonts w:ascii="맑은 고딕" w:hAnsi="맑은 고딕" w:eastAsia="맑은 고딕"/>
                <w:b w:val="0"/>
                <w:i w:val="0"/>
                <w:sz w:val="17"/>
              </w:rPr>
              <w:t>R2</w:t>
            </w:r>
          </w:p>
        </w:tc>
        <w:tc>
          <w:tcPr>
            <w:tcW w:type="dxa" w:w="1134"/>
          </w:tcPr>
          <w:p>
            <w:pPr>
              <w:spacing w:after="20" w:line="288" w:lineRule="auto"/>
            </w:pPr>
            <w:r/>
            <w:r>
              <w:rPr>
                <w:rFonts w:ascii="맑은 고딕" w:hAnsi="맑은 고딕" w:eastAsia="맑은 고딕"/>
                <w:b w:val="0"/>
                <w:i w:val="0"/>
                <w:sz w:val="17"/>
              </w:rPr>
              <w:t>5.2, 5.3, 5.4</w:t>
            </w:r>
          </w:p>
        </w:tc>
        <w:tc>
          <w:tcPr>
            <w:tcW w:type="dxa" w:w="2835"/>
          </w:tcPr>
          <w:p>
            <w:pPr>
              <w:spacing w:after="20" w:line="288" w:lineRule="auto"/>
            </w:pPr>
            <w:r/>
            <w:r>
              <w:rPr>
                <w:rFonts w:ascii="맑은 고딕" w:hAnsi="맑은 고딕" w:eastAsia="맑은 고딕"/>
                <w:b w:val="0"/>
                <w:i w:val="0"/>
                <w:sz w:val="17"/>
              </w:rPr>
              <w:t>한 단락에 20개 안팎의 수치가 들어가고, 표 5·표 6과 같은 값이 본문에 반복된다. 논지가 수치에 묻힌다.</w:t>
            </w:r>
          </w:p>
        </w:tc>
        <w:tc>
          <w:tcPr>
            <w:tcW w:type="dxa" w:w="1928"/>
          </w:tcPr>
          <w:p>
            <w:pPr>
              <w:spacing w:after="20" w:line="288" w:lineRule="auto"/>
            </w:pPr>
            <w:r/>
            <w:r>
              <w:rPr>
                <w:rFonts w:ascii="맑은 고딕" w:hAnsi="맑은 고딕" w:eastAsia="맑은 고딕"/>
                <w:b w:val="0"/>
                <w:i w:val="0"/>
                <w:sz w:val="17"/>
              </w:rPr>
              <w:t>5.3 마지막 단락: Jaccard 0.598/0.159, 119→82, 11→89, 43→139, 매개 중심성 53.6/42.5/9.0/26.1. 모두 표 5에 있다.</w:t>
            </w:r>
          </w:p>
        </w:tc>
        <w:tc>
          <w:tcPr>
            <w:tcW w:type="dxa" w:w="2665"/>
          </w:tcPr>
          <w:p>
            <w:pPr>
              <w:spacing w:after="20" w:line="288" w:lineRule="auto"/>
            </w:pPr>
            <w:r/>
            <w:r>
              <w:rPr>
                <w:rFonts w:ascii="맑은 고딕" w:hAnsi="맑은 고딕" w:eastAsia="맑은 고딕"/>
                <w:b w:val="0"/>
                <w:i w:val="0"/>
                <w:sz w:val="17"/>
              </w:rPr>
              <w:t>본문에는 판단에 필요한 수치 2–3개만 두고, 나머지는 표를 가리킨다. 각 단락 첫 문장에 그 단락이 RQ에 대해 무엇을 말하는지 쓴다(5.1은 이미 굵은 글씨로 그렇게 한다).</w:t>
            </w:r>
          </w:p>
        </w:tc>
        <w:tc>
          <w:tcPr>
            <w:tcW w:type="dxa" w:w="567"/>
          </w:tcPr>
          <w:p>
            <w:pPr>
              <w:spacing w:after="20" w:line="288" w:lineRule="auto"/>
            </w:pPr>
            <w:r/>
            <w:r>
              <w:rPr>
                <w:rFonts w:ascii="맑은 고딕" w:hAnsi="맑은 고딕" w:eastAsia="맑은 고딕"/>
                <w:b w:val="0"/>
                <w:i w:val="0"/>
                <w:sz w:val="17"/>
              </w:rPr>
              <w:t>상</w:t>
            </w:r>
          </w:p>
        </w:tc>
      </w:tr>
      <w:tr>
        <w:trPr>
          <w:cantSplit w:val="true"/>
        </w:trPr>
        <w:tc>
          <w:tcPr>
            <w:tcW w:type="dxa" w:w="510"/>
          </w:tcPr>
          <w:p>
            <w:pPr>
              <w:spacing w:after="20" w:line="288" w:lineRule="auto"/>
            </w:pPr>
            <w:r/>
            <w:r>
              <w:rPr>
                <w:rFonts w:ascii="맑은 고딕" w:hAnsi="맑은 고딕" w:eastAsia="맑은 고딕"/>
                <w:b w:val="0"/>
                <w:i w:val="0"/>
                <w:sz w:val="17"/>
              </w:rPr>
              <w:t>R3</w:t>
            </w:r>
          </w:p>
        </w:tc>
        <w:tc>
          <w:tcPr>
            <w:tcW w:type="dxa" w:w="1134"/>
          </w:tcPr>
          <w:p>
            <w:pPr>
              <w:spacing w:after="20" w:line="288" w:lineRule="auto"/>
            </w:pPr>
            <w:r/>
            <w:r>
              <w:rPr>
                <w:rFonts w:ascii="맑은 고딕" w:hAnsi="맑은 고딕" w:eastAsia="맑은 고딕"/>
                <w:b w:val="0"/>
                <w:i w:val="0"/>
                <w:sz w:val="17"/>
              </w:rPr>
              <w:t>Abstract, 7, 5.4</w:t>
            </w:r>
          </w:p>
        </w:tc>
        <w:tc>
          <w:tcPr>
            <w:tcW w:type="dxa" w:w="2835"/>
          </w:tcPr>
          <w:p>
            <w:pPr>
              <w:spacing w:after="20" w:line="288" w:lineRule="auto"/>
            </w:pPr>
            <w:r/>
            <w:r>
              <w:rPr>
                <w:rFonts w:ascii="맑은 고딕" w:hAnsi="맑은 고딕" w:eastAsia="맑은 고딕"/>
                <w:b w:val="0"/>
                <w:i w:val="0"/>
                <w:sz w:val="17"/>
              </w:rPr>
              <w:t>좁은 정의에서는 접합 단독이 46.8%로 최대 집단이고 통합형은 37.2%다. 5.4는 이를 정확히 쓰지만, Abstract는 "largest group, remaining substantial"로 줄여 써서 좁은 정의에서도 최대인 것처럼 읽힌다.</w:t>
            </w:r>
          </w:p>
        </w:tc>
        <w:tc>
          <w:tcPr>
            <w:tcW w:type="dxa" w:w="1928"/>
          </w:tcPr>
          <w:p>
            <w:pPr>
              <w:spacing w:after="20" w:line="288" w:lineRule="auto"/>
            </w:pPr>
            <w:r/>
            <w:r>
              <w:rPr>
                <w:rFonts w:ascii="맑은 고딕" w:hAnsi="맑은 고딕" w:eastAsia="맑은 고딕"/>
                <w:b w:val="0"/>
                <w:i w:val="0"/>
                <w:sz w:val="17"/>
              </w:rPr>
              <w:t>5.4: 46.8% bonding-only, 37.2% integrated, 16.0% process-only.</w:t>
            </w:r>
          </w:p>
        </w:tc>
        <w:tc>
          <w:tcPr>
            <w:tcW w:type="dxa" w:w="2665"/>
          </w:tcPr>
          <w:p>
            <w:pPr>
              <w:spacing w:after="20" w:line="288" w:lineRule="auto"/>
            </w:pPr>
            <w:r/>
            <w:r>
              <w:rPr>
                <w:rFonts w:ascii="맑은 고딕" w:hAnsi="맑은 고딕" w:eastAsia="맑은 고딕"/>
                <w:b w:val="0"/>
                <w:i w:val="0"/>
                <w:sz w:val="17"/>
              </w:rPr>
              <w:t>Abstract에 "좁은 정의에서는 접합 단독이 가장 많고 통합형은 약 3분의 1"처럼 사실 그대로 쓴다.</w:t>
            </w:r>
          </w:p>
        </w:tc>
        <w:tc>
          <w:tcPr>
            <w:tcW w:type="dxa" w:w="567"/>
          </w:tcPr>
          <w:p>
            <w:pPr>
              <w:spacing w:after="20" w:line="288" w:lineRule="auto"/>
            </w:pPr>
            <w:r/>
            <w:r>
              <w:rPr>
                <w:rFonts w:ascii="맑은 고딕" w:hAnsi="맑은 고딕" w:eastAsia="맑은 고딕"/>
                <w:b w:val="0"/>
                <w:i w:val="0"/>
                <w:sz w:val="17"/>
              </w:rPr>
              <w:t>상</w:t>
            </w:r>
          </w:p>
        </w:tc>
      </w:tr>
      <w:tr>
        <w:trPr>
          <w:cantSplit w:val="true"/>
        </w:trPr>
        <w:tc>
          <w:tcPr>
            <w:tcW w:type="dxa" w:w="510"/>
          </w:tcPr>
          <w:p>
            <w:pPr>
              <w:spacing w:after="20" w:line="288" w:lineRule="auto"/>
            </w:pPr>
            <w:r/>
            <w:r>
              <w:rPr>
                <w:rFonts w:ascii="맑은 고딕" w:hAnsi="맑은 고딕" w:eastAsia="맑은 고딕"/>
                <w:b w:val="0"/>
                <w:i w:val="0"/>
                <w:sz w:val="17"/>
              </w:rPr>
              <w:t>R4</w:t>
            </w:r>
          </w:p>
        </w:tc>
        <w:tc>
          <w:tcPr>
            <w:tcW w:type="dxa" w:w="1134"/>
          </w:tcPr>
          <w:p>
            <w:pPr>
              <w:spacing w:after="20" w:line="288" w:lineRule="auto"/>
            </w:pPr>
            <w:r/>
            <w:r>
              <w:rPr>
                <w:rFonts w:ascii="맑은 고딕" w:hAnsi="맑은 고딕" w:eastAsia="맑은 고딕"/>
                <w:b w:val="0"/>
                <w:i w:val="0"/>
                <w:sz w:val="17"/>
              </w:rPr>
              <w:t>5.3, 표 7 주석</w:t>
            </w:r>
          </w:p>
        </w:tc>
        <w:tc>
          <w:tcPr>
            <w:tcW w:type="dxa" w:w="2835"/>
          </w:tcPr>
          <w:p>
            <w:pPr>
              <w:spacing w:after="20" w:line="288" w:lineRule="auto"/>
            </w:pPr>
            <w:r/>
            <w:r>
              <w:rPr>
                <w:rFonts w:ascii="맑은 고딕" w:hAnsi="맑은 고딕" w:eastAsia="맑은 고딕"/>
                <w:b w:val="0"/>
                <w:i w:val="0"/>
                <w:sz w:val="17"/>
              </w:rPr>
              <w:t>RQ3 첫 국면(승산비 11.071)의 근거가 소수 발명에 치우쳐 있다. 표 7 주석은 이를 인정하지만 5.3 본문과 6.3에는 없다.</w:t>
            </w:r>
          </w:p>
        </w:tc>
        <w:tc>
          <w:tcPr>
            <w:tcW w:type="dxa" w:w="1928"/>
          </w:tcPr>
          <w:p>
            <w:pPr>
              <w:spacing w:after="20" w:line="288" w:lineRule="auto"/>
            </w:pPr>
            <w:r/>
            <w:r>
              <w:rPr>
                <w:rFonts w:ascii="맑은 고딕" w:hAnsi="맑은 고딕" w:eastAsia="맑은 고딕"/>
                <w:b w:val="0"/>
                <w:i w:val="0"/>
                <w:sz w:val="17"/>
              </w:rPr>
              <w:t>형성기 통합형 56건 = 30개 제목, 한 제목이 11건. 제목 중복 제거 표본에서도 6.191로 방향은 유지된다(표 6).</w:t>
            </w:r>
          </w:p>
        </w:tc>
        <w:tc>
          <w:tcPr>
            <w:tcW w:type="dxa" w:w="2665"/>
          </w:tcPr>
          <w:p>
            <w:pPr>
              <w:spacing w:after="20" w:line="288" w:lineRule="auto"/>
            </w:pPr>
            <w:r/>
            <w:r>
              <w:rPr>
                <w:rFonts w:ascii="맑은 고딕" w:hAnsi="맑은 고딕" w:eastAsia="맑은 고딕"/>
                <w:b w:val="0"/>
                <w:i w:val="0"/>
                <w:sz w:val="17"/>
              </w:rPr>
              <w:t>5.3에 셀별 고유 제목 수를 밝히고, 6.3에 한계로 옮긴다. 방향이 유지된다는 점(표 6)을 함께 적으면 균형이 맞다.</w:t>
            </w:r>
          </w:p>
        </w:tc>
        <w:tc>
          <w:tcPr>
            <w:tcW w:type="dxa" w:w="567"/>
          </w:tcPr>
          <w:p>
            <w:pPr>
              <w:spacing w:after="20" w:line="288" w:lineRule="auto"/>
            </w:pPr>
            <w:r/>
            <w:r>
              <w:rPr>
                <w:rFonts w:ascii="맑은 고딕" w:hAnsi="맑은 고딕" w:eastAsia="맑은 고딕"/>
                <w:b w:val="0"/>
                <w:i w:val="0"/>
                <w:sz w:val="17"/>
              </w:rPr>
              <w:t>중</w:t>
            </w:r>
          </w:p>
        </w:tc>
      </w:tr>
      <w:tr>
        <w:trPr>
          <w:cantSplit w:val="true"/>
        </w:trPr>
        <w:tc>
          <w:tcPr>
            <w:tcW w:type="dxa" w:w="510"/>
          </w:tcPr>
          <w:p>
            <w:pPr>
              <w:spacing w:after="20" w:line="288" w:lineRule="auto"/>
            </w:pPr>
            <w:r/>
            <w:r>
              <w:rPr>
                <w:rFonts w:ascii="맑은 고딕" w:hAnsi="맑은 고딕" w:eastAsia="맑은 고딕"/>
                <w:b w:val="0"/>
                <w:i w:val="0"/>
                <w:sz w:val="17"/>
              </w:rPr>
              <w:t>R5</w:t>
            </w:r>
          </w:p>
        </w:tc>
        <w:tc>
          <w:tcPr>
            <w:tcW w:type="dxa" w:w="1134"/>
          </w:tcPr>
          <w:p>
            <w:pPr>
              <w:spacing w:after="20" w:line="288" w:lineRule="auto"/>
            </w:pPr>
            <w:r/>
            <w:r>
              <w:rPr>
                <w:rFonts w:ascii="맑은 고딕" w:hAnsi="맑은 고딕" w:eastAsia="맑은 고딕"/>
                <w:b w:val="0"/>
                <w:i w:val="0"/>
                <w:sz w:val="17"/>
              </w:rPr>
              <w:t>5.1, 표 6 주석</w:t>
            </w:r>
          </w:p>
        </w:tc>
        <w:tc>
          <w:tcPr>
            <w:tcW w:type="dxa" w:w="2835"/>
          </w:tcPr>
          <w:p>
            <w:pPr>
              <w:spacing w:after="20" w:line="288" w:lineRule="auto"/>
            </w:pPr>
            <w:r/>
            <w:r>
              <w:rPr>
                <w:rFonts w:ascii="맑은 고딕" w:hAnsi="맑은 고딕" w:eastAsia="맑은 고딕"/>
                <w:b w:val="0"/>
                <w:i w:val="0"/>
                <w:sz w:val="17"/>
              </w:rPr>
              <w:t>5.1은 기술 범위 → 공정 단독(RRR 0.905, p &lt; 0.05)을 유의하다고 쓰지만, 제목 군집 표준오차에서는 p = 0.29다. 이 사실은 표 6 주석에만 있다.</w:t>
            </w:r>
          </w:p>
        </w:tc>
        <w:tc>
          <w:tcPr>
            <w:tcW w:type="dxa" w:w="1928"/>
          </w:tcPr>
          <w:p>
            <w:pPr>
              <w:spacing w:after="20" w:line="288" w:lineRule="auto"/>
            </w:pPr>
            <w:r/>
            <w:r>
              <w:rPr>
                <w:rFonts w:ascii="맑은 고딕" w:hAnsi="맑은 고딕" w:eastAsia="맑은 고딕"/>
                <w:b w:val="0"/>
                <w:i w:val="0"/>
                <w:sz w:val="17"/>
              </w:rPr>
              <w:t>표 6 주석.</w:t>
            </w:r>
          </w:p>
        </w:tc>
        <w:tc>
          <w:tcPr>
            <w:tcW w:type="dxa" w:w="2665"/>
          </w:tcPr>
          <w:p>
            <w:pPr>
              <w:spacing w:after="20" w:line="288" w:lineRule="auto"/>
            </w:pPr>
            <w:r/>
            <w:r>
              <w:rPr>
                <w:rFonts w:ascii="맑은 고딕" w:hAnsi="맑은 고딕" w:eastAsia="맑은 고딕"/>
                <w:b w:val="0"/>
                <w:i w:val="0"/>
                <w:sz w:val="17"/>
              </w:rPr>
              <w:t>5.1 해당 문장에 "군집 표준오차에서는 유의하지 않음"을 덧붙이거나 이 계수를 해석에서 뺀다.</w:t>
            </w:r>
          </w:p>
        </w:tc>
        <w:tc>
          <w:tcPr>
            <w:tcW w:type="dxa" w:w="567"/>
          </w:tcPr>
          <w:p>
            <w:pPr>
              <w:spacing w:after="20" w:line="288" w:lineRule="auto"/>
            </w:pPr>
            <w:r/>
            <w:r>
              <w:rPr>
                <w:rFonts w:ascii="맑은 고딕" w:hAnsi="맑은 고딕" w:eastAsia="맑은 고딕"/>
                <w:b w:val="0"/>
                <w:i w:val="0"/>
                <w:sz w:val="17"/>
              </w:rPr>
              <w:t>중</w:t>
            </w:r>
          </w:p>
        </w:tc>
      </w:tr>
      <w:tr>
        <w:trPr>
          <w:cantSplit w:val="true"/>
        </w:trPr>
        <w:tc>
          <w:tcPr>
            <w:tcW w:type="dxa" w:w="510"/>
          </w:tcPr>
          <w:p>
            <w:pPr>
              <w:spacing w:after="20" w:line="288" w:lineRule="auto"/>
            </w:pPr>
            <w:r/>
            <w:r>
              <w:rPr>
                <w:rFonts w:ascii="맑은 고딕" w:hAnsi="맑은 고딕" w:eastAsia="맑은 고딕"/>
                <w:b w:val="0"/>
                <w:i w:val="0"/>
                <w:sz w:val="17"/>
              </w:rPr>
              <w:t>R6</w:t>
            </w:r>
          </w:p>
        </w:tc>
        <w:tc>
          <w:tcPr>
            <w:tcW w:type="dxa" w:w="1134"/>
          </w:tcPr>
          <w:p>
            <w:pPr>
              <w:spacing w:after="20" w:line="288" w:lineRule="auto"/>
            </w:pPr>
            <w:r/>
            <w:r>
              <w:rPr>
                <w:rFonts w:ascii="맑은 고딕" w:hAnsi="맑은 고딕" w:eastAsia="맑은 고딕"/>
                <w:b w:val="0"/>
                <w:i w:val="0"/>
                <w:sz w:val="17"/>
              </w:rPr>
              <w:t>2.3, 4.5, 6.3</w:t>
            </w:r>
          </w:p>
        </w:tc>
        <w:tc>
          <w:tcPr>
            <w:tcW w:type="dxa" w:w="2835"/>
          </w:tcPr>
          <w:p>
            <w:pPr>
              <w:spacing w:after="20" w:line="288" w:lineRule="auto"/>
            </w:pPr>
            <w:r/>
            <w:r>
              <w:rPr>
                <w:rFonts w:ascii="맑은 고딕" w:hAnsi="맑은 고딕" w:eastAsia="맑은 고딕"/>
                <w:b w:val="0"/>
                <w:i w:val="0"/>
                <w:sz w:val="17"/>
              </w:rPr>
              <w:t>기간 경계가 사후에 정해졌다는 사실(6.3)이 방법(4.5)에서는 "기술 주기 단계에 해당"(Lee et al., 2017)으로 정당화되어 있다. 이론적 구분처럼 읽힌다.</w:t>
            </w:r>
          </w:p>
        </w:tc>
        <w:tc>
          <w:tcPr>
            <w:tcW w:type="dxa" w:w="1928"/>
          </w:tcPr>
          <w:p>
            <w:pPr>
              <w:spacing w:after="20" w:line="288" w:lineRule="auto"/>
            </w:pPr>
            <w:r/>
            <w:r>
              <w:rPr>
                <w:rFonts w:ascii="맑은 고딕" w:hAnsi="맑은 고딕" w:eastAsia="맑은 고딕"/>
                <w:b w:val="0"/>
                <w:i w:val="0"/>
                <w:sz w:val="17"/>
              </w:rPr>
              <w:t>6.3: boundaries set in light of the concentration of filings.</w:t>
            </w:r>
          </w:p>
        </w:tc>
        <w:tc>
          <w:tcPr>
            <w:tcW w:type="dxa" w:w="2665"/>
          </w:tcPr>
          <w:p>
            <w:pPr>
              <w:spacing w:after="20" w:line="288" w:lineRule="auto"/>
            </w:pPr>
            <w:r/>
            <w:r>
              <w:rPr>
                <w:rFonts w:ascii="맑은 고딕" w:hAnsi="맑은 고딕" w:eastAsia="맑은 고딕"/>
                <w:b w:val="0"/>
                <w:i w:val="0"/>
                <w:sz w:val="17"/>
              </w:rPr>
              <w:t>4.5에서 "출원 분포를 고려해 정했고 이론적 경계가 아니다"를 먼저 밝히고, 6.3의 한계 문장과 맞춘다.</w:t>
            </w:r>
          </w:p>
        </w:tc>
        <w:tc>
          <w:tcPr>
            <w:tcW w:type="dxa" w:w="567"/>
          </w:tcPr>
          <w:p>
            <w:pPr>
              <w:spacing w:after="20" w:line="288" w:lineRule="auto"/>
            </w:pPr>
            <w:r/>
            <w:r>
              <w:rPr>
                <w:rFonts w:ascii="맑은 고딕" w:hAnsi="맑은 고딕" w:eastAsia="맑은 고딕"/>
                <w:b w:val="0"/>
                <w:i w:val="0"/>
                <w:sz w:val="17"/>
              </w:rPr>
              <w:t>중</w:t>
            </w:r>
          </w:p>
        </w:tc>
      </w:tr>
      <w:tr>
        <w:trPr>
          <w:cantSplit w:val="true"/>
        </w:trPr>
        <w:tc>
          <w:tcPr>
            <w:tcW w:type="dxa" w:w="510"/>
          </w:tcPr>
          <w:p>
            <w:pPr>
              <w:spacing w:after="20" w:line="288" w:lineRule="auto"/>
            </w:pPr>
            <w:r/>
            <w:r>
              <w:rPr>
                <w:rFonts w:ascii="맑은 고딕" w:hAnsi="맑은 고딕" w:eastAsia="맑은 고딕"/>
                <w:b w:val="0"/>
                <w:i w:val="0"/>
                <w:sz w:val="17"/>
              </w:rPr>
              <w:t>R7</w:t>
            </w:r>
          </w:p>
        </w:tc>
        <w:tc>
          <w:tcPr>
            <w:tcW w:type="dxa" w:w="1134"/>
          </w:tcPr>
          <w:p>
            <w:pPr>
              <w:spacing w:after="20" w:line="288" w:lineRule="auto"/>
            </w:pPr>
            <w:r/>
            <w:r>
              <w:rPr>
                <w:rFonts w:ascii="맑은 고딕" w:hAnsi="맑은 고딕" w:eastAsia="맑은 고딕"/>
                <w:b w:val="0"/>
                <w:i w:val="0"/>
                <w:sz w:val="17"/>
              </w:rPr>
              <w:t>4.1</w:t>
            </w:r>
          </w:p>
        </w:tc>
        <w:tc>
          <w:tcPr>
            <w:tcW w:type="dxa" w:w="2835"/>
          </w:tcPr>
          <w:p>
            <w:pPr>
              <w:spacing w:after="20" w:line="288" w:lineRule="auto"/>
            </w:pPr>
            <w:r/>
            <w:r>
              <w:rPr>
                <w:rFonts w:ascii="맑은 고딕" w:hAnsi="맑은 고딕" w:eastAsia="맑은 고딕"/>
                <w:b w:val="0"/>
                <w:i w:val="0"/>
                <w:sz w:val="17"/>
              </w:rPr>
              <w:t>같은 제목 판정 규칙이 없어 고유 제목 수(473)를 재현하기 어렵다. 대소문자만 달라도 다른 제목이 된다(589 vs 471).</w:t>
            </w:r>
          </w:p>
        </w:tc>
        <w:tc>
          <w:tcPr>
            <w:tcW w:type="dxa" w:w="1928"/>
          </w:tcPr>
          <w:p>
            <w:pPr>
              <w:spacing w:after="20" w:line="288" w:lineRule="auto"/>
            </w:pPr>
            <w:r/>
            <w:r>
              <w:rPr>
                <w:rFonts w:ascii="맑은 고딕" w:hAnsi="맑은 고딕" w:eastAsia="맑은 고딕"/>
                <w:b w:val="0"/>
                <w:i w:val="0"/>
                <w:sz w:val="17"/>
              </w:rPr>
              <w:t>데이터 재계산.</w:t>
            </w:r>
          </w:p>
        </w:tc>
        <w:tc>
          <w:tcPr>
            <w:tcW w:type="dxa" w:w="2665"/>
          </w:tcPr>
          <w:p>
            <w:pPr>
              <w:spacing w:after="20" w:line="288" w:lineRule="auto"/>
            </w:pPr>
            <w:r/>
            <w:r>
              <w:rPr>
                <w:rFonts w:ascii="맑은 고딕" w:hAnsi="맑은 고딕" w:eastAsia="맑은 고딕"/>
                <w:b w:val="0"/>
                <w:i w:val="0"/>
                <w:sz w:val="17"/>
              </w:rPr>
              <w:t>정규화 규칙(대소문자, 기호, 공백)을 한 문장으로 쓴다.</w:t>
            </w:r>
          </w:p>
        </w:tc>
        <w:tc>
          <w:tcPr>
            <w:tcW w:type="dxa" w:w="567"/>
          </w:tcPr>
          <w:p>
            <w:pPr>
              <w:spacing w:after="20" w:line="288" w:lineRule="auto"/>
            </w:pPr>
            <w:r/>
            <w:r>
              <w:rPr>
                <w:rFonts w:ascii="맑은 고딕" w:hAnsi="맑은 고딕" w:eastAsia="맑은 고딕"/>
                <w:b w:val="0"/>
                <w:i w:val="0"/>
                <w:sz w:val="17"/>
              </w:rPr>
              <w:t>하</w:t>
            </w:r>
          </w:p>
        </w:tc>
      </w:tr>
    </w:tbl>
    <w:p>
      <w:pPr>
        <w:spacing w:after="40"/>
      </w:pPr>
    </w:p>
    <w:p>
      <w:pPr>
        <w:keepNext/>
        <w:spacing w:before="280" w:after="120" w:line="324" w:lineRule="auto"/>
        <w:pBdr>
          <w:bottom w:val="single" w:sz="6" w:space="1" w:color="1F3864"/>
        </w:pBdr>
      </w:pPr>
      <w:r>
        <w:rPr>
          <w:rFonts w:ascii="맑은 고딕" w:hAnsi="맑은 고딕" w:eastAsia="맑은 고딕"/>
          <w:b/>
          <w:i w:val="0"/>
          <w:color w:val="1F3864"/>
          <w:sz w:val="28"/>
        </w:rPr>
        <w:t>5. 3번 기준: Completeness — 질문이 닫히지 않은 곳</w:t>
      </w:r>
    </w:p>
    <w:tbl>
      <w:tblPr>
        <w:tblStyle w:val="TableGrid"/>
        <w:tblW w:type="auto" w:w="0"/>
        <w:jc w:val="center"/>
        <w:tblLayout w:type="fixed"/>
        <w:tblLook w:firstColumn="1" w:firstRow="1" w:lastColumn="0" w:lastRow="0" w:noHBand="0" w:noVBand="1" w:val="04A0"/>
      </w:tblPr>
      <w:tblGrid>
        <w:gridCol w:w="510"/>
        <w:gridCol w:w="1247"/>
        <w:gridCol w:w="3515"/>
        <w:gridCol w:w="3798"/>
        <w:gridCol w:w="567"/>
      </w:tblGrid>
      <w:tr>
        <w:trPr>
          <w:tblHeader w:val="true"/>
          <w:cantSplit w:val="true"/>
        </w:trPr>
        <w:tc>
          <w:tcPr>
            <w:tcW w:type="dxa" w:w="510"/>
            <w:shd w:val="clear" w:color="auto" w:fill="D9E2F3"/>
          </w:tcPr>
          <w:p>
            <w:pPr>
              <w:spacing w:after="20" w:line="288" w:lineRule="auto"/>
            </w:pPr>
            <w:r/>
            <w:r>
              <w:rPr>
                <w:rFonts w:ascii="맑은 고딕" w:hAnsi="맑은 고딕" w:eastAsia="맑은 고딕"/>
                <w:b/>
                <w:i w:val="0"/>
                <w:sz w:val="17"/>
              </w:rPr>
              <w:t>ID</w:t>
            </w:r>
          </w:p>
        </w:tc>
        <w:tc>
          <w:tcPr>
            <w:tcW w:type="dxa" w:w="1247"/>
            <w:shd w:val="clear" w:color="auto" w:fill="D9E2F3"/>
          </w:tcPr>
          <w:p>
            <w:pPr>
              <w:spacing w:after="20" w:line="288" w:lineRule="auto"/>
            </w:pPr>
            <w:r/>
            <w:r>
              <w:rPr>
                <w:rFonts w:ascii="맑은 고딕" w:hAnsi="맑은 고딕" w:eastAsia="맑은 고딕"/>
                <w:b/>
                <w:i w:val="0"/>
                <w:sz w:val="17"/>
              </w:rPr>
              <w:t>위치</w:t>
            </w:r>
          </w:p>
        </w:tc>
        <w:tc>
          <w:tcPr>
            <w:tcW w:type="dxa" w:w="3515"/>
            <w:shd w:val="clear" w:color="auto" w:fill="D9E2F3"/>
          </w:tcPr>
          <w:p>
            <w:pPr>
              <w:spacing w:after="20" w:line="288" w:lineRule="auto"/>
            </w:pPr>
            <w:r/>
            <w:r>
              <w:rPr>
                <w:rFonts w:ascii="맑은 고딕" w:hAnsi="맑은 고딕" w:eastAsia="맑은 고딕"/>
                <w:b/>
                <w:i w:val="0"/>
                <w:sz w:val="17"/>
              </w:rPr>
              <w:t>문제</w:t>
            </w:r>
          </w:p>
        </w:tc>
        <w:tc>
          <w:tcPr>
            <w:tcW w:type="dxa" w:w="3798"/>
            <w:shd w:val="clear" w:color="auto" w:fill="D9E2F3"/>
          </w:tcPr>
          <w:p>
            <w:pPr>
              <w:spacing w:after="20" w:line="288" w:lineRule="auto"/>
            </w:pPr>
            <w:r/>
            <w:r>
              <w:rPr>
                <w:rFonts w:ascii="맑은 고딕" w:hAnsi="맑은 고딕" w:eastAsia="맑은 고딕"/>
                <w:b/>
                <w:i w:val="0"/>
                <w:sz w:val="17"/>
              </w:rPr>
              <w:t>권고</w:t>
            </w:r>
          </w:p>
        </w:tc>
        <w:tc>
          <w:tcPr>
            <w:tcW w:type="dxa" w:w="567"/>
            <w:shd w:val="clear" w:color="auto" w:fill="D9E2F3"/>
          </w:tcPr>
          <w:p>
            <w:pPr>
              <w:spacing w:after="20" w:line="288" w:lineRule="auto"/>
            </w:pPr>
            <w:r/>
            <w:r>
              <w:rPr>
                <w:rFonts w:ascii="맑은 고딕" w:hAnsi="맑은 고딕" w:eastAsia="맑은 고딕"/>
                <w:b/>
                <w:i w:val="0"/>
                <w:sz w:val="17"/>
              </w:rPr>
              <w:t>순위</w:t>
            </w:r>
          </w:p>
        </w:tc>
      </w:tr>
      <w:tr>
        <w:trPr>
          <w:cantSplit w:val="true"/>
        </w:trPr>
        <w:tc>
          <w:tcPr>
            <w:tcW w:type="dxa" w:w="510"/>
          </w:tcPr>
          <w:p>
            <w:pPr>
              <w:spacing w:after="20" w:line="288" w:lineRule="auto"/>
            </w:pPr>
            <w:r/>
            <w:r>
              <w:rPr>
                <w:rFonts w:ascii="맑은 고딕" w:hAnsi="맑은 고딕" w:eastAsia="맑은 고딕"/>
                <w:b w:val="0"/>
                <w:i w:val="0"/>
                <w:sz w:val="17"/>
              </w:rPr>
              <w:t>C1</w:t>
            </w:r>
          </w:p>
        </w:tc>
        <w:tc>
          <w:tcPr>
            <w:tcW w:type="dxa" w:w="1247"/>
          </w:tcPr>
          <w:p>
            <w:pPr>
              <w:spacing w:after="20" w:line="288" w:lineRule="auto"/>
            </w:pPr>
            <w:r/>
            <w:r>
              <w:rPr>
                <w:rFonts w:ascii="맑은 고딕" w:hAnsi="맑은 고딕" w:eastAsia="맑은 고딕"/>
                <w:b w:val="0"/>
                <w:i w:val="0"/>
                <w:sz w:val="17"/>
              </w:rPr>
              <w:t>Abstract, 5.1, 6.1</w:t>
            </w:r>
          </w:p>
        </w:tc>
        <w:tc>
          <w:tcPr>
            <w:tcW w:type="dxa" w:w="3515"/>
          </w:tcPr>
          <w:p>
            <w:pPr>
              <w:spacing w:after="20" w:line="288" w:lineRule="auto"/>
            </w:pPr>
            <w:r/>
            <w:r>
              <w:rPr>
                <w:rFonts w:ascii="맑은 고딕" w:hAnsi="맑은 고딕" w:eastAsia="맑은 고딕"/>
                <w:b w:val="0"/>
                <w:i w:val="0"/>
                <w:sz w:val="17"/>
              </w:rPr>
              <w:t>"교차 단계 융합은 예외적이지 않았다"의 기준선이 없다. 표본이 H01L21 또는 H01L24를 가진 하이브리드 본딩 제목 출원이므로, 통합형 45.8%가 많은지 적은지 비교할 대상이 없다. 독자는 "절반 가까이"를 높다고 받아들이지만 심사자는 비교 대상을 묻는다.</w:t>
            </w:r>
          </w:p>
        </w:tc>
        <w:tc>
          <w:tcPr>
            <w:tcW w:type="dxa" w:w="3798"/>
          </w:tcPr>
          <w:p>
            <w:pPr>
              <w:spacing w:after="20" w:line="288" w:lineRule="auto"/>
            </w:pPr>
            <w:r/>
            <w:r>
              <w:rPr>
                <w:rFonts w:ascii="맑은 고딕" w:hAnsi="맑은 고딕" w:eastAsia="맑은 고딕"/>
                <w:b w:val="0"/>
                <w:i w:val="0"/>
                <w:sz w:val="17"/>
              </w:rPr>
              <w:t>(a) 비교 대상을 하나 두거나, (b) "예외적이지 않다"를 "상당 비율이 존재한다"로 낮춘다. 사용자께서 정한 "제거한 강건성 분석은 다시 넣지 않는다"는 원칙이 있으므로, (a)가 이미 제거한 분석과 겹치는지는 사용자께서 판단해 주셔야 한다.</w:t>
            </w:r>
          </w:p>
        </w:tc>
        <w:tc>
          <w:tcPr>
            <w:tcW w:type="dxa" w:w="567"/>
          </w:tcPr>
          <w:p>
            <w:pPr>
              <w:spacing w:after="20" w:line="288" w:lineRule="auto"/>
            </w:pPr>
            <w:r/>
            <w:r>
              <w:rPr>
                <w:rFonts w:ascii="맑은 고딕" w:hAnsi="맑은 고딕" w:eastAsia="맑은 고딕"/>
                <w:b w:val="0"/>
                <w:i w:val="0"/>
                <w:sz w:val="17"/>
              </w:rPr>
              <w:t>상</w:t>
            </w:r>
          </w:p>
        </w:tc>
      </w:tr>
      <w:tr>
        <w:trPr>
          <w:cantSplit w:val="true"/>
        </w:trPr>
        <w:tc>
          <w:tcPr>
            <w:tcW w:type="dxa" w:w="510"/>
          </w:tcPr>
          <w:p>
            <w:pPr>
              <w:spacing w:after="20" w:line="288" w:lineRule="auto"/>
            </w:pPr>
            <w:r/>
            <w:r>
              <w:rPr>
                <w:rFonts w:ascii="맑은 고딕" w:hAnsi="맑은 고딕" w:eastAsia="맑은 고딕"/>
                <w:b w:val="0"/>
                <w:i w:val="0"/>
                <w:sz w:val="17"/>
              </w:rPr>
              <w:t>C2</w:t>
            </w:r>
          </w:p>
        </w:tc>
        <w:tc>
          <w:tcPr>
            <w:tcW w:type="dxa" w:w="1247"/>
          </w:tcPr>
          <w:p>
            <w:pPr>
              <w:spacing w:after="20" w:line="288" w:lineRule="auto"/>
            </w:pPr>
            <w:r/>
            <w:r>
              <w:rPr>
                <w:rFonts w:ascii="맑은 고딕" w:hAnsi="맑은 고딕" w:eastAsia="맑은 고딕"/>
                <w:b w:val="0"/>
                <w:i w:val="0"/>
                <w:sz w:val="17"/>
              </w:rPr>
              <w:t>제목, 1, 6.3</w:t>
            </w:r>
          </w:p>
        </w:tc>
        <w:tc>
          <w:tcPr>
            <w:tcW w:type="dxa" w:w="3515"/>
          </w:tcPr>
          <w:p>
            <w:pPr>
              <w:spacing w:after="20" w:line="288" w:lineRule="auto"/>
            </w:pPr>
            <w:r/>
            <w:r>
              <w:rPr>
                <w:rFonts w:ascii="맑은 고딕" w:hAnsi="맑은 고딕" w:eastAsia="맑은 고딕"/>
                <w:b w:val="0"/>
                <w:i w:val="0"/>
                <w:sz w:val="17"/>
              </w:rPr>
              <w:t>제목과 이론은 "지식 통합"인데 측정에는 통합 주체(출원인·기업)가 없다. 2.4가 공동분류는 기관 간 지식 이전이 아니라고 밝히지만, 6.2는 기업에 대한 시사점을 낸다.</w:t>
            </w:r>
          </w:p>
        </w:tc>
        <w:tc>
          <w:tcPr>
            <w:tcW w:type="dxa" w:w="3798"/>
          </w:tcPr>
          <w:p>
            <w:pPr>
              <w:spacing w:after="20" w:line="288" w:lineRule="auto"/>
            </w:pPr>
            <w:r/>
            <w:r>
              <w:rPr>
                <w:rFonts w:ascii="맑은 고딕" w:hAnsi="맑은 고딕" w:eastAsia="맑은 고딕"/>
                <w:b w:val="0"/>
                <w:i w:val="0"/>
                <w:sz w:val="17"/>
              </w:rPr>
              <w:t>출원인 수준의 기술 통계 한두 문단을 넣거나, 6.2의 기업 대상 문장을 "추정"으로 낮추고 6.3에 이 간극을 명시한다.</w:t>
            </w:r>
          </w:p>
        </w:tc>
        <w:tc>
          <w:tcPr>
            <w:tcW w:type="dxa" w:w="567"/>
          </w:tcPr>
          <w:p>
            <w:pPr>
              <w:spacing w:after="20" w:line="288" w:lineRule="auto"/>
            </w:pPr>
            <w:r/>
            <w:r>
              <w:rPr>
                <w:rFonts w:ascii="맑은 고딕" w:hAnsi="맑은 고딕" w:eastAsia="맑은 고딕"/>
                <w:b w:val="0"/>
                <w:i w:val="0"/>
                <w:sz w:val="17"/>
              </w:rPr>
              <w:t>상</w:t>
            </w:r>
          </w:p>
        </w:tc>
      </w:tr>
      <w:tr>
        <w:trPr>
          <w:cantSplit w:val="true"/>
        </w:trPr>
        <w:tc>
          <w:tcPr>
            <w:tcW w:type="dxa" w:w="510"/>
          </w:tcPr>
          <w:p>
            <w:pPr>
              <w:spacing w:after="20" w:line="288" w:lineRule="auto"/>
            </w:pPr>
            <w:r/>
            <w:r>
              <w:rPr>
                <w:rFonts w:ascii="맑은 고딕" w:hAnsi="맑은 고딕" w:eastAsia="맑은 고딕"/>
                <w:b w:val="0"/>
                <w:i w:val="0"/>
                <w:sz w:val="17"/>
              </w:rPr>
              <w:t>C3</w:t>
            </w:r>
          </w:p>
        </w:tc>
        <w:tc>
          <w:tcPr>
            <w:tcW w:type="dxa" w:w="1247"/>
          </w:tcPr>
          <w:p>
            <w:pPr>
              <w:spacing w:after="20" w:line="288" w:lineRule="auto"/>
            </w:pPr>
            <w:r/>
            <w:r>
              <w:rPr>
                <w:rFonts w:ascii="맑은 고딕" w:hAnsi="맑은 고딕" w:eastAsia="맑은 고딕"/>
                <w:b w:val="0"/>
                <w:i w:val="0"/>
                <w:sz w:val="17"/>
              </w:rPr>
              <w:t>2.3 ↔ 6.1</w:t>
            </w:r>
          </w:p>
        </w:tc>
        <w:tc>
          <w:tcPr>
            <w:tcW w:type="dxa" w:w="3515"/>
          </w:tcPr>
          <w:p>
            <w:pPr>
              <w:spacing w:after="20" w:line="288" w:lineRule="auto"/>
            </w:pPr>
            <w:r/>
            <w:r>
              <w:rPr>
                <w:rFonts w:ascii="맑은 고딕" w:hAnsi="맑은 고딕" w:eastAsia="맑은 고딕"/>
                <w:b w:val="0"/>
                <w:i w:val="0"/>
                <w:sz w:val="17"/>
              </w:rPr>
              <w:t>2.3은 기대치를 "통계적 가설이 아니라 해석의 기준"이라고 쓰고, 6.1은 결과가 기대치와 일치하며 stage model에 대한 "evidence"를 준다고 쓴다. 무엇이 일치하고 무엇이 부분 일치인지 대응표가 없다.</w:t>
            </w:r>
          </w:p>
        </w:tc>
        <w:tc>
          <w:tcPr>
            <w:tcW w:type="dxa" w:w="3798"/>
          </w:tcPr>
          <w:p>
            <w:pPr>
              <w:spacing w:after="20" w:line="288" w:lineRule="auto"/>
            </w:pPr>
            <w:r/>
            <w:r>
              <w:rPr>
                <w:rFonts w:ascii="맑은 고딕" w:hAnsi="맑은 고딕" w:eastAsia="맑은 고딕"/>
                <w:b w:val="0"/>
                <w:i w:val="0"/>
                <w:sz w:val="17"/>
              </w:rPr>
              <w:t>표 7에 "기대치" 열을 추가하거나, 기대치–결과–판정(일치·부분 일치·불일치)을 3행 표로 정리한다.</w:t>
            </w:r>
          </w:p>
        </w:tc>
        <w:tc>
          <w:tcPr>
            <w:tcW w:type="dxa" w:w="567"/>
          </w:tcPr>
          <w:p>
            <w:pPr>
              <w:spacing w:after="20" w:line="288" w:lineRule="auto"/>
            </w:pPr>
            <w:r/>
            <w:r>
              <w:rPr>
                <w:rFonts w:ascii="맑은 고딕" w:hAnsi="맑은 고딕" w:eastAsia="맑은 고딕"/>
                <w:b w:val="0"/>
                <w:i w:val="0"/>
                <w:sz w:val="17"/>
              </w:rPr>
              <w:t>중</w:t>
            </w:r>
          </w:p>
        </w:tc>
      </w:tr>
      <w:tr>
        <w:trPr>
          <w:cantSplit w:val="true"/>
        </w:trPr>
        <w:tc>
          <w:tcPr>
            <w:tcW w:type="dxa" w:w="510"/>
          </w:tcPr>
          <w:p>
            <w:pPr>
              <w:spacing w:after="20" w:line="288" w:lineRule="auto"/>
            </w:pPr>
            <w:r/>
            <w:r>
              <w:rPr>
                <w:rFonts w:ascii="맑은 고딕" w:hAnsi="맑은 고딕" w:eastAsia="맑은 고딕"/>
                <w:b w:val="0"/>
                <w:i w:val="0"/>
                <w:sz w:val="17"/>
              </w:rPr>
              <w:t>C4</w:t>
            </w:r>
          </w:p>
        </w:tc>
        <w:tc>
          <w:tcPr>
            <w:tcW w:type="dxa" w:w="1247"/>
          </w:tcPr>
          <w:p>
            <w:pPr>
              <w:spacing w:after="20" w:line="288" w:lineRule="auto"/>
            </w:pPr>
            <w:r/>
            <w:r>
              <w:rPr>
                <w:rFonts w:ascii="맑은 고딕" w:hAnsi="맑은 고딕" w:eastAsia="맑은 고딕"/>
                <w:b w:val="0"/>
                <w:i w:val="0"/>
                <w:sz w:val="17"/>
              </w:rPr>
              <w:t>5.3, 6.1 Third</w:t>
            </w:r>
          </w:p>
        </w:tc>
        <w:tc>
          <w:tcPr>
            <w:tcW w:type="dxa" w:w="3515"/>
          </w:tcPr>
          <w:p>
            <w:pPr>
              <w:spacing w:after="20" w:line="288" w:lineRule="auto"/>
            </w:pPr>
            <w:r/>
            <w:r>
              <w:rPr>
                <w:rFonts w:ascii="맑은 고딕" w:hAnsi="맑은 고딕" w:eastAsia="맑은 고딕"/>
                <w:b w:val="0"/>
                <w:i w:val="0"/>
                <w:sz w:val="17"/>
              </w:rPr>
              <w:t>"재배치"는 기술 통계(연결 강도, 매개 중심성 점유율)에 근거하고 추론이 없다. "appears"를 쓰고는 있으나, Abstract와 결론은 같은 내용을 단정에 가깝게 쓴다.</w:t>
            </w:r>
          </w:p>
        </w:tc>
        <w:tc>
          <w:tcPr>
            <w:tcW w:type="dxa" w:w="3798"/>
          </w:tcPr>
          <w:p>
            <w:pPr>
              <w:spacing w:after="20" w:line="288" w:lineRule="auto"/>
            </w:pPr>
            <w:r/>
            <w:r>
              <w:rPr>
                <w:rFonts w:ascii="맑은 고딕" w:hAnsi="맑은 고딕" w:eastAsia="맑은 고딕"/>
                <w:b w:val="0"/>
                <w:i w:val="0"/>
                <w:sz w:val="17"/>
              </w:rPr>
              <w:t>Abstract와 결론의 서술 강도를 5.3과 맞춘다("나타났다" 수준 유지, "입증" 계열 표현 금지).</w:t>
            </w:r>
          </w:p>
        </w:tc>
        <w:tc>
          <w:tcPr>
            <w:tcW w:type="dxa" w:w="567"/>
          </w:tcPr>
          <w:p>
            <w:pPr>
              <w:spacing w:after="20" w:line="288" w:lineRule="auto"/>
            </w:pPr>
            <w:r/>
            <w:r>
              <w:rPr>
                <w:rFonts w:ascii="맑은 고딕" w:hAnsi="맑은 고딕" w:eastAsia="맑은 고딕"/>
                <w:b w:val="0"/>
                <w:i w:val="0"/>
                <w:sz w:val="17"/>
              </w:rPr>
              <w:t>중</w:t>
            </w:r>
          </w:p>
        </w:tc>
      </w:tr>
      <w:tr>
        <w:trPr>
          <w:cantSplit w:val="true"/>
        </w:trPr>
        <w:tc>
          <w:tcPr>
            <w:tcW w:type="dxa" w:w="510"/>
          </w:tcPr>
          <w:p>
            <w:pPr>
              <w:spacing w:after="20" w:line="288" w:lineRule="auto"/>
            </w:pPr>
            <w:r/>
            <w:r>
              <w:rPr>
                <w:rFonts w:ascii="맑은 고딕" w:hAnsi="맑은 고딕" w:eastAsia="맑은 고딕"/>
                <w:b w:val="0"/>
                <w:i w:val="0"/>
                <w:sz w:val="17"/>
              </w:rPr>
              <w:t>C5</w:t>
            </w:r>
          </w:p>
        </w:tc>
        <w:tc>
          <w:tcPr>
            <w:tcW w:type="dxa" w:w="1247"/>
          </w:tcPr>
          <w:p>
            <w:pPr>
              <w:spacing w:after="20" w:line="288" w:lineRule="auto"/>
            </w:pPr>
            <w:r/>
            <w:r>
              <w:rPr>
                <w:rFonts w:ascii="맑은 고딕" w:hAnsi="맑은 고딕" w:eastAsia="맑은 고딕"/>
                <w:b w:val="0"/>
                <w:i w:val="0"/>
                <w:sz w:val="17"/>
              </w:rPr>
              <w:t>2.1</w:t>
            </w:r>
          </w:p>
        </w:tc>
        <w:tc>
          <w:tcPr>
            <w:tcW w:type="dxa" w:w="3515"/>
          </w:tcPr>
          <w:p>
            <w:pPr>
              <w:spacing w:after="20" w:line="288" w:lineRule="auto"/>
            </w:pPr>
            <w:r/>
            <w:r>
              <w:rPr>
                <w:rFonts w:ascii="맑은 고딕" w:hAnsi="맑은 고딕" w:eastAsia="맑은 고딕"/>
                <w:b w:val="0"/>
                <w:i w:val="0"/>
                <w:sz w:val="17"/>
              </w:rPr>
              <w:t>한 문단에 Rosenberg, Kodama, Grant, Fleming, Hacklin 2009·2010이 이어져 각 인용의 역할이 흐려진다. 심사자는 나열로 읽을 수 있다.</w:t>
            </w:r>
          </w:p>
        </w:tc>
        <w:tc>
          <w:tcPr>
            <w:tcW w:type="dxa" w:w="3798"/>
          </w:tcPr>
          <w:p>
            <w:pPr>
              <w:spacing w:after="20" w:line="288" w:lineRule="auto"/>
            </w:pPr>
            <w:r/>
            <w:r>
              <w:rPr>
                <w:rFonts w:ascii="맑은 고딕" w:hAnsi="맑은 고딕" w:eastAsia="맑은 고딕"/>
                <w:b w:val="0"/>
                <w:i w:val="0"/>
                <w:sz w:val="17"/>
              </w:rPr>
              <w:t>인용마다 이 연구가 가져오는 한 가지(개념, 단계 모형 등)를 한 문장으로 붙이고, 나머지는 괄호 인용으로 묶는다.</w:t>
            </w:r>
          </w:p>
        </w:tc>
        <w:tc>
          <w:tcPr>
            <w:tcW w:type="dxa" w:w="567"/>
          </w:tcPr>
          <w:p>
            <w:pPr>
              <w:spacing w:after="20" w:line="288" w:lineRule="auto"/>
            </w:pPr>
            <w:r/>
            <w:r>
              <w:rPr>
                <w:rFonts w:ascii="맑은 고딕" w:hAnsi="맑은 고딕" w:eastAsia="맑은 고딕"/>
                <w:b w:val="0"/>
                <w:i w:val="0"/>
                <w:sz w:val="17"/>
              </w:rPr>
              <w:t>하</w:t>
            </w:r>
          </w:p>
        </w:tc>
      </w:tr>
      <w:tr>
        <w:trPr>
          <w:cantSplit w:val="true"/>
        </w:trPr>
        <w:tc>
          <w:tcPr>
            <w:tcW w:type="dxa" w:w="510"/>
          </w:tcPr>
          <w:p>
            <w:pPr>
              <w:spacing w:after="20" w:line="288" w:lineRule="auto"/>
            </w:pPr>
            <w:r/>
            <w:r>
              <w:rPr>
                <w:rFonts w:ascii="맑은 고딕" w:hAnsi="맑은 고딕" w:eastAsia="맑은 고딕"/>
                <w:b w:val="0"/>
                <w:i w:val="0"/>
                <w:sz w:val="17"/>
              </w:rPr>
              <w:t>C6</w:t>
            </w:r>
          </w:p>
        </w:tc>
        <w:tc>
          <w:tcPr>
            <w:tcW w:type="dxa" w:w="1247"/>
          </w:tcPr>
          <w:p>
            <w:pPr>
              <w:spacing w:after="20" w:line="288" w:lineRule="auto"/>
            </w:pPr>
            <w:r/>
            <w:r>
              <w:rPr>
                <w:rFonts w:ascii="맑은 고딕" w:hAnsi="맑은 고딕" w:eastAsia="맑은 고딕"/>
                <w:b w:val="0"/>
                <w:i w:val="0"/>
                <w:sz w:val="17"/>
              </w:rPr>
              <w:t>3.2</w:t>
            </w:r>
          </w:p>
        </w:tc>
        <w:tc>
          <w:tcPr>
            <w:tcW w:type="dxa" w:w="3515"/>
          </w:tcPr>
          <w:p>
            <w:pPr>
              <w:spacing w:after="20" w:line="288" w:lineRule="auto"/>
            </w:pPr>
            <w:r/>
            <w:r>
              <w:rPr>
                <w:rFonts w:ascii="맑은 고딕" w:hAnsi="맑은 고딕" w:eastAsia="맑은 고딕"/>
                <w:b w:val="0"/>
                <w:i w:val="0"/>
                <w:sz w:val="17"/>
              </w:rPr>
              <w:t>출원인 순위(TSMC, Adeia, YMTC, Intel, Samsung)가 유료 보고서 한 편(KnowMade, 2024)에 의존한다.</w:t>
            </w:r>
          </w:p>
        </w:tc>
        <w:tc>
          <w:tcPr>
            <w:tcW w:type="dxa" w:w="3798"/>
          </w:tcPr>
          <w:p>
            <w:pPr>
              <w:spacing w:after="20" w:line="288" w:lineRule="auto"/>
            </w:pPr>
            <w:r/>
            <w:r>
              <w:rPr>
                <w:rFonts w:ascii="맑은 고딕" w:hAnsi="맑은 고딕" w:eastAsia="맑은 고딕"/>
                <w:b w:val="0"/>
                <w:i w:val="0"/>
                <w:sz w:val="17"/>
              </w:rPr>
              <w:t>제출 전에 보고서 원문과 대조한다. 확인이 어려우면 문장을 "보고서에 따르면"으로 한정한다.</w:t>
            </w:r>
          </w:p>
        </w:tc>
        <w:tc>
          <w:tcPr>
            <w:tcW w:type="dxa" w:w="567"/>
          </w:tcPr>
          <w:p>
            <w:pPr>
              <w:spacing w:after="20" w:line="288" w:lineRule="auto"/>
            </w:pPr>
            <w:r/>
            <w:r>
              <w:rPr>
                <w:rFonts w:ascii="맑은 고딕" w:hAnsi="맑은 고딕" w:eastAsia="맑은 고딕"/>
                <w:b w:val="0"/>
                <w:i w:val="0"/>
                <w:sz w:val="17"/>
              </w:rPr>
              <w:t>하</w:t>
            </w:r>
          </w:p>
        </w:tc>
      </w:tr>
      <w:tr>
        <w:trPr>
          <w:cantSplit w:val="true"/>
        </w:trPr>
        <w:tc>
          <w:tcPr>
            <w:tcW w:type="dxa" w:w="510"/>
          </w:tcPr>
          <w:p>
            <w:pPr>
              <w:spacing w:after="20" w:line="288" w:lineRule="auto"/>
            </w:pPr>
            <w:r/>
            <w:r>
              <w:rPr>
                <w:rFonts w:ascii="맑은 고딕" w:hAnsi="맑은 고딕" w:eastAsia="맑은 고딕"/>
                <w:b w:val="0"/>
                <w:i w:val="0"/>
                <w:sz w:val="17"/>
              </w:rPr>
              <w:t>C7</w:t>
            </w:r>
          </w:p>
        </w:tc>
        <w:tc>
          <w:tcPr>
            <w:tcW w:type="dxa" w:w="1247"/>
          </w:tcPr>
          <w:p>
            <w:pPr>
              <w:spacing w:after="20" w:line="288" w:lineRule="auto"/>
            </w:pPr>
            <w:r/>
            <w:r>
              <w:rPr>
                <w:rFonts w:ascii="맑은 고딕" w:hAnsi="맑은 고딕" w:eastAsia="맑은 고딕"/>
                <w:b w:val="0"/>
                <w:i w:val="0"/>
                <w:sz w:val="17"/>
              </w:rPr>
              <w:t>Data availability, AI 선언</w:t>
            </w:r>
          </w:p>
        </w:tc>
        <w:tc>
          <w:tcPr>
            <w:tcW w:type="dxa" w:w="3515"/>
          </w:tcPr>
          <w:p>
            <w:pPr>
              <w:spacing w:after="20" w:line="288" w:lineRule="auto"/>
            </w:pPr>
            <w:r/>
            <w:r>
              <w:rPr>
                <w:rFonts w:ascii="맑은 고딕" w:hAnsi="맑은 고딕" w:eastAsia="맑은 고딕"/>
                <w:b w:val="0"/>
                <w:i w:val="0"/>
                <w:sz w:val="17"/>
              </w:rPr>
              <w:t>두 항목이 대괄호와 표시로 남아 있다. 저자가 확정해야 하는 문구다.</w:t>
            </w:r>
          </w:p>
        </w:tc>
        <w:tc>
          <w:tcPr>
            <w:tcW w:type="dxa" w:w="3798"/>
          </w:tcPr>
          <w:p>
            <w:pPr>
              <w:spacing w:after="20" w:line="288" w:lineRule="auto"/>
            </w:pPr>
            <w:r/>
            <w:r>
              <w:rPr>
                <w:rFonts w:ascii="맑은 고딕" w:hAnsi="맑은 고딕" w:eastAsia="맑은 고딕"/>
                <w:b w:val="0"/>
                <w:i w:val="0"/>
                <w:sz w:val="17"/>
              </w:rPr>
              <w:t>제출 전에 문구를 확정하고 표시를 제거한다.</w:t>
            </w:r>
          </w:p>
        </w:tc>
        <w:tc>
          <w:tcPr>
            <w:tcW w:type="dxa" w:w="567"/>
          </w:tcPr>
          <w:p>
            <w:pPr>
              <w:spacing w:after="20" w:line="288" w:lineRule="auto"/>
            </w:pPr>
            <w:r/>
            <w:r>
              <w:rPr>
                <w:rFonts w:ascii="맑은 고딕" w:hAnsi="맑은 고딕" w:eastAsia="맑은 고딕"/>
                <w:b w:val="0"/>
                <w:i w:val="0"/>
                <w:sz w:val="17"/>
              </w:rPr>
              <w:t>하</w:t>
            </w:r>
          </w:p>
        </w:tc>
      </w:tr>
    </w:tbl>
    <w:p>
      <w:pPr>
        <w:spacing w:after="40"/>
      </w:pPr>
    </w:p>
    <w:p>
      <w:pPr>
        <w:keepNext/>
        <w:spacing w:before="280" w:after="120" w:line="324" w:lineRule="auto"/>
        <w:pBdr>
          <w:bottom w:val="single" w:sz="6" w:space="1" w:color="1F3864"/>
        </w:pBdr>
      </w:pPr>
      <w:r>
        <w:rPr>
          <w:rFonts w:ascii="맑은 고딕" w:hAnsi="맑은 고딕" w:eastAsia="맑은 고딕"/>
          <w:b/>
          <w:i w:val="0"/>
          <w:color w:val="1F3864"/>
          <w:sz w:val="28"/>
        </w:rPr>
        <w:t>6. 제출 전 실행 순서</w:t>
      </w:r>
    </w:p>
    <w:tbl>
      <w:tblPr>
        <w:tblStyle w:val="TableGrid"/>
        <w:tblW w:type="auto" w:w="0"/>
        <w:jc w:val="center"/>
        <w:tblLayout w:type="fixed"/>
        <w:tblLook w:firstColumn="1" w:firstRow="1" w:lastColumn="0" w:lastRow="0" w:noHBand="0" w:noVBand="1" w:val="04A0"/>
      </w:tblPr>
      <w:tblGrid>
        <w:gridCol w:w="794"/>
        <w:gridCol w:w="7370"/>
        <w:gridCol w:w="1474"/>
      </w:tblGrid>
      <w:tr>
        <w:trPr>
          <w:tblHeader w:val="true"/>
          <w:cantSplit w:val="true"/>
        </w:trPr>
        <w:tc>
          <w:tcPr>
            <w:tcW w:type="dxa" w:w="794"/>
            <w:shd w:val="clear" w:color="auto" w:fill="D9E2F3"/>
          </w:tcPr>
          <w:p>
            <w:pPr>
              <w:spacing w:after="20" w:line="288" w:lineRule="auto"/>
            </w:pPr>
            <w:r/>
            <w:r>
              <w:rPr>
                <w:rFonts w:ascii="맑은 고딕" w:hAnsi="맑은 고딕" w:eastAsia="맑은 고딕"/>
                <w:b/>
                <w:i w:val="0"/>
                <w:sz w:val="19"/>
              </w:rPr>
              <w:t>순서</w:t>
            </w:r>
          </w:p>
        </w:tc>
        <w:tc>
          <w:tcPr>
            <w:tcW w:type="dxa" w:w="7370"/>
            <w:shd w:val="clear" w:color="auto" w:fill="D9E2F3"/>
          </w:tcPr>
          <w:p>
            <w:pPr>
              <w:spacing w:after="20" w:line="288" w:lineRule="auto"/>
            </w:pPr>
            <w:r/>
            <w:r>
              <w:rPr>
                <w:rFonts w:ascii="맑은 고딕" w:hAnsi="맑은 고딕" w:eastAsia="맑은 고딕"/>
                <w:b/>
                <w:i w:val="0"/>
                <w:sz w:val="19"/>
              </w:rPr>
              <w:t>작업</w:t>
            </w:r>
          </w:p>
        </w:tc>
        <w:tc>
          <w:tcPr>
            <w:tcW w:type="dxa" w:w="1474"/>
            <w:shd w:val="clear" w:color="auto" w:fill="D9E2F3"/>
          </w:tcPr>
          <w:p>
            <w:pPr>
              <w:spacing w:after="20" w:line="288" w:lineRule="auto"/>
            </w:pPr>
            <w:r/>
            <w:r>
              <w:rPr>
                <w:rFonts w:ascii="맑은 고딕" w:hAnsi="맑은 고딕" w:eastAsia="맑은 고딕"/>
                <w:b/>
                <w:i w:val="0"/>
                <w:sz w:val="19"/>
              </w:rPr>
              <w:t>관련 항목</w:t>
            </w:r>
          </w:p>
        </w:tc>
      </w:tr>
      <w:tr>
        <w:trPr>
          <w:cantSplit w:val="true"/>
        </w:trPr>
        <w:tc>
          <w:tcPr>
            <w:tcW w:type="dxa" w:w="794"/>
          </w:tcPr>
          <w:p>
            <w:pPr>
              <w:spacing w:after="20" w:line="288" w:lineRule="auto"/>
            </w:pPr>
            <w:r/>
            <w:r>
              <w:rPr>
                <w:rFonts w:ascii="맑은 고딕" w:hAnsi="맑은 고딕" w:eastAsia="맑은 고딕"/>
                <w:b w:val="0"/>
                <w:i w:val="0"/>
                <w:sz w:val="19"/>
              </w:rPr>
              <w:t>1</w:t>
            </w:r>
          </w:p>
        </w:tc>
        <w:tc>
          <w:tcPr>
            <w:tcW w:type="dxa" w:w="7370"/>
          </w:tcPr>
          <w:p>
            <w:pPr>
              <w:spacing w:after="20" w:line="288" w:lineRule="auto"/>
            </w:pPr>
            <w:r/>
            <w:r>
              <w:rPr>
                <w:rFonts w:ascii="맑은 고딕" w:hAnsi="맑은 고딕" w:eastAsia="맑은 고딕"/>
                <w:b w:val="0"/>
                <w:i w:val="0"/>
                <w:sz w:val="19"/>
              </w:rPr>
              <w:t>5.2에 단순 비교의 검정을 넣고 조정 결과와의 관계를 설명, Abstract의 좁은 정의 문장을 바로잡는다.</w:t>
            </w:r>
          </w:p>
        </w:tc>
        <w:tc>
          <w:tcPr>
            <w:tcW w:type="dxa" w:w="1474"/>
          </w:tcPr>
          <w:p>
            <w:pPr>
              <w:spacing w:after="20" w:line="288" w:lineRule="auto"/>
            </w:pPr>
            <w:r/>
            <w:r>
              <w:rPr>
                <w:rFonts w:ascii="맑은 고딕" w:hAnsi="맑은 고딕" w:eastAsia="맑은 고딕"/>
                <w:b w:val="0"/>
                <w:i w:val="0"/>
                <w:sz w:val="19"/>
              </w:rPr>
              <w:t>R1, R3</w:t>
            </w:r>
          </w:p>
        </w:tc>
      </w:tr>
      <w:tr>
        <w:trPr>
          <w:cantSplit w:val="true"/>
        </w:trPr>
        <w:tc>
          <w:tcPr>
            <w:tcW w:type="dxa" w:w="794"/>
          </w:tcPr>
          <w:p>
            <w:pPr>
              <w:spacing w:after="20" w:line="288" w:lineRule="auto"/>
            </w:pPr>
            <w:r/>
            <w:r>
              <w:rPr>
                <w:rFonts w:ascii="맑은 고딕" w:hAnsi="맑은 고딕" w:eastAsia="맑은 고딕"/>
                <w:b w:val="0"/>
                <w:i w:val="0"/>
                <w:sz w:val="19"/>
              </w:rPr>
              <w:t>2</w:t>
            </w:r>
          </w:p>
        </w:tc>
        <w:tc>
          <w:tcPr>
            <w:tcW w:type="dxa" w:w="7370"/>
          </w:tcPr>
          <w:p>
            <w:pPr>
              <w:spacing w:after="20" w:line="288" w:lineRule="auto"/>
            </w:pPr>
            <w:r/>
            <w:r>
              <w:rPr>
                <w:rFonts w:ascii="맑은 고딕" w:hAnsi="맑은 고딕" w:eastAsia="맑은 고딕"/>
                <w:b w:val="0"/>
                <w:i w:val="0"/>
                <w:sz w:val="19"/>
              </w:rPr>
              <w:t>"예외적이지 않다"의 기준선을 정하거나 표현을 낮춘다.</w:t>
            </w:r>
          </w:p>
        </w:tc>
        <w:tc>
          <w:tcPr>
            <w:tcW w:type="dxa" w:w="1474"/>
          </w:tcPr>
          <w:p>
            <w:pPr>
              <w:spacing w:after="20" w:line="288" w:lineRule="auto"/>
            </w:pPr>
            <w:r/>
            <w:r>
              <w:rPr>
                <w:rFonts w:ascii="맑은 고딕" w:hAnsi="맑은 고딕" w:eastAsia="맑은 고딕"/>
                <w:b w:val="0"/>
                <w:i w:val="0"/>
                <w:sz w:val="19"/>
              </w:rPr>
              <w:t>C1</w:t>
            </w:r>
          </w:p>
        </w:tc>
      </w:tr>
      <w:tr>
        <w:trPr>
          <w:cantSplit w:val="true"/>
        </w:trPr>
        <w:tc>
          <w:tcPr>
            <w:tcW w:type="dxa" w:w="794"/>
          </w:tcPr>
          <w:p>
            <w:pPr>
              <w:spacing w:after="20" w:line="288" w:lineRule="auto"/>
            </w:pPr>
            <w:r/>
            <w:r>
              <w:rPr>
                <w:rFonts w:ascii="맑은 고딕" w:hAnsi="맑은 고딕" w:eastAsia="맑은 고딕"/>
                <w:b w:val="0"/>
                <w:i w:val="0"/>
                <w:sz w:val="19"/>
              </w:rPr>
              <w:t>3</w:t>
            </w:r>
          </w:p>
        </w:tc>
        <w:tc>
          <w:tcPr>
            <w:tcW w:type="dxa" w:w="7370"/>
          </w:tcPr>
          <w:p>
            <w:pPr>
              <w:spacing w:after="20" w:line="288" w:lineRule="auto"/>
            </w:pPr>
            <w:r/>
            <w:r>
              <w:rPr>
                <w:rFonts w:ascii="맑은 고딕" w:hAnsi="맑은 고딕" w:eastAsia="맑은 고딕"/>
                <w:b w:val="0"/>
                <w:i w:val="0"/>
                <w:sz w:val="19"/>
              </w:rPr>
              <w:t>5.2–5.3 본문에서 표와 중복되는 수치를 덜어 낸다.</w:t>
            </w:r>
          </w:p>
        </w:tc>
        <w:tc>
          <w:tcPr>
            <w:tcW w:type="dxa" w:w="1474"/>
          </w:tcPr>
          <w:p>
            <w:pPr>
              <w:spacing w:after="20" w:line="288" w:lineRule="auto"/>
            </w:pPr>
            <w:r/>
            <w:r>
              <w:rPr>
                <w:rFonts w:ascii="맑은 고딕" w:hAnsi="맑은 고딕" w:eastAsia="맑은 고딕"/>
                <w:b w:val="0"/>
                <w:i w:val="0"/>
                <w:sz w:val="19"/>
              </w:rPr>
              <w:t>R2</w:t>
            </w:r>
          </w:p>
        </w:tc>
      </w:tr>
      <w:tr>
        <w:trPr>
          <w:cantSplit w:val="true"/>
        </w:trPr>
        <w:tc>
          <w:tcPr>
            <w:tcW w:type="dxa" w:w="794"/>
          </w:tcPr>
          <w:p>
            <w:pPr>
              <w:spacing w:after="20" w:line="288" w:lineRule="auto"/>
            </w:pPr>
            <w:r/>
            <w:r>
              <w:rPr>
                <w:rFonts w:ascii="맑은 고딕" w:hAnsi="맑은 고딕" w:eastAsia="맑은 고딕"/>
                <w:b w:val="0"/>
                <w:i w:val="0"/>
                <w:sz w:val="19"/>
              </w:rPr>
              <w:t>4</w:t>
            </w:r>
          </w:p>
        </w:tc>
        <w:tc>
          <w:tcPr>
            <w:tcW w:type="dxa" w:w="7370"/>
          </w:tcPr>
          <w:p>
            <w:pPr>
              <w:spacing w:after="20" w:line="288" w:lineRule="auto"/>
            </w:pPr>
            <w:r/>
            <w:r>
              <w:rPr>
                <w:rFonts w:ascii="맑은 고딕" w:hAnsi="맑은 고딕" w:eastAsia="맑은 고딕"/>
                <w:b w:val="0"/>
                <w:i w:val="0"/>
                <w:sz w:val="19"/>
              </w:rPr>
              <w:t>출원인 간극을 6.2·6.3에 명시하거나 기술 통계를 추가한다.</w:t>
            </w:r>
          </w:p>
        </w:tc>
        <w:tc>
          <w:tcPr>
            <w:tcW w:type="dxa" w:w="1474"/>
          </w:tcPr>
          <w:p>
            <w:pPr>
              <w:spacing w:after="20" w:line="288" w:lineRule="auto"/>
            </w:pPr>
            <w:r/>
            <w:r>
              <w:rPr>
                <w:rFonts w:ascii="맑은 고딕" w:hAnsi="맑은 고딕" w:eastAsia="맑은 고딕"/>
                <w:b w:val="0"/>
                <w:i w:val="0"/>
                <w:sz w:val="19"/>
              </w:rPr>
              <w:t>C2</w:t>
            </w:r>
          </w:p>
        </w:tc>
      </w:tr>
      <w:tr>
        <w:trPr>
          <w:cantSplit w:val="true"/>
        </w:trPr>
        <w:tc>
          <w:tcPr>
            <w:tcW w:type="dxa" w:w="794"/>
          </w:tcPr>
          <w:p>
            <w:pPr>
              <w:spacing w:after="20" w:line="288" w:lineRule="auto"/>
            </w:pPr>
            <w:r/>
            <w:r>
              <w:rPr>
                <w:rFonts w:ascii="맑은 고딕" w:hAnsi="맑은 고딕" w:eastAsia="맑은 고딕"/>
                <w:b w:val="0"/>
                <w:i w:val="0"/>
                <w:sz w:val="19"/>
              </w:rPr>
              <w:t>5</w:t>
            </w:r>
          </w:p>
        </w:tc>
        <w:tc>
          <w:tcPr>
            <w:tcW w:type="dxa" w:w="7370"/>
          </w:tcPr>
          <w:p>
            <w:pPr>
              <w:spacing w:after="20" w:line="288" w:lineRule="auto"/>
            </w:pPr>
            <w:r/>
            <w:r>
              <w:rPr>
                <w:rFonts w:ascii="맑은 고딕" w:hAnsi="맑은 고딕" w:eastAsia="맑은 고딕"/>
                <w:b w:val="0"/>
                <w:i w:val="0"/>
                <w:sz w:val="19"/>
              </w:rPr>
              <w:t>기대치–결과 대응표를 추가한다.</w:t>
            </w:r>
          </w:p>
        </w:tc>
        <w:tc>
          <w:tcPr>
            <w:tcW w:type="dxa" w:w="1474"/>
          </w:tcPr>
          <w:p>
            <w:pPr>
              <w:spacing w:after="20" w:line="288" w:lineRule="auto"/>
            </w:pPr>
            <w:r/>
            <w:r>
              <w:rPr>
                <w:rFonts w:ascii="맑은 고딕" w:hAnsi="맑은 고딕" w:eastAsia="맑은 고딕"/>
                <w:b w:val="0"/>
                <w:i w:val="0"/>
                <w:sz w:val="19"/>
              </w:rPr>
              <w:t>C3, C4</w:t>
            </w:r>
          </w:p>
        </w:tc>
      </w:tr>
      <w:tr>
        <w:trPr>
          <w:cantSplit w:val="true"/>
        </w:trPr>
        <w:tc>
          <w:tcPr>
            <w:tcW w:type="dxa" w:w="794"/>
          </w:tcPr>
          <w:p>
            <w:pPr>
              <w:spacing w:after="20" w:line="288" w:lineRule="auto"/>
            </w:pPr>
            <w:r/>
            <w:r>
              <w:rPr>
                <w:rFonts w:ascii="맑은 고딕" w:hAnsi="맑은 고딕" w:eastAsia="맑은 고딕"/>
                <w:b w:val="0"/>
                <w:i w:val="0"/>
                <w:sz w:val="19"/>
              </w:rPr>
              <w:t>6</w:t>
            </w:r>
          </w:p>
        </w:tc>
        <w:tc>
          <w:tcPr>
            <w:tcW w:type="dxa" w:w="7370"/>
          </w:tcPr>
          <w:p>
            <w:pPr>
              <w:spacing w:after="20" w:line="288" w:lineRule="auto"/>
            </w:pPr>
            <w:r/>
            <w:r>
              <w:rPr>
                <w:rFonts w:ascii="맑은 고딕" w:hAnsi="맑은 고딕" w:eastAsia="맑은 고딕"/>
                <w:b w:val="0"/>
                <w:i w:val="0"/>
                <w:sz w:val="19"/>
              </w:rPr>
              <w:t>형성기 핵심 셀의 제목 수, 군집 표준오차 비유의, 기간 경계의 성격을 한계에 옮긴다.</w:t>
            </w:r>
          </w:p>
        </w:tc>
        <w:tc>
          <w:tcPr>
            <w:tcW w:type="dxa" w:w="1474"/>
          </w:tcPr>
          <w:p>
            <w:pPr>
              <w:spacing w:after="20" w:line="288" w:lineRule="auto"/>
            </w:pPr>
            <w:r/>
            <w:r>
              <w:rPr>
                <w:rFonts w:ascii="맑은 고딕" w:hAnsi="맑은 고딕" w:eastAsia="맑은 고딕"/>
                <w:b w:val="0"/>
                <w:i w:val="0"/>
                <w:sz w:val="19"/>
              </w:rPr>
              <w:t>R4–R6</w:t>
            </w:r>
          </w:p>
        </w:tc>
      </w:tr>
      <w:tr>
        <w:trPr>
          <w:cantSplit w:val="true"/>
        </w:trPr>
        <w:tc>
          <w:tcPr>
            <w:tcW w:type="dxa" w:w="794"/>
          </w:tcPr>
          <w:p>
            <w:pPr>
              <w:spacing w:after="20" w:line="288" w:lineRule="auto"/>
            </w:pPr>
            <w:r/>
            <w:r>
              <w:rPr>
                <w:rFonts w:ascii="맑은 고딕" w:hAnsi="맑은 고딕" w:eastAsia="맑은 고딕"/>
                <w:b w:val="0"/>
                <w:i w:val="0"/>
                <w:sz w:val="19"/>
              </w:rPr>
              <w:t>7</w:t>
            </w:r>
          </w:p>
        </w:tc>
        <w:tc>
          <w:tcPr>
            <w:tcW w:type="dxa" w:w="7370"/>
          </w:tcPr>
          <w:p>
            <w:pPr>
              <w:spacing w:after="20" w:line="288" w:lineRule="auto"/>
            </w:pPr>
            <w:r/>
            <w:r>
              <w:rPr>
                <w:rFonts w:ascii="맑은 고딕" w:hAnsi="맑은 고딕" w:eastAsia="맑은 고딕"/>
                <w:b w:val="0"/>
                <w:i w:val="0"/>
                <w:sz w:val="19"/>
              </w:rPr>
              <w:t>제목 정규화 규칙, KnowMade 대조, 대괄호 문구를 확정한다.</w:t>
            </w:r>
          </w:p>
        </w:tc>
        <w:tc>
          <w:tcPr>
            <w:tcW w:type="dxa" w:w="1474"/>
          </w:tcPr>
          <w:p>
            <w:pPr>
              <w:spacing w:after="20" w:line="288" w:lineRule="auto"/>
            </w:pPr>
            <w:r/>
            <w:r>
              <w:rPr>
                <w:rFonts w:ascii="맑은 고딕" w:hAnsi="맑은 고딕" w:eastAsia="맑은 고딕"/>
                <w:b w:val="0"/>
                <w:i w:val="0"/>
                <w:sz w:val="19"/>
              </w:rPr>
              <w:t>R7, C6, C7</w:t>
            </w:r>
          </w:p>
        </w:tc>
      </w:tr>
    </w:tbl>
    <w:p>
      <w:pPr>
        <w:spacing w:after="40"/>
      </w:pPr>
    </w:p>
    <w:p>
      <w:pPr>
        <w:keepNext/>
        <w:spacing w:before="280" w:after="120" w:line="324" w:lineRule="auto"/>
        <w:pBdr>
          <w:bottom w:val="single" w:sz="6" w:space="1" w:color="1F3864"/>
        </w:pBdr>
      </w:pPr>
      <w:r>
        <w:rPr>
          <w:rFonts w:ascii="맑은 고딕" w:hAnsi="맑은 고딕" w:eastAsia="맑은 고딕"/>
          <w:b/>
          <w:i w:val="0"/>
          <w:color w:val="1F3864"/>
          <w:sz w:val="28"/>
        </w:rPr>
        <w:t>7. 이번 검토의 한계</w:t>
      </w:r>
    </w:p>
    <w:p>
      <w:pPr>
        <w:spacing w:before="0" w:after="40" w:line="324" w:lineRule="auto"/>
        <w:ind w:left="283" w:hanging="227"/>
      </w:pPr>
      <w:r>
        <w:rPr>
          <w:rFonts w:ascii="맑은 고딕" w:hAnsi="맑은 고딕" w:eastAsia="맑은 고딕"/>
          <w:b w:val="0"/>
          <w:i w:val="0"/>
          <w:sz w:val="21"/>
        </w:rPr>
        <w:t>· 보충자료(Table S1–S5)와 국문본은 읽지 않았습니다. 국문본과의 번역 일치는 이번 범위가 아닙니다.</w:t>
      </w:r>
    </w:p>
    <w:p>
      <w:pPr>
        <w:spacing w:before="0" w:after="40" w:line="324" w:lineRule="auto"/>
        <w:ind w:left="283" w:hanging="227"/>
      </w:pPr>
      <w:r>
        <w:rPr>
          <w:rFonts w:ascii="맑은 고딕" w:hAnsi="맑은 고딕" w:eastAsia="맑은 고딕"/>
          <w:b w:val="0"/>
          <w:i w:val="0"/>
          <w:sz w:val="21"/>
        </w:rPr>
        <w:t>· CPC 코드 수준의 값(핵심 기술 포함 여부, 기호별 빈도)은 로컬 자료에 기호 열이 없어 재계산하지 못했습니다. 표 4·표 7은 서로의 교차 검산으로만 확인했습니다.</w:t>
      </w:r>
    </w:p>
    <w:p>
      <w:pPr>
        <w:spacing w:before="0" w:after="40" w:line="324" w:lineRule="auto"/>
        <w:ind w:left="283" w:hanging="227"/>
      </w:pPr>
      <w:r>
        <w:rPr>
          <w:rFonts w:ascii="맑은 고딕" w:hAnsi="맑은 고딕" w:eastAsia="맑은 고딕"/>
          <w:b w:val="0"/>
          <w:i w:val="0"/>
          <w:sz w:val="21"/>
        </w:rPr>
        <w:t>· 인용 내용의 정확성(저자가 실제로 그 주장을 했는지)은 대조하지 않았습니다. 존재와 일치만 확인했습니다.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