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(N=250)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 (N=250)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(N=500)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53.956 (20.078)</w:t>
            </w:r>
          </w:p>
        </w:tc>
        <w:tc>
          <w:p>
            <w:pPr>
              <w:pStyle w:val="Compact"/>
              <w:jc w:val="center"/>
            </w:pPr>
            <w:r>
              <w:t xml:space="preserve">52.068 (21.261)</w:t>
            </w:r>
          </w:p>
        </w:tc>
        <w:tc>
          <w:p>
            <w:pPr>
              <w:pStyle w:val="Compact"/>
              <w:jc w:val="center"/>
            </w:pPr>
            <w:r>
              <w:t xml:space="preserve">53.012 (20.679)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17.000 - 87.000</w:t>
            </w:r>
          </w:p>
        </w:tc>
        <w:tc>
          <w:p>
            <w:pPr>
              <w:pStyle w:val="Compact"/>
              <w:jc w:val="center"/>
            </w:pPr>
            <w:r>
              <w:t xml:space="preserve">17.000 - 88.000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17.000 - 88.000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ethnicity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0.976 (0.236)</w:t>
            </w:r>
          </w:p>
        </w:tc>
        <w:tc>
          <w:p>
            <w:pPr>
              <w:pStyle w:val="Compact"/>
              <w:jc w:val="center"/>
            </w:pPr>
            <w:r>
              <w:t xml:space="preserve">0.956 (0.301)</w:t>
            </w:r>
          </w:p>
        </w:tc>
        <w:tc>
          <w:p>
            <w:pPr>
              <w:pStyle w:val="Compact"/>
              <w:jc w:val="center"/>
            </w:pPr>
            <w:r>
              <w:t xml:space="preserve">0.966 (0.270)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1</w:t>
            </w:r>
          </w:p>
        </w:tc>
        <w:tc>
          <w:p>
            <w:pPr>
              <w:pStyle w:val="Compact"/>
              <w:jc w:val="center"/>
            </w:pPr>
            <w:r>
              <w:t xml:space="preserve">12 (4.8%)</w:t>
            </w:r>
          </w:p>
        </w:tc>
        <w:tc>
          <w:p>
            <w:pPr>
              <w:pStyle w:val="Compact"/>
              <w:jc w:val="center"/>
            </w:pPr>
            <w:r>
              <w:t xml:space="preserve">7 (2.8%)</w:t>
            </w:r>
          </w:p>
        </w:tc>
        <w:tc>
          <w:p>
            <w:pPr>
              <w:pStyle w:val="Compact"/>
              <w:jc w:val="center"/>
            </w:pPr>
            <w:r>
              <w:t xml:space="preserve">19 (3.8%)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3</w:t>
            </w:r>
          </w:p>
        </w:tc>
        <w:tc>
          <w:p>
            <w:pPr>
              <w:pStyle w:val="Compact"/>
              <w:jc w:val="center"/>
            </w:pPr>
            <w:r>
              <w:t xml:space="preserve">24 (9.6%)</w:t>
            </w:r>
          </w:p>
        </w:tc>
        <w:tc>
          <w:p>
            <w:pPr>
              <w:pStyle w:val="Compact"/>
              <w:jc w:val="center"/>
            </w:pPr>
            <w:r>
              <w:t xml:space="preserve">32 (12.8%)</w:t>
            </w:r>
          </w:p>
        </w:tc>
        <w:tc>
          <w:p>
            <w:pPr>
              <w:pStyle w:val="Compact"/>
              <w:jc w:val="center"/>
            </w:pPr>
            <w:r>
              <w:t xml:space="preserve">56 (11.2%)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4</w:t>
            </w:r>
          </w:p>
        </w:tc>
        <w:tc>
          <w:p>
            <w:pPr>
              <w:pStyle w:val="Compact"/>
              <w:jc w:val="center"/>
            </w:pPr>
            <w:r>
              <w:t xml:space="preserve">176 (70.4%)</w:t>
            </w:r>
          </w:p>
        </w:tc>
        <w:tc>
          <w:p>
            <w:pPr>
              <w:pStyle w:val="Compact"/>
              <w:jc w:val="center"/>
            </w:pPr>
            <w:r>
              <w:t xml:space="preserve">176 (70.4%)</w:t>
            </w:r>
          </w:p>
        </w:tc>
        <w:tc>
          <w:p>
            <w:pPr>
              <w:pStyle w:val="Compact"/>
              <w:jc w:val="center"/>
            </w:pPr>
            <w:r>
              <w:t xml:space="preserve">352 (70.4%)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5</w:t>
            </w:r>
          </w:p>
        </w:tc>
        <w:tc>
          <w:p>
            <w:pPr>
              <w:pStyle w:val="Compact"/>
              <w:jc w:val="center"/>
            </w:pPr>
            <w:r>
              <w:t xml:space="preserve">31 (12.4%)</w:t>
            </w:r>
          </w:p>
        </w:tc>
        <w:tc>
          <w:p>
            <w:pPr>
              <w:pStyle w:val="Compact"/>
              <w:jc w:val="center"/>
            </w:pPr>
            <w:r>
              <w:t xml:space="preserve">28 (11.2%)</w:t>
            </w:r>
          </w:p>
        </w:tc>
        <w:tc>
          <w:p>
            <w:pPr>
              <w:pStyle w:val="Compact"/>
              <w:jc w:val="center"/>
            </w:pPr>
            <w:r>
              <w:t xml:space="preserve">59 (11.8%)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6</w:t>
            </w:r>
          </w:p>
        </w:tc>
        <w:tc>
          <w:p>
            <w:pPr>
              <w:pStyle w:val="Compact"/>
              <w:jc w:val="center"/>
            </w:pPr>
            <w:r>
              <w:t xml:space="preserve">7 (2.8%)</w:t>
            </w:r>
          </w:p>
        </w:tc>
        <w:tc>
          <w:p>
            <w:pPr>
              <w:pStyle w:val="Compact"/>
              <w:jc w:val="center"/>
            </w:pPr>
            <w:r>
              <w:t xml:space="preserve">7 (2.8%)</w:t>
            </w:r>
          </w:p>
        </w:tc>
        <w:tc>
          <w:p>
            <w:pPr>
              <w:pStyle w:val="Compact"/>
              <w:jc w:val="center"/>
            </w:pPr>
            <w:r>
              <w:t xml:space="preserve">14 (2.8%)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0.460 (0.499)</w:t>
            </w:r>
          </w:p>
        </w:tc>
        <w:tc>
          <w:p>
            <w:pPr>
              <w:pStyle w:val="Compact"/>
              <w:jc w:val="center"/>
            </w:pPr>
            <w:r>
              <w:t xml:space="preserve">0.500 (0.501)</w:t>
            </w:r>
          </w:p>
        </w:tc>
        <w:tc>
          <w:p>
            <w:pPr>
              <w:pStyle w:val="Compact"/>
              <w:jc w:val="center"/>
            </w:pPr>
            <w:r>
              <w:t xml:space="preserve">0.480 (0.500)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173.092 (10.610)</w:t>
            </w:r>
          </w:p>
        </w:tc>
        <w:tc>
          <w:p>
            <w:pPr>
              <w:pStyle w:val="Compact"/>
              <w:jc w:val="center"/>
            </w:pPr>
            <w:r>
              <w:t xml:space="preserve">172.476 (9.725)</w:t>
            </w:r>
          </w:p>
        </w:tc>
        <w:tc>
          <w:p>
            <w:pPr>
              <w:pStyle w:val="Compact"/>
              <w:jc w:val="center"/>
            </w:pPr>
            <w:r>
              <w:t xml:space="preserve">172.784 (10.171)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142.500 - 204.300</w:t>
            </w:r>
          </w:p>
        </w:tc>
        <w:tc>
          <w:p>
            <w:pPr>
              <w:pStyle w:val="Compact"/>
              <w:jc w:val="center"/>
            </w:pPr>
            <w:r>
              <w:t xml:space="preserve">142.900 - 205.300</w:t>
            </w:r>
          </w:p>
        </w:tc>
        <w:tc>
          <w:p>
            <w:pPr>
              <w:pStyle w:val="Compact"/>
              <w:jc w:val="center"/>
            </w:pPr>
            <w:r>
              <w:t xml:space="preserve">142.500 - 205.300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110.356 (22.806)</w:t>
            </w:r>
          </w:p>
        </w:tc>
        <w:tc>
          <w:p>
            <w:pPr>
              <w:pStyle w:val="Compact"/>
              <w:jc w:val="center"/>
            </w:pPr>
            <w:r>
              <w:t xml:space="preserve">109.940 (26.311)</w:t>
            </w:r>
          </w:p>
        </w:tc>
        <w:tc>
          <w:p>
            <w:pPr>
              <w:pStyle w:val="Compact"/>
              <w:jc w:val="center"/>
            </w:pPr>
            <w:r>
              <w:t xml:space="preserve">110.148 (24.597)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48.000 - 171.000</w:t>
            </w:r>
          </w:p>
        </w:tc>
        <w:tc>
          <w:p>
            <w:pPr>
              <w:pStyle w:val="Compact"/>
              <w:jc w:val="center"/>
            </w:pPr>
            <w:r>
              <w:t xml:space="preserve">36.000 - 189.000</w:t>
            </w:r>
          </w:p>
        </w:tc>
        <w:tc>
          <w:p>
            <w:pPr>
              <w:pStyle w:val="Compact"/>
              <w:jc w:val="center"/>
            </w:pPr>
            <w:r>
              <w:t xml:space="preserve">36.000 - 189.000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37.283 (9.327)</w:t>
            </w:r>
          </w:p>
        </w:tc>
        <w:tc>
          <w:p>
            <w:pPr>
              <w:pStyle w:val="Compact"/>
              <w:jc w:val="center"/>
            </w:pPr>
            <w:r>
              <w:t xml:space="preserve">37.346 (10.248)</w:t>
            </w:r>
          </w:p>
        </w:tc>
        <w:tc>
          <w:p>
            <w:pPr>
              <w:pStyle w:val="Compact"/>
              <w:jc w:val="center"/>
            </w:pPr>
            <w:r>
              <w:t xml:space="preserve">37.314 (9.788)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17.000 - 65.000</w:t>
            </w:r>
          </w:p>
        </w:tc>
        <w:tc>
          <w:p>
            <w:pPr>
              <w:pStyle w:val="Compact"/>
              <w:jc w:val="center"/>
            </w:pPr>
            <w:r>
              <w:t xml:space="preserve">11.100 - 78.100</w:t>
            </w:r>
          </w:p>
        </w:tc>
        <w:tc>
          <w:p>
            <w:pPr>
              <w:pStyle w:val="Compact"/>
              <w:jc w:val="center"/>
            </w:pPr>
            <w:r>
              <w:t xml:space="preserve">11.100 - 78.100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Linear Model ANOVA</w:t>
      </w:r>
    </w:p>
    <w:p>
      <w:pPr>
        <w:pStyle w:val="Compact"/>
        <w:numPr>
          <w:numId w:val="1001"/>
          <w:ilvl w:val="0"/>
        </w:numPr>
      </w:pPr>
      <w:r>
        <w:t xml:space="preserve">Pearson’s Chi-squared 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2018-08-23T23:49:09Z</dcterms:created>
  <dcterms:modified xsi:type="dcterms:W3CDTF">2018-08-23T23:49:09Z</dcterms:modified>
</cp:coreProperties>
</file>