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Step-</w:t>
      </w:r>
      <w:r>
        <w:rPr>
          <w:rFonts w:eastAsia="等线" w:ascii="Arial" w:cs="Arial" w:hAnsi="Arial"/>
          <w:b w:val="true"/>
          <w:sz w:val="52"/>
        </w:rPr>
        <w:t>D</w:t>
      </w:r>
      <w:r>
        <w:rPr>
          <w:rFonts w:eastAsia="等线" w:ascii="Arial" w:cs="Arial" w:hAnsi="Arial"/>
          <w:b w:val="true"/>
          <w:sz w:val="52"/>
        </w:rPr>
        <w:t>istillation 20251113-1120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一，实验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评估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866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蒸馏的时候没有利用中间态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二</w:t>
      </w:r>
      <w:r>
        <w:rPr>
          <w:rFonts w:eastAsia="等线" w:ascii="Arial" w:cs="Arial" w:hAnsi="Arial"/>
          <w:b w:val="true"/>
          <w:sz w:val="36"/>
        </w:rPr>
        <w:t>，</w:t>
      </w:r>
      <w:r>
        <w:rPr>
          <w:rFonts w:eastAsia="等线" w:ascii="Arial" w:cs="Arial" w:hAnsi="Arial"/>
          <w:b w:val="true"/>
          <w:sz w:val="36"/>
        </w:rPr>
        <w:t>论文阅读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降低采样步数：连续扩散迁移图像的方法 or 优化联合概率分布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2.1 连续扩散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2.1.1 FlowMatching和MeanFlow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2.1.2 COEVOLUTIONARY CONTINUOUS DISCRETE DIFFU-SION: MAKE YOUR DIFFUSION LANGUAGE MODEL A LATENT REASONER（2025.10.3，MIT）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67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作者证明了连续扩散模型在理论上比离散扩散和循环Transformer具有更强的表达能力。然而，理论与实践存在矛盾：CDMs虽然提供了LT所缺乏的中间监督，但引入了从连续表征空间解码到离散Token空间的额外困难。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并行解码 （联合概率分布）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2.2.1 Accelerating Diffusion LLMs via Adaptive Parallel Decoding （2025.10.30，UCLA）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将 dLLM 强制限制为“从左到右”生成顺序 (使其具有自回归特性)，并利用一个小型的 AR 模型来验证 dLLM 并行生成的 token 块内部的依赖关系是否合理。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大模型 (dLLM)</w:t>
      </w:r>
      <w:r>
        <w:rPr>
          <w:rFonts w:eastAsia="等线" w:ascii="Arial" w:cs="Arial" w:hAnsi="Arial"/>
          <w:sz w:val="22"/>
        </w:rPr>
        <w:t xml:space="preserve"> 并行生成一组候选 token (基于边缘概率)。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小模型 (Small AR)</w:t>
      </w:r>
      <w:r>
        <w:rPr>
          <w:rFonts w:eastAsia="等线" w:ascii="Arial" w:cs="Arial" w:hAnsi="Arial"/>
          <w:sz w:val="22"/>
        </w:rPr>
        <w:t xml:space="preserve"> 作为验证者，检查这些 token 的联合依赖关系是否合理。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</w:t>
      </w:r>
      <w:r>
        <w:rPr>
          <w:rFonts w:eastAsia="等线" w:ascii="Arial" w:cs="Arial" w:hAnsi="Arial"/>
          <w:b w:val="true"/>
          <w:sz w:val="22"/>
        </w:rPr>
        <w:t>Gumbel-Softmax</w:t>
      </w:r>
      <w:r>
        <w:rPr>
          <w:rFonts w:eastAsia="等线" w:ascii="Arial" w:cs="Arial" w:hAnsi="Arial"/>
          <w:sz w:val="22"/>
        </w:rPr>
        <w:t xml:space="preserve"> 技巧进行耦合采样，接受符合目标分布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sSub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="等线" w:ascii="Arial" w:cs="Arial" w:hAnsi="Arial"/>
          <w:sz w:val="22"/>
        </w:rPr>
        <w:t>的 token 子序列。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 xml:space="preserve">2.2.2 GUMBEL DISTILLATION FOR PARALLEL DECODING OF LANGUAGE MODELS 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193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  <w:shd w:fill="fff67a"/>
        </w:rPr>
        <w:t>2.2.3 DPARALLEL: LEARNABLE PARALLEL DECODING FOR DLLMS （新国立）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860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一致性损失 (Consistency Loss)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让学生模型（Student）跟随教师模型（Teacher/原模型）的生成轨迹。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使用半自回归前向掩码（Semi-Autoregressive Forward Masking）模拟生成过程。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目标是让学生模型预测出与教师模型一致的Token。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确定性损失 (Certainty Loss) - 核心创新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目的</w:t>
      </w:r>
      <w:r>
        <w:rPr>
          <w:rFonts w:eastAsia="等线" w:ascii="Arial" w:cs="Arial" w:hAnsi="Arial"/>
          <w:sz w:val="22"/>
        </w:rPr>
        <w:t>：迫使模型对</w:t>
      </w:r>
      <w:r>
        <w:rPr>
          <w:rFonts w:eastAsia="等线" w:ascii="Arial" w:cs="Arial" w:hAnsi="Arial"/>
          <w:b w:val="true"/>
          <w:sz w:val="22"/>
        </w:rPr>
        <w:t>预测正确</w:t>
      </w:r>
      <w:r>
        <w:rPr>
          <w:rFonts w:eastAsia="等线" w:ascii="Arial" w:cs="Arial" w:hAnsi="Arial"/>
          <w:sz w:val="22"/>
        </w:rPr>
        <w:t>的Token更加自信（降低熵）。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操作</w:t>
      </w:r>
      <w:r>
        <w:rPr>
          <w:rFonts w:eastAsia="等线" w:ascii="Arial" w:cs="Arial" w:hAnsi="Arial"/>
          <w:sz w:val="22"/>
        </w:rPr>
        <w:t>：仅针对那些学生模型已经能正确预测的Masked Token，最小化其输出分布的熵（Entropy）。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效果</w:t>
      </w:r>
      <w:r>
        <w:rPr>
          <w:rFonts w:eastAsia="等线" w:ascii="Arial" w:cs="Arial" w:hAnsi="Arial"/>
          <w:sz w:val="22"/>
        </w:rPr>
        <w:t>：这鼓励模型在每一步中并行地“确信”更多的Token，而不是等待前面的Token完全确定后再建立信心。</w:t>
      </w:r>
    </w:p>
    <w:p>
      <w:pPr>
        <w:spacing w:before="120" w:after="120" w:line="288" w:lineRule="auto"/>
        <w:ind w:left="453"/>
        <w:jc w:val="center"/>
      </w:pPr>
      <w:r>
        <w:drawing>
          <wp:inline distT="0" distR="0" distB="0" distL="0">
            <wp:extent cx="5257800" cy="399097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2.2.4 Learning to Parallel: Accelerating Diffusion Large Language Models via Learnable Parallel Decoding （HKUST）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291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2.3 其他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</w:t>
      </w:r>
      <w:r>
        <w:rPr>
          <w:rFonts w:eastAsia="等线" w:ascii="Arial" w:cs="Arial" w:hAnsi="Arial"/>
          <w:b w:val="true"/>
          <w:sz w:val="30"/>
        </w:rPr>
        <w:t>.</w:t>
      </w:r>
      <w:r>
        <w:rPr>
          <w:rFonts w:eastAsia="等线" w:ascii="Arial" w:cs="Arial" w:hAnsi="Arial"/>
          <w:b w:val="true"/>
          <w:sz w:val="30"/>
        </w:rPr>
        <w:t>3.1</w:t>
      </w:r>
      <w:r>
        <w:rPr>
          <w:rFonts w:eastAsia="等线" w:ascii="Arial" w:cs="Arial" w:hAnsi="Arial"/>
          <w:b w:val="true"/>
          <w:sz w:val="30"/>
        </w:rPr>
        <w:t xml:space="preserve"> Black-Box On-Policy Distillation of Large Language Models（2025.11.13，Microsoft）</w:t>
      </w:r>
      <w:bookmarkEnd w:id="1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384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2.3.2 Next Semantic Scale Prediction via Hierarchical Diffusion Language Models（2025.10.8，MIT）</w:t>
      </w:r>
      <w:bookmarkEnd w:id="1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38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2.3.3</w:t>
      </w:r>
      <w:r>
        <w:rPr>
          <w:rFonts w:eastAsia="等线" w:ascii="Arial" w:cs="Arial" w:hAnsi="Arial"/>
          <w:b w:val="true"/>
          <w:sz w:val="30"/>
        </w:rPr>
        <w:t xml:space="preserve"> </w:t>
      </w:r>
      <w:r>
        <w:rPr>
          <w:rFonts w:eastAsia="等线" w:ascii="Arial" w:cs="Arial" w:hAnsi="Arial"/>
          <w:b w:val="true"/>
          <w:sz w:val="30"/>
        </w:rPr>
        <w:t>Awesome-Diffusion-LLM</w:t>
      </w:r>
      <w:bookmarkEnd w:id="14"/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Theoretical Basis</w:t>
      </w:r>
      <w:r>
        <w:rPr>
          <w:rFonts w:eastAsia="等线" w:ascii="Arial" w:cs="Arial" w:hAnsi="Arial"/>
          <w:sz w:val="22"/>
        </w:rPr>
        <w:t>：从早期的扩散理论，到离散状态空间和 Masked Diffusion 的方法。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Foundation Models</w:t>
      </w:r>
      <w:r>
        <w:rPr>
          <w:rFonts w:eastAsia="等线" w:ascii="Arial" w:cs="Arial" w:hAnsi="Arial"/>
          <w:sz w:val="22"/>
        </w:rPr>
        <w:t>：像 LLaDA、Mercury、Seed Diffusion、Continuous DLM 等项目。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Inference Method</w:t>
      </w:r>
      <w:r>
        <w:rPr>
          <w:rFonts w:eastAsia="等线" w:ascii="Arial" w:cs="Arial" w:hAnsi="Arial"/>
          <w:sz w:val="22"/>
        </w:rPr>
        <w:t>：包括 KV Cache、Parallel Decoding、Dynamic Thresholding 等加速推理方案。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Training Method</w:t>
      </w:r>
      <w:r>
        <w:rPr>
          <w:rFonts w:eastAsia="等线" w:ascii="Arial" w:cs="Arial" w:hAnsi="Arial"/>
          <w:sz w:val="22"/>
        </w:rPr>
        <w:t>：包含了强化学习优化（d1, wd1, DiffuCoder, d2, SPG），以及 Blockwise SFT 等新方法。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Multimodal Model</w:t>
      </w:r>
      <w:r>
        <w:rPr>
          <w:rFonts w:eastAsia="等线" w:ascii="Arial" w:cs="Arial" w:hAnsi="Arial"/>
          <w:sz w:val="22"/>
        </w:rPr>
        <w:t>：LLaDA-V、LaViDa、Whisfusion 等多模态模型。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Variable Length / Others</w:t>
      </w:r>
      <w:r>
        <w:rPr>
          <w:rFonts w:eastAsia="等线" w:ascii="Arial" w:cs="Arial" w:hAnsi="Arial"/>
          <w:sz w:val="22"/>
        </w:rPr>
        <w:t>：变长生成、水印、对齐、长上下文等方向。</w:t>
      </w:r>
      <w:r>
        <w:rPr>
          <w:rFonts w:eastAsia="等线" w:ascii="Arial" w:cs="Arial" w:hAnsi="Arial"/>
          <w:color w:val="8f959e"/>
          <w:sz w:val="22"/>
          <w:shd w:fill="bbbfc4"/>
        </w:rPr>
        <w:br/>
        <w:br/>
        <w:br/>
        <w:br/>
        <w:br/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7758">
    <w:lvl>
      <w:start w:val="1"/>
      <w:numFmt w:val="decimal"/>
      <w:suff w:val="tab"/>
      <w:lvlText w:val="%1."/>
      <w:rPr>
        <w:color w:val="3370ff"/>
      </w:rPr>
    </w:lvl>
  </w:abstractNum>
  <w:abstractNum w:abstractNumId="377759">
    <w:lvl>
      <w:start w:val="2"/>
      <w:numFmt w:val="decimal"/>
      <w:suff w:val="tab"/>
      <w:lvlText w:val="%1."/>
      <w:rPr>
        <w:color w:val="3370ff"/>
      </w:rPr>
    </w:lvl>
  </w:abstractNum>
  <w:abstractNum w:abstractNumId="377760">
    <w:lvl>
      <w:start w:val="3"/>
      <w:numFmt w:val="decimal"/>
      <w:suff w:val="tab"/>
      <w:lvlText w:val="%1."/>
      <w:rPr>
        <w:color w:val="3370ff"/>
      </w:rPr>
    </w:lvl>
  </w:abstractNum>
  <w:abstractNum w:abstractNumId="377761">
    <w:lvl>
      <w:start w:val="1"/>
      <w:numFmt w:val="decimal"/>
      <w:suff w:val="tab"/>
      <w:lvlText w:val="%1."/>
      <w:rPr>
        <w:color w:val="3370ff"/>
      </w:rPr>
    </w:lvl>
  </w:abstractNum>
  <w:abstractNum w:abstractNumId="377762">
    <w:lvl>
      <w:numFmt w:val="bullet"/>
      <w:suff w:val="tab"/>
      <w:lvlText w:val="￮"/>
      <w:rPr>
        <w:color w:val="3370ff"/>
      </w:rPr>
    </w:lvl>
  </w:abstractNum>
  <w:abstractNum w:abstractNumId="377763">
    <w:lvl>
      <w:numFmt w:val="bullet"/>
      <w:suff w:val="tab"/>
      <w:lvlText w:val="￮"/>
      <w:rPr>
        <w:color w:val="3370ff"/>
      </w:rPr>
    </w:lvl>
  </w:abstractNum>
  <w:abstractNum w:abstractNumId="377764">
    <w:lvl>
      <w:numFmt w:val="bullet"/>
      <w:suff w:val="tab"/>
      <w:lvlText w:val="￮"/>
      <w:rPr>
        <w:color w:val="3370ff"/>
      </w:rPr>
    </w:lvl>
  </w:abstractNum>
  <w:abstractNum w:abstractNumId="377765">
    <w:lvl>
      <w:start w:val="2"/>
      <w:numFmt w:val="decimal"/>
      <w:suff w:val="tab"/>
      <w:lvlText w:val="%1."/>
      <w:rPr>
        <w:color w:val="3370ff"/>
      </w:rPr>
    </w:lvl>
  </w:abstractNum>
  <w:abstractNum w:abstractNumId="377766">
    <w:lvl>
      <w:numFmt w:val="bullet"/>
      <w:suff w:val="tab"/>
      <w:lvlText w:val="￮"/>
      <w:rPr>
        <w:color w:val="3370ff"/>
      </w:rPr>
    </w:lvl>
  </w:abstractNum>
  <w:abstractNum w:abstractNumId="377767">
    <w:lvl>
      <w:numFmt w:val="bullet"/>
      <w:suff w:val="tab"/>
      <w:lvlText w:val="￮"/>
      <w:rPr>
        <w:color w:val="3370ff"/>
      </w:rPr>
    </w:lvl>
  </w:abstractNum>
  <w:abstractNum w:abstractNumId="377768">
    <w:lvl>
      <w:numFmt w:val="bullet"/>
      <w:suff w:val="tab"/>
      <w:lvlText w:val="￮"/>
      <w:rPr>
        <w:color w:val="3370ff"/>
      </w:rPr>
    </w:lvl>
  </w:abstractNum>
  <w:abstractNum w:abstractNumId="377769">
    <w:lvl>
      <w:numFmt w:val="bullet"/>
      <w:suff w:val="tab"/>
      <w:lvlText w:val="￮"/>
      <w:rPr>
        <w:color w:val="3370ff"/>
      </w:rPr>
    </w:lvl>
  </w:abstractNum>
  <w:abstractNum w:abstractNumId="377770">
    <w:lvl>
      <w:numFmt w:val="bullet"/>
      <w:suff w:val="tab"/>
      <w:lvlText w:val="￮"/>
      <w:rPr>
        <w:color w:val="3370ff"/>
      </w:rPr>
    </w:lvl>
  </w:abstractNum>
  <w:abstractNum w:abstractNumId="377771">
    <w:lvl>
      <w:numFmt w:val="bullet"/>
      <w:suff w:val="tab"/>
      <w:lvlText w:val="￮"/>
      <w:rPr>
        <w:color w:val="3370ff"/>
      </w:rPr>
    </w:lvl>
  </w:abstractNum>
  <w:abstractNum w:abstractNumId="377772">
    <w:lvl>
      <w:numFmt w:val="bullet"/>
      <w:suff w:val="tab"/>
      <w:lvlText w:val="￮"/>
      <w:rPr>
        <w:color w:val="3370ff"/>
      </w:rPr>
    </w:lvl>
  </w:abstractNum>
  <w:abstractNum w:abstractNumId="377773">
    <w:lvl>
      <w:numFmt w:val="bullet"/>
      <w:suff w:val="tab"/>
      <w:lvlText w:val="￮"/>
      <w:rPr>
        <w:color w:val="3370ff"/>
      </w:rPr>
    </w:lvl>
  </w:abstractNum>
  <w:abstractNum w:abstractNumId="377774">
    <w:lvl>
      <w:numFmt w:val="bullet"/>
      <w:suff w:val="tab"/>
      <w:lvlText w:val="￮"/>
      <w:rPr>
        <w:color w:val="3370ff"/>
      </w:rPr>
    </w:lvl>
  </w:abstractNum>
  <w:num w:numId="1">
    <w:abstractNumId w:val="377758"/>
  </w:num>
  <w:num w:numId="2">
    <w:abstractNumId w:val="377759"/>
  </w:num>
  <w:num w:numId="3">
    <w:abstractNumId w:val="377760"/>
  </w:num>
  <w:num w:numId="4">
    <w:abstractNumId w:val="377761"/>
  </w:num>
  <w:num w:numId="5">
    <w:abstractNumId w:val="377762"/>
  </w:num>
  <w:num w:numId="6">
    <w:abstractNumId w:val="377763"/>
  </w:num>
  <w:num w:numId="7">
    <w:abstractNumId w:val="377764"/>
  </w:num>
  <w:num w:numId="8">
    <w:abstractNumId w:val="377765"/>
  </w:num>
  <w:num w:numId="9">
    <w:abstractNumId w:val="377766"/>
  </w:num>
  <w:num w:numId="10">
    <w:abstractNumId w:val="377767"/>
  </w:num>
  <w:num w:numId="11">
    <w:abstractNumId w:val="377768"/>
  </w:num>
  <w:num w:numId="12">
    <w:abstractNumId w:val="377769"/>
  </w:num>
  <w:num w:numId="13">
    <w:abstractNumId w:val="377770"/>
  </w:num>
  <w:num w:numId="14">
    <w:abstractNumId w:val="377771"/>
  </w:num>
  <w:num w:numId="15">
    <w:abstractNumId w:val="377772"/>
  </w:num>
  <w:num w:numId="16">
    <w:abstractNumId w:val="377773"/>
  </w:num>
  <w:num w:numId="17">
    <w:abstractNumId w:val="37777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2025-12-12T12:36:50Z</dcterms:created>
  <dc:creator>Apache POI</dc:creator>
</cp:coreProperties>
</file>