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CHEMISTRY</w:t>
            </w:r>
          </w:p>
          <w:p>
            <w:pPr>
              <w:spacing w:after="0"/>
              <w:jc w:val="center"/>
            </w:pPr>
            <w:r>
              <w:rPr>
                <w:color w:val="FFFFFF"/>
                <w:sz w:val="26"/>
                <w:szCs w:val="26"/>
              </w:rPr>
              <w:t xml:space="preserve">Grades XI –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 – Part I (Grade XI)</w:t>
      </w:r>
      <w:r>
        <w:rPr>
          <w:sz w:val="21"/>
          <w:szCs w:val="21"/>
        </w:rPr>
        <w:t xml:space="preserve">	7</w:t>
      </w:r>
    </w:p>
    <w:p>
      <w:pPr>
        <w:tabs>
          <w:tab w:val="right" w:pos="9026" w:leader="dot"/>
        </w:tabs>
        <w:spacing w:after="120"/>
      </w:pPr>
      <w:r>
        <w:rPr>
          <w:sz w:val="21"/>
          <w:szCs w:val="21"/>
        </w:rPr>
        <w:t xml:space="preserve">Student Learning Outcomes – Part II (Grade XII)</w:t>
      </w:r>
      <w:r>
        <w:rPr>
          <w:sz w:val="21"/>
          <w:szCs w:val="21"/>
        </w:rPr>
        <w:t xml:space="preserve">	9</w:t>
      </w:r>
    </w:p>
    <w:p>
      <w:pPr>
        <w:tabs>
          <w:tab w:val="right" w:pos="9026" w:leader="dot"/>
        </w:tabs>
        <w:spacing w:after="120"/>
      </w:pPr>
      <w:r>
        <w:rPr>
          <w:sz w:val="21"/>
          <w:szCs w:val="21"/>
        </w:rPr>
        <w:t xml:space="preserve">Scheme of Assessment</w:t>
      </w:r>
      <w:r>
        <w:rPr>
          <w:sz w:val="21"/>
          <w:szCs w:val="21"/>
        </w:rPr>
        <w:t xml:space="preserve">	11</w:t>
      </w:r>
    </w:p>
    <w:p>
      <w:pPr>
        <w:tabs>
          <w:tab w:val="right" w:pos="9026" w:leader="dot"/>
        </w:tabs>
        <w:spacing w:after="120"/>
      </w:pPr>
      <w:r>
        <w:rPr>
          <w:sz w:val="21"/>
          <w:szCs w:val="21"/>
        </w:rPr>
        <w:t xml:space="preserve">Academic Integrity and Laboratory Safety</w:t>
      </w:r>
      <w:r>
        <w:rPr>
          <w:sz w:val="21"/>
          <w:szCs w:val="21"/>
        </w:rPr>
        <w:t xml:space="preserve">	14</w:t>
      </w:r>
    </w:p>
    <w:p>
      <w:pPr>
        <w:tabs>
          <w:tab w:val="right" w:pos="9026" w:leader="dot"/>
        </w:tabs>
        <w:spacing w:after="120"/>
      </w:pPr>
      <w:r>
        <w:rPr>
          <w:sz w:val="21"/>
          <w:szCs w:val="21"/>
        </w:rPr>
        <w:t xml:space="preserve">Acknowledgements</w:t>
      </w:r>
      <w:r>
        <w:rPr>
          <w:sz w:val="21"/>
          <w:szCs w:val="21"/>
        </w:rPr>
        <w:t xml:space="preserve">	15</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conceptual understanding and scientific reasoning, and that remain aligned with the national curriculum and with contemporary international standards in science education.</w:t>
      </w:r>
    </w:p>
    <w:p>
      <w:pPr>
        <w:spacing w:after="160" w:line="276"/>
      </w:pPr>
      <w:r>
        <w:rPr>
          <w:color w:val="1A1A1A"/>
          <w:sz w:val="21"/>
          <w:szCs w:val="21"/>
        </w:rPr>
        <w:t xml:space="preserve">This document sets out the syllabus for Chemistry at the HSSC level (Grades XI and XII). It has been developed in recognition of chemistry's role as a foundation for further study and employment in medicine, engineering, pharmacy, environmental science and a wide range of other scientific and industrial fields.</w:t>
      </w:r>
    </w:p>
    <w:p>
      <w:pPr>
        <w:spacing w:after="160" w:line="276"/>
      </w:pPr>
      <w:r>
        <w:rPr>
          <w:color w:val="1A1A1A"/>
          <w:sz w:val="21"/>
          <w:szCs w:val="21"/>
        </w:rPr>
        <w:t xml:space="preserve">The syllabus was developed following consultation with subject specialists, teachers of affiliated institutions, and reviewers with expertise in chemistry education, and reflects a deliberate effort to move examination preparation away from rote memorisation of facts and toward the disciplined observation, calculation and reasoning that underpin the subject.</w:t>
      </w:r>
    </w:p>
    <w:p>
      <w:pPr>
        <w:spacing w:after="160" w:line="276"/>
      </w:pPr>
      <w:r>
        <w:rPr>
          <w:color w:val="1A1A1A"/>
          <w:sz w:val="21"/>
          <w:szCs w:val="21"/>
        </w:rPr>
        <w:t xml:space="preserve">We are confident that this syllabus will support teachers and students of affiliated institutions in building a rigorous and practical understanding of chemistry,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(XI and XII). In each syllabus document, the content progresses from simple to complex, facilitating gradual, conceptual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‘describe’, ‘apply’, ‘analyse’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facts, this syllabus aims to encourage students to reason scientifically, to justify their conclusions with evidence and calculation, and to communicate their thinking clearly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acknowledge any resource that materially shapes a solution submitted for assessment.</w:t>
      </w:r>
    </w:p>
    <w:p>
      <w:r>
        <w:br w:type="page"/>
      </w:r>
    </w:p>
    <w:p>
      <w:pPr>
        <w:pStyle w:val="Heading1"/>
        <w:pBdr>
          <w:bottom w:val="single" w:color="6E2C3A" w:sz="6" w:space="4"/>
        </w:pBdr>
        <w:spacing w:after="200" w:before="300"/>
      </w:pPr>
      <w:r>
        <w:rPr>
          <w:b/>
          <w:bCs/>
          <w:color w:val="6E2C3A"/>
          <w:sz w:val="30"/>
          <w:szCs w:val="30"/>
        </w:rPr>
        <w:t xml:space="preserve">Subject Rationale of Chemistry</w:t>
      </w:r>
    </w:p>
    <w:p>
      <w:pPr>
        <w:pStyle w:val="Heading2"/>
        <w:spacing w:after="120" w:before="240"/>
      </w:pPr>
      <w:r>
        <w:rPr>
          <w:b/>
          <w:bCs/>
          <w:color w:val="2E3A59"/>
          <w:sz w:val="24"/>
          <w:szCs w:val="24"/>
        </w:rPr>
        <w:t xml:space="preserve">What will you learn in Chemistry?</w:t>
      </w:r>
    </w:p>
    <w:p>
      <w:pPr>
        <w:spacing w:after="160" w:line="276"/>
      </w:pPr>
      <w:r>
        <w:rPr>
          <w:color w:val="1A1A1A"/>
          <w:sz w:val="21"/>
          <w:szCs w:val="21"/>
        </w:rPr>
        <w:t xml:space="preserve">Chemistry is the study of matter, its composition, its properties and the changes it undergoes — knowledge that underlies medicine, agriculture, energy, materials and much of modern industry. This syllabus teaches students to explain observable phenomena in terms of atoms, bonds and energy, and to support their explanations with careful measurement and calculation rather than with memorised statements.</w:t>
      </w:r>
    </w:p>
    <w:p>
      <w:pPr>
        <w:spacing w:after="160" w:line="276"/>
      </w:pPr>
      <w:r>
        <w:rPr>
          <w:color w:val="1A1A1A"/>
          <w:sz w:val="21"/>
          <w:szCs w:val="21"/>
        </w:rPr>
        <w:t xml:space="preserve">Many students who can recall a definition have not yet learned to apply it — to predict how a system at equilibrium will respond to a change in conditions, to work out the shape of a molecule from first principles, or to interpret experimental data as evidence for a reaction mechanism. This syllabus addresses that gap directly. Students will study the structure of the atom, the behaviour of gases, liquids and solids, the principles governing chemical equilibrium, kinetics, thermochemistry and electrochemistry, and the foundations of organic chemistry.</w:t>
      </w:r>
    </w:p>
    <w:p>
      <w:pPr>
        <w:spacing w:after="160" w:line="276"/>
      </w:pPr>
      <w:r>
        <w:rPr>
          <w:color w:val="1A1A1A"/>
          <w:sz w:val="21"/>
          <w:szCs w:val="21"/>
        </w:rPr>
        <w:t xml:space="preserve">Throughout, the syllabus emphasises the application of chemical principles to unfamiliar situations, and the ability to reason from evidence — in the laboratory and in the examination room — rather than the recall of isolated facts.</w:t>
      </w:r>
    </w:p>
    <w:p>
      <w:pPr>
        <w:pStyle w:val="Heading2"/>
        <w:spacing w:after="120" w:before="240"/>
      </w:pPr>
      <w:r>
        <w:rPr>
          <w:b/>
          <w:bCs/>
          <w:color w:val="2E3A59"/>
          <w:sz w:val="24"/>
          <w:szCs w:val="24"/>
        </w:rPr>
        <w:t xml:space="preserve">Where will it take you?</w:t>
      </w:r>
    </w:p>
    <w:p>
      <w:pPr>
        <w:spacing w:after="160" w:line="276"/>
      </w:pPr>
      <w:r>
        <w:rPr>
          <w:color w:val="1A1A1A"/>
          <w:sz w:val="21"/>
          <w:szCs w:val="21"/>
        </w:rPr>
        <w:t xml:space="preserve">The foundation provided by this syllabus prepares students for further study in Chemistry, Medicine, Pharmacy, Chemical Engineering and related disciplines, and for a wide range of careers, including:</w:t>
      </w:r>
    </w:p>
    <w:p>
      <w:pPr>
        <w:pStyle w:val="ListParagraph"/>
        <w:numPr>
          <w:ilvl w:val="0"/>
          <w:numId w:val="1"/>
        </w:numPr>
        <w:spacing w:after="80"/>
      </w:pPr>
      <w:r>
        <w:rPr>
          <w:sz w:val="21"/>
          <w:szCs w:val="21"/>
        </w:rPr>
        <w:t xml:space="preserve">Doctor / Pharmacist</w:t>
      </w:r>
    </w:p>
    <w:p>
      <w:pPr>
        <w:pStyle w:val="ListParagraph"/>
        <w:numPr>
          <w:ilvl w:val="0"/>
          <w:numId w:val="1"/>
        </w:numPr>
        <w:spacing w:after="80"/>
      </w:pPr>
      <w:r>
        <w:rPr>
          <w:sz w:val="21"/>
          <w:szCs w:val="21"/>
        </w:rPr>
        <w:t xml:space="preserve">Chemical Engineer</w:t>
      </w:r>
    </w:p>
    <w:p>
      <w:pPr>
        <w:pStyle w:val="ListParagraph"/>
        <w:numPr>
          <w:ilvl w:val="0"/>
          <w:numId w:val="1"/>
        </w:numPr>
        <w:spacing w:after="80"/>
      </w:pPr>
      <w:r>
        <w:rPr>
          <w:sz w:val="21"/>
          <w:szCs w:val="21"/>
        </w:rPr>
        <w:t xml:space="preserve">Biochemist</w:t>
      </w:r>
    </w:p>
    <w:p>
      <w:pPr>
        <w:pStyle w:val="ListParagraph"/>
        <w:numPr>
          <w:ilvl w:val="0"/>
          <w:numId w:val="1"/>
        </w:numPr>
        <w:spacing w:after="80"/>
      </w:pPr>
      <w:r>
        <w:rPr>
          <w:sz w:val="21"/>
          <w:szCs w:val="21"/>
        </w:rPr>
        <w:t xml:space="preserve">Environmental Scientist</w:t>
      </w:r>
    </w:p>
    <w:p>
      <w:pPr>
        <w:pStyle w:val="ListParagraph"/>
        <w:numPr>
          <w:ilvl w:val="0"/>
          <w:numId w:val="1"/>
        </w:numPr>
        <w:spacing w:after="80"/>
      </w:pPr>
      <w:r>
        <w:rPr>
          <w:sz w:val="21"/>
          <w:szCs w:val="21"/>
        </w:rPr>
        <w:t xml:space="preserve">Materials Scientist</w:t>
      </w:r>
    </w:p>
    <w:p>
      <w:pPr>
        <w:pStyle w:val="ListParagraph"/>
        <w:numPr>
          <w:ilvl w:val="0"/>
          <w:numId w:val="1"/>
        </w:numPr>
        <w:spacing w:after="80"/>
      </w:pPr>
      <w:r>
        <w:rPr>
          <w:sz w:val="21"/>
          <w:szCs w:val="21"/>
        </w:rPr>
        <w:t xml:space="preserve">Forensic Analyst</w:t>
      </w:r>
    </w:p>
    <w:p>
      <w:pPr>
        <w:pStyle w:val="ListParagraph"/>
        <w:numPr>
          <w:ilvl w:val="0"/>
          <w:numId w:val="1"/>
        </w:numPr>
        <w:spacing w:after="80"/>
      </w:pPr>
      <w:r>
        <w:rPr>
          <w:sz w:val="21"/>
          <w:szCs w:val="21"/>
        </w:rPr>
        <w:t xml:space="preserve">Quality Control / Quality Assurance Chemist</w:t>
      </w:r>
    </w:p>
    <w:p>
      <w:pPr>
        <w:pStyle w:val="ListParagraph"/>
        <w:numPr>
          <w:ilvl w:val="0"/>
          <w:numId w:val="1"/>
        </w:numPr>
        <w:spacing w:after="80"/>
      </w:pPr>
      <w:r>
        <w:rPr>
          <w:sz w:val="21"/>
          <w:szCs w:val="21"/>
        </w:rPr>
        <w:t xml:space="preserve">Petrochemical or Process Industry Specialist</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Measurement, Stoichiometry and Scientific Reasoning — the quantitative and logical skills that make every other strand of chemistry possible.</w:t>
      </w:r>
    </w:p>
    <w:p>
      <w:pPr>
        <w:pStyle w:val="Heading2"/>
        <w:spacing w:after="120" w:before="240"/>
      </w:pPr>
      <w:r>
        <w:rPr>
          <w:b/>
          <w:bCs/>
          <w:color w:val="2E3A59"/>
          <w:sz w:val="24"/>
          <w:szCs w:val="24"/>
        </w:rPr>
        <w:t xml:space="preserve">Structure of Matter</w:t>
      </w:r>
    </w:p>
    <w:p>
      <w:pPr>
        <w:pStyle w:val="ListParagraph"/>
        <w:numPr>
          <w:ilvl w:val="0"/>
          <w:numId w:val="1"/>
        </w:numPr>
        <w:spacing w:after="80"/>
      </w:pPr>
      <w:r>
        <w:rPr>
          <w:sz w:val="21"/>
          <w:szCs w:val="21"/>
        </w:rPr>
        <w:t xml:space="preserve">Atomic Structure and Quantum Numbers</w:t>
      </w:r>
    </w:p>
    <w:p>
      <w:pPr>
        <w:pStyle w:val="ListParagraph"/>
        <w:numPr>
          <w:ilvl w:val="0"/>
          <w:numId w:val="1"/>
        </w:numPr>
        <w:spacing w:after="80"/>
      </w:pPr>
      <w:r>
        <w:rPr>
          <w:sz w:val="21"/>
          <w:szCs w:val="21"/>
        </w:rPr>
        <w:t xml:space="preserve">Periodic Classification of Elements</w:t>
      </w:r>
    </w:p>
    <w:p>
      <w:pPr>
        <w:pStyle w:val="ListParagraph"/>
        <w:numPr>
          <w:ilvl w:val="0"/>
          <w:numId w:val="1"/>
        </w:numPr>
        <w:spacing w:after="80"/>
      </w:pPr>
      <w:r>
        <w:rPr>
          <w:sz w:val="21"/>
          <w:szCs w:val="21"/>
        </w:rPr>
        <w:t xml:space="preserve">Chemical Bonding and Molecular Shape</w:t>
      </w:r>
    </w:p>
    <w:p>
      <w:pPr>
        <w:pStyle w:val="ListParagraph"/>
        <w:numPr>
          <w:ilvl w:val="0"/>
          <w:numId w:val="1"/>
        </w:numPr>
        <w:spacing w:after="80"/>
      </w:pPr>
      <w:r>
        <w:rPr>
          <w:sz w:val="21"/>
          <w:szCs w:val="21"/>
        </w:rPr>
        <w:t xml:space="preserve">The Mole Concept and Stoichiometry</w:t>
      </w:r>
    </w:p>
    <w:p>
      <w:pPr>
        <w:pStyle w:val="Heading2"/>
        <w:spacing w:after="120" w:before="240"/>
      </w:pPr>
      <w:r>
        <w:rPr>
          <w:b/>
          <w:bCs/>
          <w:color w:val="2E3A59"/>
          <w:sz w:val="24"/>
          <w:szCs w:val="24"/>
        </w:rPr>
        <w:t xml:space="preserve">States and Behaviour of Matter</w:t>
      </w:r>
    </w:p>
    <w:p>
      <w:pPr>
        <w:pStyle w:val="ListParagraph"/>
        <w:numPr>
          <w:ilvl w:val="0"/>
          <w:numId w:val="1"/>
        </w:numPr>
        <w:spacing w:after="80"/>
      </w:pPr>
      <w:r>
        <w:rPr>
          <w:sz w:val="21"/>
          <w:szCs w:val="21"/>
        </w:rPr>
        <w:t xml:space="preserve">Gases and the Gas Laws</w:t>
      </w:r>
    </w:p>
    <w:p>
      <w:pPr>
        <w:pStyle w:val="ListParagraph"/>
        <w:numPr>
          <w:ilvl w:val="0"/>
          <w:numId w:val="1"/>
        </w:numPr>
        <w:spacing w:after="80"/>
      </w:pPr>
      <w:r>
        <w:rPr>
          <w:sz w:val="21"/>
          <w:szCs w:val="21"/>
        </w:rPr>
        <w:t xml:space="preserve">Liquids and Intermolecular Forces</w:t>
      </w:r>
    </w:p>
    <w:p>
      <w:pPr>
        <w:pStyle w:val="ListParagraph"/>
        <w:numPr>
          <w:ilvl w:val="0"/>
          <w:numId w:val="1"/>
        </w:numPr>
        <w:spacing w:after="80"/>
      </w:pPr>
      <w:r>
        <w:rPr>
          <w:sz w:val="21"/>
          <w:szCs w:val="21"/>
        </w:rPr>
        <w:t xml:space="preserve">The Solid State</w:t>
      </w:r>
    </w:p>
    <w:p>
      <w:pPr>
        <w:pStyle w:val="ListParagraph"/>
        <w:numPr>
          <w:ilvl w:val="0"/>
          <w:numId w:val="1"/>
        </w:numPr>
        <w:spacing w:after="80"/>
      </w:pPr>
      <w:r>
        <w:rPr>
          <w:sz w:val="21"/>
          <w:szCs w:val="21"/>
        </w:rPr>
        <w:t xml:space="preserve">Chemical Equilibrium and Acid-Base Behaviour</w:t>
      </w:r>
    </w:p>
    <w:p>
      <w:pPr>
        <w:pStyle w:val="Heading2"/>
        <w:spacing w:after="120" w:before="240"/>
      </w:pPr>
      <w:r>
        <w:rPr>
          <w:b/>
          <w:bCs/>
          <w:color w:val="2E3A59"/>
          <w:sz w:val="24"/>
          <w:szCs w:val="24"/>
        </w:rPr>
        <w:t xml:space="preserve">Chemical Change and Energy</w:t>
      </w:r>
    </w:p>
    <w:p>
      <w:pPr>
        <w:pStyle w:val="ListParagraph"/>
        <w:numPr>
          <w:ilvl w:val="0"/>
          <w:numId w:val="1"/>
        </w:numPr>
        <w:spacing w:after="80"/>
      </w:pPr>
      <w:r>
        <w:rPr>
          <w:sz w:val="21"/>
          <w:szCs w:val="21"/>
        </w:rPr>
        <w:t xml:space="preserve">Chemical Kinetics</w:t>
      </w:r>
    </w:p>
    <w:p>
      <w:pPr>
        <w:pStyle w:val="ListParagraph"/>
        <w:numPr>
          <w:ilvl w:val="0"/>
          <w:numId w:val="1"/>
        </w:numPr>
        <w:spacing w:after="80"/>
      </w:pPr>
      <w:r>
        <w:rPr>
          <w:sz w:val="21"/>
          <w:szCs w:val="21"/>
        </w:rPr>
        <w:t xml:space="preserve">Thermochemistry</w:t>
      </w:r>
    </w:p>
    <w:p>
      <w:pPr>
        <w:pStyle w:val="ListParagraph"/>
        <w:numPr>
          <w:ilvl w:val="0"/>
          <w:numId w:val="1"/>
        </w:numPr>
        <w:spacing w:after="80"/>
      </w:pPr>
      <w:r>
        <w:rPr>
          <w:sz w:val="21"/>
          <w:szCs w:val="21"/>
        </w:rPr>
        <w:t xml:space="preserve">Electrochemistry</w:t>
      </w:r>
    </w:p>
    <w:p>
      <w:pPr>
        <w:pStyle w:val="ListParagraph"/>
        <w:numPr>
          <w:ilvl w:val="0"/>
          <w:numId w:val="1"/>
        </w:numPr>
        <w:spacing w:after="80"/>
      </w:pPr>
      <w:r>
        <w:rPr>
          <w:sz w:val="21"/>
          <w:szCs w:val="21"/>
        </w:rPr>
        <w:t xml:space="preserve">Reaction Mechanisms</w:t>
      </w:r>
    </w:p>
    <w:p>
      <w:pPr>
        <w:pStyle w:val="Heading2"/>
        <w:spacing w:after="120" w:before="240"/>
      </w:pPr>
      <w:r>
        <w:rPr>
          <w:b/>
          <w:bCs/>
          <w:color w:val="2E3A59"/>
          <w:sz w:val="24"/>
          <w:szCs w:val="24"/>
        </w:rPr>
        <w:t xml:space="preserve">Organic and Applied Chemistry</w:t>
      </w:r>
    </w:p>
    <w:p>
      <w:pPr>
        <w:pStyle w:val="ListParagraph"/>
        <w:numPr>
          <w:ilvl w:val="0"/>
          <w:numId w:val="1"/>
        </w:numPr>
        <w:spacing w:after="80"/>
      </w:pPr>
      <w:r>
        <w:rPr>
          <w:sz w:val="21"/>
          <w:szCs w:val="21"/>
        </w:rPr>
        <w:t xml:space="preserve">Functional Groups and Nomenclature</w:t>
      </w:r>
    </w:p>
    <w:p>
      <w:pPr>
        <w:pStyle w:val="ListParagraph"/>
        <w:numPr>
          <w:ilvl w:val="0"/>
          <w:numId w:val="1"/>
        </w:numPr>
        <w:spacing w:after="80"/>
      </w:pPr>
      <w:r>
        <w:rPr>
          <w:sz w:val="21"/>
          <w:szCs w:val="21"/>
        </w:rPr>
        <w:t xml:space="preserve">Hydrocarbons</w:t>
      </w:r>
    </w:p>
    <w:p>
      <w:pPr>
        <w:pStyle w:val="ListParagraph"/>
        <w:numPr>
          <w:ilvl w:val="0"/>
          <w:numId w:val="1"/>
        </w:numPr>
        <w:spacing w:after="80"/>
      </w:pPr>
      <w:r>
        <w:rPr>
          <w:sz w:val="21"/>
          <w:szCs w:val="21"/>
        </w:rPr>
        <w:t xml:space="preserve">Chemistry in Industry and Everyday Life</w:t>
      </w:r>
    </w:p>
    <w:p>
      <w:pPr>
        <w:pStyle w:val="ListParagraph"/>
        <w:numPr>
          <w:ilvl w:val="0"/>
          <w:numId w:val="1"/>
        </w:numPr>
        <w:spacing w:after="80"/>
      </w:pPr>
      <w:r>
        <w:rPr>
          <w:sz w:val="21"/>
          <w:szCs w:val="21"/>
        </w:rPr>
        <w:t xml:space="preserve">Laboratory Investigation and Data Analysis</w:t>
      </w:r>
    </w:p>
    <w:p>
      <w:pPr>
        <w:spacing w:after="160" w:line="276"/>
      </w:pPr>
      <w:r>
        <w:rPr>
          <w:i/>
          <w:iCs/>
          <w:color w:val="1A1A1A"/>
          <w:sz w:val="21"/>
          <w:szCs w:val="21"/>
        </w:rPr>
        <w:t xml:space="preserve">Measurement, Stoichiometry and Scientific Reasoning underpin all four strands: every calculation, every prediction and every laboratory observation in this syllabus is ultimately a tool for reasoning carefully from evidence to a defensible conclusion.</w:t>
      </w:r>
    </w:p>
    <w:p>
      <w:r>
        <w:br w:type="page"/>
      </w:r>
    </w:p>
    <w:p>
      <w:pPr>
        <w:pStyle w:val="Heading1"/>
        <w:pBdr>
          <w:bottom w:val="single" w:color="6E2C3A" w:sz="6" w:space="4"/>
        </w:pBdr>
        <w:spacing w:after="200" w:before="300"/>
      </w:pPr>
      <w:r>
        <w:rPr>
          <w:b/>
          <w:bCs/>
          <w:color w:val="6E2C3A"/>
          <w:sz w:val="30"/>
          <w:szCs w:val="30"/>
        </w:rPr>
        <w:t xml:space="preserve">Student Learning Outcomes of Chemistry</w:t>
      </w:r>
    </w:p>
    <w:p>
      <w:pPr>
        <w:pStyle w:val="Heading2"/>
        <w:spacing w:after="120" w:before="240"/>
      </w:pPr>
      <w:r>
        <w:rPr>
          <w:b/>
          <w:bCs/>
          <w:color w:val="2E3A59"/>
          <w:sz w:val="24"/>
          <w:szCs w:val="24"/>
        </w:rPr>
        <w:t xml:space="preserve">Part I (Grade XI)</w:t>
      </w:r>
    </w:p>
    <w:p>
      <w:pPr>
        <w:spacing w:after="100" w:before="300"/>
      </w:pPr>
      <w:r>
        <w:rPr>
          <w:b/>
          <w:bCs/>
          <w:color w:val="2E3A59"/>
          <w:sz w:val="22"/>
          <w:szCs w:val="22"/>
        </w:rPr>
        <w:t xml:space="preserve">1. Basic Concepts of Chemistry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Matter and Measurement</w:t>
            </w:r>
          </w:p>
        </w:tc>
        <w:tc>
          <w:tcPr>
            <w:tcW w:type="dxa" w:w="5580"/>
            <w:tcMar>
              <w:top w:type="dxa" w:w="60"/>
              <w:left w:type="dxa" w:w="100"/>
              <w:bottom w:type="dxa" w:w="60"/>
              <w:right w:type="dxa" w:w="100"/>
            </w:tcMar>
          </w:tcPr>
          <w:p>
            <w:r>
              <w:rPr>
                <w:sz w:val="18"/>
                <w:szCs w:val="18"/>
              </w:rPr>
              <w:t xml:space="preserve">describe the major branches of chemistry and give examples of their application in everyday life;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a physical change and a chemical change in matter;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express the result of an experimental measurement to an appropriate number of significant figures;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1.2 The Mole Concept and Stoichiometry</w:t>
            </w:r>
          </w:p>
        </w:tc>
        <w:tc>
          <w:tcPr>
            <w:tcW w:type="dxa" w:w="5580"/>
            <w:tcMar>
              <w:top w:type="dxa" w:w="60"/>
              <w:left w:type="dxa" w:w="100"/>
              <w:bottom w:type="dxa" w:w="60"/>
              <w:right w:type="dxa" w:w="100"/>
            </w:tcMar>
          </w:tcPr>
          <w:p>
            <w:r>
              <w:rPr>
                <w:sz w:val="18"/>
                <w:szCs w:val="18"/>
              </w:rPr>
              <w:t xml:space="preserve">define the mole and state the value of the Avogadro constant;</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molar mass, number of moles or number of particles present in a given sample;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determine the empirical and molecular formula of a compound from experimental composition data;</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solve stoichiometric problems involving a limiting reagent and percentage yield;</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Atomic Structure</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Development of Atomic Models</w:t>
            </w:r>
          </w:p>
        </w:tc>
        <w:tc>
          <w:tcPr>
            <w:tcW w:type="dxa" w:w="5580"/>
            <w:tcMar>
              <w:top w:type="dxa" w:w="60"/>
              <w:left w:type="dxa" w:w="100"/>
              <w:bottom w:type="dxa" w:w="60"/>
              <w:right w:type="dxa" w:w="100"/>
            </w:tcMar>
          </w:tcPr>
          <w:p>
            <w:r>
              <w:rPr>
                <w:sz w:val="18"/>
                <w:szCs w:val="18"/>
              </w:rPr>
              <w:t xml:space="preserve">outline the historical development of atomic models, from Dalton's theory to the quantum mechanical model;</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significance of atomic emission spectra to the development of atomic theory;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2.2 Quantum Numbers and Electronic Configuration</w:t>
            </w:r>
          </w:p>
        </w:tc>
        <w:tc>
          <w:tcPr>
            <w:tcW w:type="dxa" w:w="5580"/>
            <w:tcMar>
              <w:top w:type="dxa" w:w="60"/>
              <w:left w:type="dxa" w:w="100"/>
              <w:bottom w:type="dxa" w:w="60"/>
              <w:right w:type="dxa" w:w="100"/>
            </w:tcMar>
          </w:tcPr>
          <w:p>
            <w:r>
              <w:rPr>
                <w:sz w:val="18"/>
                <w:szCs w:val="18"/>
              </w:rPr>
              <w:t xml:space="preserve">describe the four quantum numbers and the information each provides about an electron in an atom;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the electronic configuration of a given atom or ion using the Aufbau principle, the Pauli exclusion principle and Hund's rule;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electronic configuration of an element to its position in the periodic table;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3. Gases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The Gas Laws</w:t>
            </w:r>
          </w:p>
        </w:tc>
        <w:tc>
          <w:tcPr>
            <w:tcW w:type="dxa" w:w="5580"/>
            <w:tcMar>
              <w:top w:type="dxa" w:w="60"/>
              <w:left w:type="dxa" w:w="100"/>
              <w:bottom w:type="dxa" w:w="60"/>
              <w:right w:type="dxa" w:w="100"/>
            </w:tcMar>
          </w:tcPr>
          <w:p>
            <w:r>
              <w:rPr>
                <w:sz w:val="18"/>
                <w:szCs w:val="18"/>
              </w:rPr>
              <w:t xml:space="preserve">state Boyle's law, Charles's law and Avogadro's law;</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general gas equation to solve problems involving the pressure, volume, temperature and amount of a gas;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assumptions of the kinetic molecular theory of gases;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3.2 Real Gases</w:t>
            </w:r>
          </w:p>
        </w:tc>
        <w:tc>
          <w:tcPr>
            <w:tcW w:type="dxa" w:w="5580"/>
            <w:tcMar>
              <w:top w:type="dxa" w:w="60"/>
              <w:left w:type="dxa" w:w="100"/>
              <w:bottom w:type="dxa" w:w="60"/>
              <w:right w:type="dxa" w:w="100"/>
            </w:tcMar>
          </w:tcPr>
          <w:p>
            <w:r>
              <w:rPr>
                <w:sz w:val="18"/>
                <w:szCs w:val="18"/>
              </w:rPr>
              <w:t xml:space="preserve">distinguish between the behaviour of an ideal gas and a real gas;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conditions of temperature and pressure under which a real gas deviates most from ideal behaviour;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4. Liquids and Solids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Intermolecular Forces and Liquids</w:t>
            </w:r>
          </w:p>
        </w:tc>
        <w:tc>
          <w:tcPr>
            <w:tcW w:type="dxa" w:w="5580"/>
            <w:tcMar>
              <w:top w:type="dxa" w:w="60"/>
              <w:left w:type="dxa" w:w="100"/>
              <w:bottom w:type="dxa" w:w="60"/>
              <w:right w:type="dxa" w:w="100"/>
            </w:tcMar>
          </w:tcPr>
          <w:p>
            <w:r>
              <w:rPr>
                <w:sz w:val="18"/>
                <w:szCs w:val="18"/>
              </w:rPr>
              <w:t xml:space="preserve">describe the types of intermolecular forces present in a liquid;</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physical properties of a liquid, e.g. boiling point, viscosity and surface tension, to the strength of its intermolecular forces;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4.2 The Solid State</w:t>
            </w:r>
          </w:p>
        </w:tc>
        <w:tc>
          <w:tcPr>
            <w:tcW w:type="dxa" w:w="5580"/>
            <w:tcMar>
              <w:top w:type="dxa" w:w="60"/>
              <w:left w:type="dxa" w:w="100"/>
              <w:bottom w:type="dxa" w:w="60"/>
              <w:right w:type="dxa" w:w="100"/>
            </w:tcMar>
          </w:tcPr>
          <w:p>
            <w:r>
              <w:rPr>
                <w:sz w:val="18"/>
                <w:szCs w:val="18"/>
              </w:rPr>
              <w:t xml:space="preserve">distinguish between crystalline and amorphous solids;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classify a solid according to the type of particle and bonding it contains, i.e. ionic, covalent, molecular or metallic;</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physical properties of a solid to its underlying structure and bonding;</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Chemical Equilibrium</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The Equilibrium State</w:t>
            </w:r>
          </w:p>
        </w:tc>
        <w:tc>
          <w:tcPr>
            <w:tcW w:type="dxa" w:w="5580"/>
            <w:tcMar>
              <w:top w:type="dxa" w:w="60"/>
              <w:left w:type="dxa" w:w="100"/>
              <w:bottom w:type="dxa" w:w="60"/>
              <w:right w:type="dxa" w:w="100"/>
            </w:tcMar>
          </w:tcPr>
          <w:p>
            <w:r>
              <w:rPr>
                <w:sz w:val="18"/>
                <w:szCs w:val="18"/>
              </w:rPr>
              <w:t xml:space="preserve">describe the characteristics of a chemical system at dynamic equilibrium;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the equilibrium constant expression for a given reversible reaction;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Le Chatelier's principle to predict the effect of a change in concentration, pressure or temperature on a system at equilibrium;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5.2 Acid-Base Equilibria</w:t>
            </w:r>
          </w:p>
        </w:tc>
        <w:tc>
          <w:tcPr>
            <w:tcW w:type="dxa" w:w="5580"/>
            <w:tcMar>
              <w:top w:type="dxa" w:w="60"/>
              <w:left w:type="dxa" w:w="100"/>
              <w:bottom w:type="dxa" w:w="60"/>
              <w:right w:type="dxa" w:w="100"/>
            </w:tcMar>
          </w:tcPr>
          <w:p>
            <w:r>
              <w:rPr>
                <w:sz w:val="18"/>
                <w:szCs w:val="18"/>
              </w:rPr>
              <w:t xml:space="preserve">describe the Bronsted-Lowry theory of acids and bases;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pH of a solution from its hydrogen ion concentration;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2"/>
        <w:spacing w:after="120" w:before="240"/>
      </w:pPr>
      <w:r>
        <w:rPr>
          <w:b/>
          <w:bCs/>
          <w:color w:val="2E3A59"/>
          <w:sz w:val="24"/>
          <w:szCs w:val="24"/>
        </w:rPr>
        <w:t xml:space="preserve">Part II (Grade XII)</w:t>
      </w:r>
    </w:p>
    <w:p>
      <w:pPr>
        <w:spacing w:after="100" w:before="300"/>
      </w:pPr>
      <w:r>
        <w:rPr>
          <w:b/>
          <w:bCs/>
          <w:color w:val="2E3A59"/>
          <w:sz w:val="22"/>
          <w:szCs w:val="22"/>
        </w:rPr>
        <w:t xml:space="preserve">6. Chemical Kinetics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6.1 Rate of Reaction</w:t>
            </w:r>
          </w:p>
        </w:tc>
        <w:tc>
          <w:tcPr>
            <w:tcW w:type="dxa" w:w="5580"/>
            <w:tcMar>
              <w:top w:type="dxa" w:w="60"/>
              <w:left w:type="dxa" w:w="100"/>
              <w:bottom w:type="dxa" w:w="60"/>
              <w:right w:type="dxa" w:w="100"/>
            </w:tcMar>
          </w:tcPr>
          <w:p>
            <w:r>
              <w:rPr>
                <w:sz w:val="18"/>
                <w:szCs w:val="18"/>
              </w:rPr>
              <w:t xml:space="preserve">define the rate of a chemical reaction;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factors that affect the rate of a chemical reaction;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a rate law and determine the order of a reaction from experimental data;</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6.2 Reaction Mechanisms</w:t>
            </w:r>
          </w:p>
        </w:tc>
        <w:tc>
          <w:tcPr>
            <w:tcW w:type="dxa" w:w="5580"/>
            <w:tcMar>
              <w:top w:type="dxa" w:w="60"/>
              <w:left w:type="dxa" w:w="100"/>
              <w:bottom w:type="dxa" w:w="60"/>
              <w:right w:type="dxa" w:w="100"/>
            </w:tcMar>
          </w:tcPr>
          <w:p>
            <w:r>
              <w:rPr>
                <w:sz w:val="18"/>
                <w:szCs w:val="18"/>
              </w:rPr>
              <w:t xml:space="preserve">explain the concept of activation energy and the role of a catalyst with reference to a reaction-energy profile;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a proposed reaction mechanism to an experimentally determined rate law;</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7. Thermochemistry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7.1 Energy Changes in Reactions</w:t>
            </w:r>
          </w:p>
        </w:tc>
        <w:tc>
          <w:tcPr>
            <w:tcW w:type="dxa" w:w="5580"/>
            <w:tcMar>
              <w:top w:type="dxa" w:w="60"/>
              <w:left w:type="dxa" w:w="100"/>
              <w:bottom w:type="dxa" w:w="60"/>
              <w:right w:type="dxa" w:w="100"/>
            </w:tcMar>
          </w:tcPr>
          <w:p>
            <w:r>
              <w:rPr>
                <w:sz w:val="18"/>
                <w:szCs w:val="18"/>
              </w:rPr>
              <w:t xml:space="preserve">distinguish between an exothermic and an endothermic reaction;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define enthalpy change and the standard enthalpy of a reaction;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enthalpy change of a reaction by applying Hess's law;</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7.2 Applications of Thermochemistry</w:t>
            </w:r>
          </w:p>
        </w:tc>
        <w:tc>
          <w:tcPr>
            <w:tcW w:type="dxa" w:w="5580"/>
            <w:tcMar>
              <w:top w:type="dxa" w:w="60"/>
              <w:left w:type="dxa" w:w="100"/>
              <w:bottom w:type="dxa" w:w="60"/>
              <w:right w:type="dxa" w:w="100"/>
            </w:tcMar>
          </w:tcPr>
          <w:p>
            <w:r>
              <w:rPr>
                <w:sz w:val="18"/>
                <w:szCs w:val="18"/>
              </w:rPr>
              <w:t xml:space="preserve">calculate the enthalpy change of a reaction from given bond energies;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8. Electrochemistry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8.1 Oxidation and Reduction</w:t>
            </w:r>
          </w:p>
        </w:tc>
        <w:tc>
          <w:tcPr>
            <w:tcW w:type="dxa" w:w="5580"/>
            <w:tcMar>
              <w:top w:type="dxa" w:w="60"/>
              <w:left w:type="dxa" w:w="100"/>
              <w:bottom w:type="dxa" w:w="60"/>
              <w:right w:type="dxa" w:w="100"/>
            </w:tcMar>
          </w:tcPr>
          <w:p>
            <w:r>
              <w:rPr>
                <w:sz w:val="18"/>
                <w:szCs w:val="18"/>
              </w:rPr>
              <w:t xml:space="preserve">assign oxidation states to the atoms in a given compound or 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balance a redox equation using the ion-electron (half-reaction) method;</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8.2 Electrochemical Cells</w:t>
            </w:r>
          </w:p>
        </w:tc>
        <w:tc>
          <w:tcPr>
            <w:tcW w:type="dxa" w:w="5580"/>
            <w:tcMar>
              <w:top w:type="dxa" w:w="60"/>
              <w:left w:type="dxa" w:w="100"/>
              <w:bottom w:type="dxa" w:w="60"/>
              <w:right w:type="dxa" w:w="100"/>
            </w:tcMar>
          </w:tcPr>
          <w:p>
            <w:r>
              <w:rPr>
                <w:sz w:val="18"/>
                <w:szCs w:val="18"/>
              </w:rPr>
              <w:t xml:space="preserve">describe the construction and operation of a galvanic (voltaic) cell;</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standard cell potential of a galvanic cell from standard electrode potentials;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a galvanic cell and an electrolytic cell;</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9. Periodic Classification and Chemical Bonding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9.1 Periodicity of Properties</w:t>
            </w:r>
          </w:p>
        </w:tc>
        <w:tc>
          <w:tcPr>
            <w:tcW w:type="dxa" w:w="5580"/>
            <w:tcMar>
              <w:top w:type="dxa" w:w="60"/>
              <w:left w:type="dxa" w:w="100"/>
              <w:bottom w:type="dxa" w:w="60"/>
              <w:right w:type="dxa" w:w="100"/>
            </w:tcMar>
          </w:tcPr>
          <w:p>
            <w:r>
              <w:rPr>
                <w:sz w:val="18"/>
                <w:szCs w:val="18"/>
              </w:rPr>
              <w:t xml:space="preserve">describe the general trends in atomic radius, ionisation energy and electronegativity across a period and down a group;</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periodic trends in terms of nuclear charge and electron shielding;</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9.2 Chemical Bonding</w:t>
            </w:r>
          </w:p>
        </w:tc>
        <w:tc>
          <w:tcPr>
            <w:tcW w:type="dxa" w:w="5580"/>
            <w:tcMar>
              <w:top w:type="dxa" w:w="60"/>
              <w:left w:type="dxa" w:w="100"/>
              <w:bottom w:type="dxa" w:w="60"/>
              <w:right w:type="dxa" w:w="100"/>
            </w:tcMar>
          </w:tcPr>
          <w:p>
            <w:r>
              <w:rPr>
                <w:sz w:val="18"/>
                <w:szCs w:val="18"/>
              </w:rPr>
              <w:t xml:space="preserve">describe ionic, covalent and coordinate covalent bonding with reference to the transfer or sharing of electrons;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use the valence-shell electron-pair repulsion (VSEPR) theory to predict the shape of a simple molecule or 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polarity of a molecule to its shape and to the electronegativity of its constituent atoms;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10. Introduction to Organic Chemistry and Hydrocarbons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10.1 Fundamentals of Organic Chemistry</w:t>
            </w:r>
          </w:p>
        </w:tc>
        <w:tc>
          <w:tcPr>
            <w:tcW w:type="dxa" w:w="5580"/>
            <w:tcMar>
              <w:top w:type="dxa" w:w="60"/>
              <w:left w:type="dxa" w:w="100"/>
              <w:bottom w:type="dxa" w:w="60"/>
              <w:right w:type="dxa" w:w="100"/>
            </w:tcMar>
          </w:tcPr>
          <w:p>
            <w:r>
              <w:rPr>
                <w:sz w:val="18"/>
                <w:szCs w:val="18"/>
              </w:rPr>
              <w:t xml:space="preserve">describe the tetravalency of carbon and its significance for the diversity of organic compounds;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classify an organic compound according to its functional group;</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name a simple organic compound using IUPAC nomenclature;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10.2 Hydrocarbons</w:t>
            </w:r>
          </w:p>
        </w:tc>
        <w:tc>
          <w:tcPr>
            <w:tcW w:type="dxa" w:w="5580"/>
            <w:tcMar>
              <w:top w:type="dxa" w:w="60"/>
              <w:left w:type="dxa" w:w="100"/>
              <w:bottom w:type="dxa" w:w="60"/>
              <w:right w:type="dxa" w:w="100"/>
            </w:tcMar>
          </w:tcPr>
          <w:p>
            <w:r>
              <w:rPr>
                <w:sz w:val="18"/>
                <w:szCs w:val="18"/>
              </w:rPr>
              <w:t xml:space="preserve">distinguish between saturated and unsaturated hydrocarbons;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a characteristic chemical reaction of an alkane, an alkene and an alkyne;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properties of hydrocarbons to their use as fuels and as industrial feedstocks;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Each grade of Chemistry is examined through a Theory paper and a Practical (laboratory) examination, whose marks combine to the 100 marks recorded for the subject on the BISE Larkano Marks Certificate. The Theory paper carries 85 marks and the Practical examination carries 15 marks, matching the maximum marks shown against ‘Chemistry (TH)’ and ‘Chemistry (PR)’ for each year on the certificate.</w:t>
      </w:r>
    </w:p>
    <w:p>
      <w:pPr>
        <w:pStyle w:val="Heading2"/>
        <w:spacing w:after="120" w:before="240"/>
      </w:pPr>
      <w:r>
        <w:rPr>
          <w:b/>
          <w:bCs/>
          <w:color w:val="2E3A59"/>
          <w:sz w:val="24"/>
          <w:szCs w:val="24"/>
        </w:rPr>
        <w:t xml:space="preserve">Grade XI</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Basic Concepts of Chemistry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7</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Atomic Structure</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Gases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Liquids and Solids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Chemical Equilibrium</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9</w:t>
            </w:r>
          </w:p>
        </w:tc>
        <w:tc>
          <w:tcPr>
            <w:tcW w:type="dxa" w:w="900"/>
            <w:tcMar>
              <w:top w:type="dxa" w:w="70"/>
              <w:left w:type="dxa" w:w="100"/>
              <w:bottom w:type="dxa" w:w="70"/>
              <w:right w:type="dxa" w:w="100"/>
            </w:tcMar>
            <w:vAlign w:val="center"/>
          </w:tcPr>
          <w:p>
            <w:pPr>
              <w:jc w:val="center"/>
            </w:pPr>
            <w:r>
              <w:rPr>
                <w:sz w:val="18"/>
                <w:szCs w:val="18"/>
              </w:rPr>
              <w:t xml:space="preserve">8</w:t>
            </w:r>
          </w:p>
        </w:tc>
        <w:tc>
          <w:tcPr>
            <w:tcW w:type="dxa" w:w="900"/>
            <w:tcMar>
              <w:top w:type="dxa" w:w="70"/>
              <w:left w:type="dxa" w:w="100"/>
              <w:bottom w:type="dxa" w:w="70"/>
              <w:right w:type="dxa" w:w="100"/>
            </w:tcMar>
            <w:vAlign w:val="center"/>
          </w:tcPr>
          <w:p>
            <w:pPr>
              <w:jc w:val="center"/>
            </w:pPr>
            <w:r>
              <w:rPr>
                <w:sz w:val="18"/>
                <w:szCs w:val="18"/>
              </w:rPr>
              <w:t xml:space="preserve">10</w:t>
            </w:r>
          </w:p>
        </w:tc>
        <w:tc>
          <w:tcPr>
            <w:tcW w:type="dxa" w:w="1160"/>
            <w:tcMar>
              <w:top w:type="dxa" w:w="70"/>
              <w:left w:type="dxa" w:w="100"/>
              <w:bottom w:type="dxa" w:w="70"/>
              <w:right w:type="dxa" w:w="100"/>
            </w:tcMar>
            <w:vAlign w:val="center"/>
          </w:tcPr>
          <w:p>
            <w:pPr>
              <w:jc w:val="center"/>
            </w:pPr>
            <w:r>
              <w:rPr>
                <w:sz w:val="18"/>
                <w:szCs w:val="18"/>
              </w:rPr>
              <w:t xml:space="preserve">27</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33%</w:t>
            </w:r>
          </w:p>
        </w:tc>
        <w:tc>
          <w:tcPr>
            <w:tcW w:type="dxa" w:w="900"/>
            <w:tcMar>
              <w:top w:type="dxa" w:w="70"/>
              <w:left w:type="dxa" w:w="100"/>
              <w:bottom w:type="dxa" w:w="70"/>
              <w:right w:type="dxa" w:w="100"/>
            </w:tcMar>
            <w:vAlign w:val="center"/>
          </w:tcPr>
          <w:p>
            <w:pPr>
              <w:jc w:val="center"/>
            </w:pPr>
            <w:r>
              <w:rPr>
                <w:sz w:val="18"/>
                <w:szCs w:val="18"/>
              </w:rPr>
              <w:t xml:space="preserve">30%</w:t>
            </w:r>
          </w:p>
        </w:tc>
        <w:tc>
          <w:tcPr>
            <w:tcW w:type="dxa" w:w="900"/>
            <w:tcMar>
              <w:top w:type="dxa" w:w="70"/>
              <w:left w:type="dxa" w:w="100"/>
              <w:bottom w:type="dxa" w:w="70"/>
              <w:right w:type="dxa" w:w="100"/>
            </w:tcMar>
            <w:vAlign w:val="center"/>
          </w:tcPr>
          <w:p>
            <w:pPr>
              <w:jc w:val="center"/>
            </w:pPr>
            <w:r>
              <w:rPr>
                <w:sz w:val="18"/>
                <w:szCs w:val="18"/>
              </w:rPr>
              <w:t xml:space="preserve">37%</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Theory Exam Specification — Grade XI — Chemistry (TH)-I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Basic Concepts of Chemistry</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Atomic Structure</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Gases</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Liquids and Solids</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Chemical Equilibrium</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13 (1 CRQ)</w:t>
            </w:r>
          </w:p>
        </w:tc>
        <w:tc>
          <w:tcPr>
            <w:tcW w:type="dxa" w:w="1860"/>
            <w:tcMar>
              <w:top w:type="dxa" w:w="70"/>
              <w:left w:type="dxa" w:w="100"/>
              <w:bottom w:type="dxa" w:w="70"/>
              <w:right w:type="dxa" w:w="100"/>
            </w:tcMar>
            <w:vAlign w:val="center"/>
          </w:tcPr>
          <w:p>
            <w:pPr>
              <w:jc w:val="center"/>
            </w:pPr>
            <w:r>
              <w:rPr>
                <w:sz w:val="18"/>
                <w:szCs w:val="18"/>
              </w:rPr>
              <w:t xml:space="preserve">21</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 — Grade XI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Chemistry (TH)-I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Chemistry (PR)-I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r>
        <w:br w:type="page"/>
      </w:r>
    </w:p>
    <w:p>
      <w:pPr>
        <w:pStyle w:val="Heading2"/>
        <w:spacing w:after="120" w:before="240"/>
      </w:pPr>
      <w:r>
        <w:rPr>
          <w:b/>
          <w:bCs/>
          <w:color w:val="2E3A59"/>
          <w:sz w:val="24"/>
          <w:szCs w:val="24"/>
        </w:rPr>
        <w:t xml:space="preserve">Grade XII</w:t>
      </w:r>
    </w:p>
    <w:p>
      <w:pPr>
        <w:spacing w:after="160" w:line="276"/>
      </w:pPr>
      <w:r>
        <w:rPr>
          <w:b/>
          <w:bCs/>
          <w:color w:val="1A1A1A"/>
          <w:sz w:val="21"/>
          <w:szCs w:val="21"/>
        </w:rPr>
        <w:t xml:space="preserve">Table 3: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200"/>
            <w:tcMar>
              <w:top w:type="dxa" w:w="70"/>
              <w:left w:type="dxa" w:w="100"/>
              <w:bottom w:type="dxa" w:w="70"/>
              <w:right w:type="dxa" w:w="100"/>
            </w:tcMar>
            <w:vAlign w:val="center"/>
          </w:tcPr>
          <w:p>
            <w:pPr>
              <w:jc w:val="center"/>
            </w:pPr>
            <w:r>
              <w:rPr>
                <w:sz w:val="18"/>
                <w:szCs w:val="18"/>
              </w:rPr>
              <w:t xml:space="preserve">Chemical Kinetics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200"/>
            <w:tcMar>
              <w:top w:type="dxa" w:w="70"/>
              <w:left w:type="dxa" w:w="100"/>
              <w:bottom w:type="dxa" w:w="70"/>
              <w:right w:type="dxa" w:w="100"/>
            </w:tcMar>
            <w:vAlign w:val="center"/>
          </w:tcPr>
          <w:p>
            <w:pPr>
              <w:jc w:val="center"/>
            </w:pPr>
            <w:r>
              <w:rPr>
                <w:sz w:val="18"/>
                <w:szCs w:val="18"/>
              </w:rPr>
              <w:t xml:space="preserve">Thermochemistry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200"/>
            <w:tcMar>
              <w:top w:type="dxa" w:w="70"/>
              <w:left w:type="dxa" w:w="100"/>
              <w:bottom w:type="dxa" w:w="70"/>
              <w:right w:type="dxa" w:w="100"/>
            </w:tcMar>
            <w:vAlign w:val="center"/>
          </w:tcPr>
          <w:p>
            <w:pPr>
              <w:jc w:val="center"/>
            </w:pPr>
            <w:r>
              <w:rPr>
                <w:sz w:val="18"/>
                <w:szCs w:val="18"/>
              </w:rPr>
              <w:t xml:space="preserve">Electrochemistry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200"/>
            <w:tcMar>
              <w:top w:type="dxa" w:w="70"/>
              <w:left w:type="dxa" w:w="100"/>
              <w:bottom w:type="dxa" w:w="70"/>
              <w:right w:type="dxa" w:w="100"/>
            </w:tcMar>
            <w:vAlign w:val="center"/>
          </w:tcPr>
          <w:p>
            <w:pPr>
              <w:jc w:val="center"/>
            </w:pPr>
            <w:r>
              <w:rPr>
                <w:sz w:val="18"/>
                <w:szCs w:val="18"/>
              </w:rPr>
              <w:t xml:space="preserve">Periodic Classification and Chemical Bonding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200"/>
            <w:tcMar>
              <w:top w:type="dxa" w:w="70"/>
              <w:left w:type="dxa" w:w="100"/>
              <w:bottom w:type="dxa" w:w="70"/>
              <w:right w:type="dxa" w:w="100"/>
            </w:tcMar>
            <w:vAlign w:val="center"/>
          </w:tcPr>
          <w:p>
            <w:pPr>
              <w:jc w:val="center"/>
            </w:pPr>
            <w:r>
              <w:rPr>
                <w:sz w:val="18"/>
                <w:szCs w:val="18"/>
              </w:rPr>
              <w:t xml:space="preserve">Introduction to Organic Chemistry and Hydrocarbons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5</w:t>
            </w:r>
          </w:p>
        </w:tc>
        <w:tc>
          <w:tcPr>
            <w:tcW w:type="dxa" w:w="900"/>
            <w:tcMar>
              <w:top w:type="dxa" w:w="70"/>
              <w:left w:type="dxa" w:w="100"/>
              <w:bottom w:type="dxa" w:w="70"/>
              <w:right w:type="dxa" w:w="100"/>
            </w:tcMar>
            <w:vAlign w:val="center"/>
          </w:tcPr>
          <w:p>
            <w:pPr>
              <w:jc w:val="center"/>
            </w:pPr>
            <w:r>
              <w:rPr>
                <w:sz w:val="18"/>
                <w:szCs w:val="18"/>
              </w:rPr>
              <w:t xml:space="preserve">7</w:t>
            </w:r>
          </w:p>
        </w:tc>
        <w:tc>
          <w:tcPr>
            <w:tcW w:type="dxa" w:w="900"/>
            <w:tcMar>
              <w:top w:type="dxa" w:w="70"/>
              <w:left w:type="dxa" w:w="100"/>
              <w:bottom w:type="dxa" w:w="70"/>
              <w:right w:type="dxa" w:w="100"/>
            </w:tcMar>
            <w:vAlign w:val="center"/>
          </w:tcPr>
          <w:p>
            <w:pPr>
              <w:jc w:val="center"/>
            </w:pPr>
            <w:r>
              <w:rPr>
                <w:sz w:val="18"/>
                <w:szCs w:val="18"/>
              </w:rPr>
              <w:t xml:space="preserve">13</w:t>
            </w:r>
          </w:p>
        </w:tc>
        <w:tc>
          <w:tcPr>
            <w:tcW w:type="dxa" w:w="11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20%</w:t>
            </w:r>
          </w:p>
        </w:tc>
        <w:tc>
          <w:tcPr>
            <w:tcW w:type="dxa" w:w="900"/>
            <w:tcMar>
              <w:top w:type="dxa" w:w="70"/>
              <w:left w:type="dxa" w:w="100"/>
              <w:bottom w:type="dxa" w:w="70"/>
              <w:right w:type="dxa" w:w="100"/>
            </w:tcMar>
            <w:vAlign w:val="center"/>
          </w:tcPr>
          <w:p>
            <w:pPr>
              <w:jc w:val="center"/>
            </w:pPr>
            <w:r>
              <w:rPr>
                <w:sz w:val="18"/>
                <w:szCs w:val="18"/>
              </w:rPr>
              <w:t xml:space="preserve">28%</w:t>
            </w:r>
          </w:p>
        </w:tc>
        <w:tc>
          <w:tcPr>
            <w:tcW w:type="dxa" w:w="900"/>
            <w:tcMar>
              <w:top w:type="dxa" w:w="70"/>
              <w:left w:type="dxa" w:w="100"/>
              <w:bottom w:type="dxa" w:w="70"/>
              <w:right w:type="dxa" w:w="100"/>
            </w:tcMar>
            <w:vAlign w:val="center"/>
          </w:tcPr>
          <w:p>
            <w:pPr>
              <w:jc w:val="center"/>
            </w:pPr>
            <w:r>
              <w:rPr>
                <w:sz w:val="18"/>
                <w:szCs w:val="18"/>
              </w:rPr>
              <w:t xml:space="preserve">52%</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4: Theory Exam Specification — Grade XII — Chemistry (TH)-II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800"/>
            <w:tcMar>
              <w:top w:type="dxa" w:w="70"/>
              <w:left w:type="dxa" w:w="100"/>
              <w:bottom w:type="dxa" w:w="70"/>
              <w:right w:type="dxa" w:w="100"/>
            </w:tcMar>
            <w:vAlign w:val="center"/>
          </w:tcPr>
          <w:p>
            <w:pPr>
              <w:jc w:val="center"/>
            </w:pPr>
            <w:r>
              <w:rPr>
                <w:sz w:val="18"/>
                <w:szCs w:val="18"/>
              </w:rPr>
              <w:t xml:space="preserve">Chemical Kinetics</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800"/>
            <w:tcMar>
              <w:top w:type="dxa" w:w="70"/>
              <w:left w:type="dxa" w:w="100"/>
              <w:bottom w:type="dxa" w:w="70"/>
              <w:right w:type="dxa" w:w="100"/>
            </w:tcMar>
            <w:vAlign w:val="center"/>
          </w:tcPr>
          <w:p>
            <w:pPr>
              <w:jc w:val="center"/>
            </w:pPr>
            <w:r>
              <w:rPr>
                <w:sz w:val="18"/>
                <w:szCs w:val="18"/>
              </w:rPr>
              <w:t xml:space="preserve">Thermochemistry</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9 (1 CRQ)</w:t>
            </w:r>
          </w:p>
        </w:tc>
        <w:tc>
          <w:tcPr>
            <w:tcW w:type="dxa" w:w="1860"/>
            <w:tcMar>
              <w:top w:type="dxa" w:w="70"/>
              <w:left w:type="dxa" w:w="100"/>
              <w:bottom w:type="dxa" w:w="70"/>
              <w:right w:type="dxa" w:w="100"/>
            </w:tcMar>
            <w:vAlign w:val="center"/>
          </w:tcPr>
          <w:p>
            <w:pPr>
              <w:jc w:val="center"/>
            </w:pPr>
            <w:r>
              <w:rPr>
                <w:sz w:val="18"/>
                <w:szCs w:val="18"/>
              </w:rPr>
              <w:t xml:space="preserve">14</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800"/>
            <w:tcMar>
              <w:top w:type="dxa" w:w="70"/>
              <w:left w:type="dxa" w:w="100"/>
              <w:bottom w:type="dxa" w:w="70"/>
              <w:right w:type="dxa" w:w="100"/>
            </w:tcMar>
            <w:vAlign w:val="center"/>
          </w:tcPr>
          <w:p>
            <w:pPr>
              <w:jc w:val="center"/>
            </w:pPr>
            <w:r>
              <w:rPr>
                <w:sz w:val="18"/>
                <w:szCs w:val="18"/>
              </w:rPr>
              <w:t xml:space="preserve">Electrochemistry</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800"/>
            <w:tcMar>
              <w:top w:type="dxa" w:w="70"/>
              <w:left w:type="dxa" w:w="100"/>
              <w:bottom w:type="dxa" w:w="70"/>
              <w:right w:type="dxa" w:w="100"/>
            </w:tcMar>
            <w:vAlign w:val="center"/>
          </w:tcPr>
          <w:p>
            <w:pPr>
              <w:jc w:val="center"/>
            </w:pPr>
            <w:r>
              <w:rPr>
                <w:sz w:val="18"/>
                <w:szCs w:val="18"/>
              </w:rPr>
              <w:t xml:space="preserve">Periodic Classification and Chemical Bonding</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13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800"/>
            <w:tcMar>
              <w:top w:type="dxa" w:w="70"/>
              <w:left w:type="dxa" w:w="100"/>
              <w:bottom w:type="dxa" w:w="70"/>
              <w:right w:type="dxa" w:w="100"/>
            </w:tcMar>
            <w:vAlign w:val="center"/>
          </w:tcPr>
          <w:p>
            <w:pPr>
              <w:jc w:val="center"/>
            </w:pPr>
            <w:r>
              <w:rPr>
                <w:sz w:val="18"/>
                <w:szCs w:val="18"/>
              </w:rPr>
              <w:t xml:space="preserve">Introduction to Organic Chemistry and Hydrocarbons</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19</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4A: Overall Marks Distribution — Grade XII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Chemistry (TH)-II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Chemistry (PR)-II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A Multiple Choice Question (MCQ) requires candidates to choose one best/correct answer from four options. Each MCQ carries ONE mark.</w:t>
      </w:r>
    </w:p>
    <w:p>
      <w:pPr>
        <w:pStyle w:val="ListParagraph"/>
        <w:numPr>
          <w:ilvl w:val="0"/>
          <w:numId w:val="1"/>
        </w:numPr>
        <w:spacing w:after="80"/>
      </w:pPr>
      <w:r>
        <w:rPr>
          <w:sz w:val="21"/>
          <w:szCs w:val="21"/>
        </w:rPr>
        <w:t xml:space="preserve">A Constructed Response Question (CRQ) requires students to respond with a structured explanation, a worked calculation, a labelled diagram, or a chemical equation, as appropriate to the SLO being assessed.</w:t>
      </w:r>
    </w:p>
    <w:p>
      <w:pPr>
        <w:pStyle w:val="ListParagraph"/>
        <w:numPr>
          <w:ilvl w:val="0"/>
          <w:numId w:val="1"/>
        </w:numPr>
        <w:spacing w:after="80"/>
      </w:pPr>
      <w:r>
        <w:rPr>
          <w:sz w:val="21"/>
          <w:szCs w:val="21"/>
        </w:rPr>
        <w:t xml:space="preserve">There will be two Theory examinations, one at the end of Grade XI (Chemistry (TH)-I) and one at the end of Grade XII (Chemistry (TH)-II). Each Theory paper carries 85 marks, is of 3 hours' duration, and consists of Paper I (MCQs) and Paper II (CRQs).</w:t>
      </w:r>
    </w:p>
    <w:p>
      <w:pPr>
        <w:pStyle w:val="ListParagraph"/>
        <w:numPr>
          <w:ilvl w:val="0"/>
          <w:numId w:val="1"/>
        </w:numPr>
        <w:spacing w:after="80"/>
      </w:pPr>
      <w:r>
        <w:rPr>
          <w:sz w:val="21"/>
          <w:szCs w:val="21"/>
        </w:rPr>
        <w:t xml:space="preserve">There will be two Practical examinations, one at the end of Grade XI (Chemistry (PR)-I) and one at the end of Grade XII (Chemistry (PR)-II). Each Practical examination carries 15 marks and requires students to carry out a volumetric, qualitative or physical-chemistry experiment under supervised laboratory conditions, and to record and interpret their own results.</w:t>
      </w:r>
    </w:p>
    <w:p>
      <w:pPr>
        <w:pStyle w:val="ListParagraph"/>
        <w:numPr>
          <w:ilvl w:val="0"/>
          <w:numId w:val="1"/>
        </w:numPr>
        <w:spacing w:after="80"/>
      </w:pPr>
      <w:r>
        <w:rPr>
          <w:sz w:val="21"/>
          <w:szCs w:val="21"/>
        </w:rPr>
        <w:t xml:space="preserve">The Theory and Practical marks for a given year are reported separately on the BISE Larkano Marks Certificate and are combined only in the year's subject total (85 + 15 = 100). A candidate must attempt both components; a Theory or Practical mark cannot substitute for the other.</w:t>
      </w:r>
    </w:p>
    <w:p>
      <w:pPr>
        <w:pStyle w:val="ListParagraph"/>
        <w:numPr>
          <w:ilvl w:val="0"/>
          <w:numId w:val="1"/>
        </w:numPr>
        <w:spacing w:after="80"/>
      </w:pPr>
      <w:r>
        <w:rPr>
          <w:sz w:val="21"/>
          <w:szCs w:val="21"/>
        </w:rPr>
        <w:t xml:space="preserve">Tables 1 and 3 indicate the number and nature of SLOs in each topic and are provided as a guide to the construction of examination papers; they do not translate directly into marks. Emphasis has deliberately been placed on Application and other higher-order skills, to discourage rote memorisation of facts.</w:t>
      </w:r>
    </w:p>
    <w:p>
      <w:pPr>
        <w:pStyle w:val="ListParagraph"/>
        <w:numPr>
          <w:ilvl w:val="0"/>
          <w:numId w:val="1"/>
        </w:numPr>
        <w:spacing w:after="80"/>
      </w:pPr>
      <w:r>
        <w:rPr>
          <w:sz w:val="21"/>
          <w:szCs w:val="21"/>
        </w:rPr>
        <w:t xml:space="preserve">Where a CRQ requires a numerical answer, full credit requires a correctly set-out method and appropriate units, not merely the final value.</w:t>
      </w:r>
    </w:p>
    <w:p>
      <w:r>
        <w:br w:type="page"/>
      </w:r>
    </w:p>
    <w:p>
      <w:pPr>
        <w:pStyle w:val="Heading1"/>
        <w:pBdr>
          <w:bottom w:val="single" w:color="6E2C3A" w:sz="6" w:space="4"/>
        </w:pBdr>
        <w:spacing w:after="200" w:before="300"/>
      </w:pPr>
      <w:r>
        <w:rPr>
          <w:b/>
          <w:bCs/>
          <w:color w:val="6E2C3A"/>
          <w:sz w:val="30"/>
          <w:szCs w:val="30"/>
        </w:rPr>
        <w:t xml:space="preserve">Academic Integrity and Laboratory Safety</w:t>
      </w:r>
    </w:p>
    <w:p>
      <w:pPr>
        <w:spacing w:after="160" w:line="276"/>
      </w:pPr>
      <w:r>
        <w:rPr>
          <w:color w:val="1A1A1A"/>
          <w:sz w:val="21"/>
          <w:szCs w:val="21"/>
        </w:rPr>
        <w:t xml:space="preserve">All work submitted for assessment in Chemistry — whether a written answer, a calculation, or a laboratory report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Collaboration and Use of Sources</w:t>
      </w:r>
    </w:p>
    <w:p>
      <w:pPr>
        <w:spacing w:after="160" w:line="276"/>
      </w:pPr>
      <w:r>
        <w:rPr>
          <w:color w:val="1A1A1A"/>
          <w:sz w:val="21"/>
          <w:szCs w:val="21"/>
        </w:rPr>
        <w:t xml:space="preserve">Students are encouraged to discuss chemical concepts, experimental observations and problem-solving strategies with their peers, and to consult the prescribed textbook and other reputable resources to build their understanding. However, copying a solution, a calculation, or a laboratory report from any source — including another student, a book, or an online resource — and submitting it as one’s own, with or without superficial changes, is a serious violation of academic integrity.</w:t>
      </w:r>
    </w:p>
    <w:p>
      <w:pPr>
        <w:pStyle w:val="Heading2"/>
        <w:spacing w:after="120" w:before="240"/>
      </w:pPr>
      <w:r>
        <w:rPr>
          <w:b/>
          <w:bCs/>
          <w:color w:val="2E3A59"/>
          <w:sz w:val="24"/>
          <w:szCs w:val="24"/>
        </w:rPr>
        <w:t xml:space="preserve">Integrity of Experimental Data</w:t>
      </w:r>
    </w:p>
    <w:p>
      <w:pPr>
        <w:spacing w:after="160" w:line="276"/>
      </w:pPr>
      <w:r>
        <w:rPr>
          <w:color w:val="1A1A1A"/>
          <w:sz w:val="21"/>
          <w:szCs w:val="21"/>
        </w:rPr>
        <w:t xml:space="preserve">Where practical work forms part of a student’s assessment, all recorded observations and readings must be genuine. Fabricating, adjusting or selectively omitting experimental data to obtain an expected or more convenient result is a serious violation of academic integrity, regardless of how small the discrepancy may seem.</w:t>
      </w:r>
    </w:p>
    <w:p>
      <w:pPr>
        <w:pStyle w:val="Heading2"/>
        <w:spacing w:after="120" w:before="240"/>
      </w:pPr>
      <w:r>
        <w:rPr>
          <w:b/>
          <w:bCs/>
          <w:color w:val="2E3A59"/>
          <w:sz w:val="24"/>
          <w:szCs w:val="24"/>
        </w:rPr>
        <w:t xml:space="preserve">Laboratory Safety</w:t>
      </w:r>
    </w:p>
    <w:p>
      <w:pPr>
        <w:spacing w:after="160" w:line="276"/>
      </w:pPr>
      <w:r>
        <w:rPr>
          <w:color w:val="1A1A1A"/>
          <w:sz w:val="21"/>
          <w:szCs w:val="21"/>
        </w:rPr>
        <w:t xml:space="preserve">Affiliated institutions are responsible for ensuring that all practical work is conducted under appropriate supervision, with attention to the safe handling, storage and disposal of chemicals, and with students made aware of relevant hazard information before an experiment begins. A student’s disregard for reasonable safety instructions during practical work may be treated as a conduct matter independent of, and in addition to, their academic assessment.</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Chemistry syllabus, including the subject specialists, affiliated-school teachers, and higher-education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Chemistry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2026-08-04T23:03:52.972Z</dcterms:created>
  <dcterms:modified xsi:type="dcterms:W3CDTF">2026-08-04T23:03:52.972Z</dcterms:modified>
</cp:coreProperties>
</file>

<file path=docProps/custom.xml><?xml version="1.0" encoding="utf-8"?>
<Properties xmlns="http://schemas.openxmlformats.org/officeDocument/2006/custom-properties" xmlns:vt="http://schemas.openxmlformats.org/officeDocument/2006/docPropsVTypes"/>
</file>