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ENGLISH</w:t>
            </w:r>
          </w:p>
          <w:p>
            <w:pPr>
              <w:spacing w:after="0"/>
              <w:jc w:val="center"/>
            </w:pPr>
            <w:r>
              <w:rPr>
                <w:color w:val="FFFFFF"/>
                <w:sz w:val="26"/>
                <w:szCs w:val="26"/>
              </w:rPr>
              <w:t xml:space="preserve">Grades XI – XII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 – Part I (Grade XI)</w:t>
      </w:r>
      <w:r>
        <w:rPr>
          <w:sz w:val="21"/>
          <w:szCs w:val="21"/>
        </w:rPr>
        <w:t xml:space="preserve">	7</w:t>
      </w:r>
    </w:p>
    <w:p>
      <w:pPr>
        <w:tabs>
          <w:tab w:val="right" w:pos="9026" w:leader="dot"/>
        </w:tabs>
        <w:spacing w:after="120"/>
      </w:pPr>
      <w:r>
        <w:rPr>
          <w:sz w:val="21"/>
          <w:szCs w:val="21"/>
        </w:rPr>
        <w:t xml:space="preserve">Student Learning Outcomes – Part II (Grade XII)</w:t>
      </w:r>
      <w:r>
        <w:rPr>
          <w:sz w:val="21"/>
          <w:szCs w:val="21"/>
        </w:rPr>
        <w:t xml:space="preserve">	9</w:t>
      </w:r>
    </w:p>
    <w:p>
      <w:pPr>
        <w:tabs>
          <w:tab w:val="right" w:pos="9026" w:leader="dot"/>
        </w:tabs>
        <w:spacing w:after="120"/>
      </w:pPr>
      <w:r>
        <w:rPr>
          <w:sz w:val="21"/>
          <w:szCs w:val="21"/>
        </w:rPr>
        <w:t xml:space="preserve">Scheme of Assessment</w:t>
      </w:r>
      <w:r>
        <w:rPr>
          <w:sz w:val="21"/>
          <w:szCs w:val="21"/>
        </w:rPr>
        <w:t xml:space="preserve">	11</w:t>
      </w:r>
    </w:p>
    <w:p>
      <w:pPr>
        <w:tabs>
          <w:tab w:val="right" w:pos="9026" w:leader="dot"/>
        </w:tabs>
        <w:spacing w:after="120"/>
      </w:pPr>
      <w:r>
        <w:rPr>
          <w:sz w:val="21"/>
          <w:szCs w:val="21"/>
        </w:rPr>
        <w:t xml:space="preserve">Academic Integrity</w:t>
      </w:r>
      <w:r>
        <w:rPr>
          <w:sz w:val="21"/>
          <w:szCs w:val="21"/>
        </w:rPr>
        <w:t xml:space="preserve">	14</w:t>
      </w:r>
    </w:p>
    <w:p>
      <w:pPr>
        <w:tabs>
          <w:tab w:val="right" w:pos="9026" w:leader="dot"/>
        </w:tabs>
        <w:spacing w:after="120"/>
      </w:pPr>
      <w:r>
        <w:rPr>
          <w:sz w:val="21"/>
          <w:szCs w:val="21"/>
        </w:rPr>
        <w:t xml:space="preserve">Acknowledgements</w:t>
      </w:r>
      <w:r>
        <w:rPr>
          <w:sz w:val="21"/>
          <w:szCs w:val="21"/>
        </w:rPr>
        <w:t xml:space="preserve">	15</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genuine communicative competence, and that remain aligned with the national curriculum.</w:t>
      </w:r>
    </w:p>
    <w:p>
      <w:pPr>
        <w:spacing w:after="160" w:line="276"/>
      </w:pPr>
      <w:r>
        <w:rPr>
          <w:color w:val="1A1A1A"/>
          <w:sz w:val="21"/>
          <w:szCs w:val="21"/>
        </w:rPr>
        <w:t xml:space="preserve">This document sets out the syllabus for English at the HSSC level (Grades XI and XII). It has been developed in recognition of English's role as the medium of instruction in higher education and much of professional life in Pakistan, and as a language every HSSC graduate is expected to read, write and communicate in with confidence and accuracy.</w:t>
      </w:r>
    </w:p>
    <w:p>
      <w:pPr>
        <w:spacing w:after="160" w:line="276"/>
      </w:pPr>
      <w:r>
        <w:rPr>
          <w:color w:val="1A1A1A"/>
          <w:sz w:val="21"/>
          <w:szCs w:val="21"/>
        </w:rPr>
        <w:t xml:space="preserve">The syllabus was developed following consultation with subject specialists, teachers of affiliated institutions, and reviewers with expertise in the teaching of English as a second language, and reflects a deliberate effort to move examination preparation away from memorised model answers and toward genuine reading, writing and translation skills.</w:t>
      </w:r>
    </w:p>
    <w:p>
      <w:pPr>
        <w:spacing w:after="160" w:line="276"/>
      </w:pPr>
      <w:r>
        <w:rPr>
          <w:color w:val="1A1A1A"/>
          <w:sz w:val="21"/>
          <w:szCs w:val="21"/>
        </w:rPr>
        <w:t xml:space="preserve">We are confident that this syllabus will support teachers and students of affiliated institutions in building confident, accurate written and spoken English,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(XI and XII). In each syllabus document, the content progresses from simple to complex, facilitating gradual, skill-based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‘identify’, ‘construct’, ‘summarise’ or ‘translate’.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model answers, this syllabus aims to encourage students to read critically, to write with clarity and correctness, and to communicate their own ideas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submit only their own original writing and translation for assessment.</w:t>
      </w:r>
    </w:p>
    <w:p>
      <w:r>
        <w:br w:type="page"/>
      </w:r>
    </w:p>
    <w:p>
      <w:pPr>
        <w:pStyle w:val="Heading1"/>
        <w:pBdr>
          <w:bottom w:val="single" w:color="6E2C3A" w:sz="6" w:space="4"/>
        </w:pBdr>
        <w:spacing w:after="200" w:before="300"/>
      </w:pPr>
      <w:r>
        <w:rPr>
          <w:b/>
          <w:bCs/>
          <w:color w:val="6E2C3A"/>
          <w:sz w:val="30"/>
          <w:szCs w:val="30"/>
        </w:rPr>
        <w:t xml:space="preserve">Subject Rationale of English</w:t>
      </w:r>
    </w:p>
    <w:p>
      <w:pPr>
        <w:pStyle w:val="Heading2"/>
        <w:spacing w:after="120" w:before="240"/>
      </w:pPr>
      <w:r>
        <w:rPr>
          <w:b/>
          <w:bCs/>
          <w:color w:val="2E3A59"/>
          <w:sz w:val="24"/>
          <w:szCs w:val="24"/>
        </w:rPr>
        <w:t xml:space="preserve">What will you learn in English?</w:t>
      </w:r>
    </w:p>
    <w:p>
      <w:pPr>
        <w:spacing w:after="160" w:line="276"/>
      </w:pPr>
      <w:r>
        <w:rPr>
          <w:color w:val="1A1A1A"/>
          <w:sz w:val="21"/>
          <w:szCs w:val="21"/>
        </w:rPr>
        <w:t xml:space="preserve">English is the language in which most higher education, professional communication and much of public life in Pakistan is conducted. This syllabus teaches students to read a passage critically and draw out its meaning, to write with clarity, correctness and an appropriate tone for a given purpose, and to translate accurately and confidently between Urdu and English.</w:t>
      </w:r>
    </w:p>
    <w:p>
      <w:pPr>
        <w:spacing w:after="160" w:line="276"/>
      </w:pPr>
      <w:r>
        <w:rPr>
          <w:color w:val="1A1A1A"/>
          <w:sz w:val="21"/>
          <w:szCs w:val="21"/>
        </w:rPr>
        <w:t xml:space="preserve">Many students who can recognise correct grammar in isolation have not yet learned to write a well-organised paragraph or essay, to summarise a passage concisely, or to translate a passage while preserving its meaning and tone. This syllabus addresses that gap directly. Students will build their skills in reading comprehension, grammar and sentence structure, vocabulary, composition, and translation, moving from shorter, more guided tasks in Grade XI to longer, more independent tasks in Grade XII.</w:t>
      </w:r>
    </w:p>
    <w:p>
      <w:pPr>
        <w:spacing w:after="160" w:line="276"/>
      </w:pPr>
      <w:r>
        <w:rPr>
          <w:color w:val="1A1A1A"/>
          <w:sz w:val="21"/>
          <w:szCs w:val="21"/>
        </w:rPr>
        <w:t xml:space="preserve">Throughout, the syllabus emphasises genuine communicative competence — the ability to read, write and translate accurately and appropriately — rather than the reproduction of memorised model answers.</w:t>
      </w:r>
    </w:p>
    <w:p>
      <w:pPr>
        <w:pStyle w:val="Heading2"/>
        <w:spacing w:after="120" w:before="240"/>
      </w:pPr>
      <w:r>
        <w:rPr>
          <w:b/>
          <w:bCs/>
          <w:color w:val="2E3A59"/>
          <w:sz w:val="24"/>
          <w:szCs w:val="24"/>
        </w:rPr>
        <w:t xml:space="preserve">Why does every student study this subject?</w:t>
      </w:r>
    </w:p>
    <w:p>
      <w:pPr>
        <w:spacing w:after="160" w:line="276"/>
      </w:pPr>
      <w:r>
        <w:rPr>
          <w:color w:val="1A1A1A"/>
          <w:sz w:val="21"/>
          <w:szCs w:val="21"/>
        </w:rPr>
        <w:t xml:space="preserve">English is a compulsory subject for every HSSC candidate at affiliated institutions, regardless of their chosen group of study. It provides the reading, writing and communication skills every student needs for further education and professional life, and complements each student's specialised subjects with the language skills to express what they know clearly and accurately.</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Effective Written and Communicative Expression — the ability to read, write and translate with clarity, accuracy and an appropriate sense of audience.</w:t>
      </w:r>
    </w:p>
    <w:p>
      <w:pPr>
        <w:pStyle w:val="Heading2"/>
        <w:spacing w:after="120" w:before="240"/>
      </w:pPr>
      <w:r>
        <w:rPr>
          <w:b/>
          <w:bCs/>
          <w:color w:val="2E3A59"/>
          <w:sz w:val="24"/>
          <w:szCs w:val="24"/>
        </w:rPr>
        <w:t xml:space="preserve">Reading and Comprehension</w:t>
      </w:r>
    </w:p>
    <w:p>
      <w:pPr>
        <w:pStyle w:val="ListParagraph"/>
        <w:numPr>
          <w:ilvl w:val="0"/>
          <w:numId w:val="1"/>
        </w:numPr>
        <w:spacing w:after="80"/>
      </w:pPr>
      <w:r>
        <w:rPr>
          <w:sz w:val="21"/>
          <w:szCs w:val="21"/>
        </w:rPr>
        <w:t xml:space="preserve">Literal and Inferential Comprehension</w:t>
      </w:r>
    </w:p>
    <w:p>
      <w:pPr>
        <w:pStyle w:val="ListParagraph"/>
        <w:numPr>
          <w:ilvl w:val="0"/>
          <w:numId w:val="1"/>
        </w:numPr>
        <w:spacing w:after="80"/>
      </w:pPr>
      <w:r>
        <w:rPr>
          <w:sz w:val="21"/>
          <w:szCs w:val="21"/>
        </w:rPr>
        <w:t xml:space="preserve">Vocabulary in Context</w:t>
      </w:r>
    </w:p>
    <w:p>
      <w:pPr>
        <w:pStyle w:val="ListParagraph"/>
        <w:numPr>
          <w:ilvl w:val="0"/>
          <w:numId w:val="1"/>
        </w:numPr>
        <w:spacing w:after="80"/>
      </w:pPr>
      <w:r>
        <w:rPr>
          <w:sz w:val="21"/>
          <w:szCs w:val="21"/>
        </w:rPr>
        <w:t xml:space="preserve">Advanced and Evaluative Reading</w:t>
      </w:r>
    </w:p>
    <w:p>
      <w:pPr>
        <w:pStyle w:val="ListParagraph"/>
        <w:numPr>
          <w:ilvl w:val="0"/>
          <w:numId w:val="1"/>
        </w:numPr>
        <w:spacing w:after="80"/>
      </w:pPr>
      <w:r>
        <w:rPr>
          <w:sz w:val="21"/>
          <w:szCs w:val="21"/>
        </w:rPr>
        <w:t xml:space="preserve">Précis Writing</w:t>
      </w:r>
    </w:p>
    <w:p>
      <w:pPr>
        <w:pStyle w:val="Heading2"/>
        <w:spacing w:after="120" w:before="240"/>
      </w:pPr>
      <w:r>
        <w:rPr>
          <w:b/>
          <w:bCs/>
          <w:color w:val="2E3A59"/>
          <w:sz w:val="24"/>
          <w:szCs w:val="24"/>
        </w:rPr>
        <w:t xml:space="preserve">Grammar and Language Accuracy</w:t>
      </w:r>
    </w:p>
    <w:p>
      <w:pPr>
        <w:pStyle w:val="ListParagraph"/>
        <w:numPr>
          <w:ilvl w:val="0"/>
          <w:numId w:val="1"/>
        </w:numPr>
        <w:spacing w:after="80"/>
      </w:pPr>
      <w:r>
        <w:rPr>
          <w:sz w:val="21"/>
          <w:szCs w:val="21"/>
        </w:rPr>
        <w:t xml:space="preserve">Sentence Structure and Tenses</w:t>
      </w:r>
    </w:p>
    <w:p>
      <w:pPr>
        <w:pStyle w:val="ListParagraph"/>
        <w:numPr>
          <w:ilvl w:val="0"/>
          <w:numId w:val="1"/>
        </w:numPr>
        <w:spacing w:after="80"/>
      </w:pPr>
      <w:r>
        <w:rPr>
          <w:sz w:val="21"/>
          <w:szCs w:val="21"/>
        </w:rPr>
        <w:t xml:space="preserve">Word Formation and Idiomatic Usage</w:t>
      </w:r>
    </w:p>
    <w:p>
      <w:pPr>
        <w:pStyle w:val="ListParagraph"/>
        <w:numPr>
          <w:ilvl w:val="0"/>
          <w:numId w:val="1"/>
        </w:numPr>
        <w:spacing w:after="80"/>
      </w:pPr>
      <w:r>
        <w:rPr>
          <w:sz w:val="21"/>
          <w:szCs w:val="21"/>
        </w:rPr>
        <w:t xml:space="preserve">Clauses and Voice</w:t>
      </w:r>
    </w:p>
    <w:p>
      <w:pPr>
        <w:pStyle w:val="ListParagraph"/>
        <w:numPr>
          <w:ilvl w:val="0"/>
          <w:numId w:val="1"/>
        </w:numPr>
        <w:spacing w:after="80"/>
      </w:pPr>
      <w:r>
        <w:rPr>
          <w:sz w:val="21"/>
          <w:szCs w:val="21"/>
        </w:rPr>
        <w:t xml:space="preserve">Direct and Indirect Speech</w:t>
      </w:r>
    </w:p>
    <w:p>
      <w:pPr>
        <w:pStyle w:val="Heading2"/>
        <w:spacing w:after="120" w:before="240"/>
      </w:pPr>
      <w:r>
        <w:rPr>
          <w:b/>
          <w:bCs/>
          <w:color w:val="2E3A59"/>
          <w:sz w:val="24"/>
          <w:szCs w:val="24"/>
        </w:rPr>
        <w:t xml:space="preserve">Writing and Composition</w:t>
      </w:r>
    </w:p>
    <w:p>
      <w:pPr>
        <w:pStyle w:val="ListParagraph"/>
        <w:numPr>
          <w:ilvl w:val="0"/>
          <w:numId w:val="1"/>
        </w:numPr>
        <w:spacing w:after="80"/>
      </w:pPr>
      <w:r>
        <w:rPr>
          <w:sz w:val="21"/>
          <w:szCs w:val="21"/>
        </w:rPr>
        <w:t xml:space="preserve">Paragraph and Letter Writing</w:t>
      </w:r>
    </w:p>
    <w:p>
      <w:pPr>
        <w:pStyle w:val="ListParagraph"/>
        <w:numPr>
          <w:ilvl w:val="0"/>
          <w:numId w:val="1"/>
        </w:numPr>
        <w:spacing w:after="80"/>
      </w:pPr>
      <w:r>
        <w:rPr>
          <w:sz w:val="21"/>
          <w:szCs w:val="21"/>
        </w:rPr>
        <w:t xml:space="preserve">Essay Writing</w:t>
      </w:r>
    </w:p>
    <w:p>
      <w:pPr>
        <w:pStyle w:val="ListParagraph"/>
        <w:numPr>
          <w:ilvl w:val="0"/>
          <w:numId w:val="1"/>
        </w:numPr>
        <w:spacing w:after="80"/>
      </w:pPr>
      <w:r>
        <w:rPr>
          <w:sz w:val="21"/>
          <w:szCs w:val="21"/>
        </w:rPr>
        <w:t xml:space="preserve">Report Writing</w:t>
      </w:r>
    </w:p>
    <w:p>
      <w:pPr>
        <w:pStyle w:val="ListParagraph"/>
        <w:numPr>
          <w:ilvl w:val="0"/>
          <w:numId w:val="1"/>
        </w:numPr>
        <w:spacing w:after="80"/>
      </w:pPr>
      <w:r>
        <w:rPr>
          <w:sz w:val="21"/>
          <w:szCs w:val="21"/>
        </w:rPr>
        <w:t xml:space="preserve">Applied and Functional Writing</w:t>
      </w:r>
    </w:p>
    <w:p>
      <w:pPr>
        <w:pStyle w:val="Heading2"/>
        <w:spacing w:after="120" w:before="240"/>
      </w:pPr>
      <w:r>
        <w:rPr>
          <w:b/>
          <w:bCs/>
          <w:color w:val="2E3A59"/>
          <w:sz w:val="24"/>
          <w:szCs w:val="24"/>
        </w:rPr>
        <w:t xml:space="preserve">Translation and Correspondence</w:t>
      </w:r>
    </w:p>
    <w:p>
      <w:pPr>
        <w:pStyle w:val="ListParagraph"/>
        <w:numPr>
          <w:ilvl w:val="0"/>
          <w:numId w:val="1"/>
        </w:numPr>
        <w:spacing w:after="80"/>
      </w:pPr>
      <w:r>
        <w:rPr>
          <w:sz w:val="21"/>
          <w:szCs w:val="21"/>
        </w:rPr>
        <w:t xml:space="preserve">Sentence-Level Translation</w:t>
      </w:r>
    </w:p>
    <w:p>
      <w:pPr>
        <w:pStyle w:val="ListParagraph"/>
        <w:numPr>
          <w:ilvl w:val="0"/>
          <w:numId w:val="1"/>
        </w:numPr>
        <w:spacing w:after="80"/>
      </w:pPr>
      <w:r>
        <w:rPr>
          <w:sz w:val="21"/>
          <w:szCs w:val="21"/>
        </w:rPr>
        <w:t xml:space="preserve">Passage-Level Translation</w:t>
      </w:r>
    </w:p>
    <w:p>
      <w:pPr>
        <w:pStyle w:val="ListParagraph"/>
        <w:numPr>
          <w:ilvl w:val="0"/>
          <w:numId w:val="1"/>
        </w:numPr>
        <w:spacing w:after="80"/>
      </w:pPr>
      <w:r>
        <w:rPr>
          <w:sz w:val="21"/>
          <w:szCs w:val="21"/>
        </w:rPr>
        <w:t xml:space="preserve">Business and Official Correspondence</w:t>
      </w:r>
    </w:p>
    <w:p>
      <w:pPr>
        <w:pStyle w:val="ListParagraph"/>
        <w:numPr>
          <w:ilvl w:val="0"/>
          <w:numId w:val="1"/>
        </w:numPr>
        <w:spacing w:after="80"/>
      </w:pPr>
      <w:r>
        <w:rPr>
          <w:sz w:val="21"/>
          <w:szCs w:val="21"/>
        </w:rPr>
        <w:t xml:space="preserve">CVs, Forms and Notices</w:t>
      </w:r>
    </w:p>
    <w:p>
      <w:pPr>
        <w:spacing w:after="160" w:line="276"/>
      </w:pPr>
      <w:r>
        <w:rPr>
          <w:i/>
          <w:iCs/>
          <w:color w:val="1A1A1A"/>
          <w:sz w:val="21"/>
          <w:szCs w:val="21"/>
        </w:rPr>
        <w:t xml:space="preserve">Effective Written and Communicative Expression underpins all four strands: every comprehension answer, every grammatical correction and every piece of original writing in this syllabus is ultimately a tool for communicating a meaning clearly and accurately to a reader.</w:t>
      </w:r>
    </w:p>
    <w:p>
      <w:r>
        <w:br w:type="page"/>
      </w:r>
    </w:p>
    <w:p>
      <w:pPr>
        <w:pStyle w:val="Heading1"/>
        <w:pBdr>
          <w:bottom w:val="single" w:color="6E2C3A" w:sz="6" w:space="4"/>
        </w:pBdr>
        <w:spacing w:after="200" w:before="300"/>
      </w:pPr>
      <w:r>
        <w:rPr>
          <w:b/>
          <w:bCs/>
          <w:color w:val="6E2C3A"/>
          <w:sz w:val="30"/>
          <w:szCs w:val="30"/>
        </w:rPr>
        <w:t xml:space="preserve">Student Learning Outcomes of English</w:t>
      </w:r>
    </w:p>
    <w:p>
      <w:pPr>
        <w:pStyle w:val="Heading2"/>
        <w:spacing w:after="120" w:before="240"/>
      </w:pPr>
      <w:r>
        <w:rPr>
          <w:b/>
          <w:bCs/>
          <w:color w:val="2E3A59"/>
          <w:sz w:val="24"/>
          <w:szCs w:val="24"/>
        </w:rPr>
        <w:t xml:space="preserve">Part I (Grade XI — English-I)</w:t>
      </w:r>
    </w:p>
    <w:p>
      <w:pPr>
        <w:spacing w:after="100" w:before="300"/>
      </w:pPr>
      <w:r>
        <w:rPr>
          <w:b/>
          <w:bCs/>
          <w:color w:val="2E3A59"/>
          <w:sz w:val="22"/>
          <w:szCs w:val="22"/>
        </w:rPr>
        <w:t xml:space="preserve">1. Reading Comprehension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Literal and Inferential Comprehension</w:t>
            </w:r>
          </w:p>
        </w:tc>
        <w:tc>
          <w:tcPr>
            <w:tcW w:type="dxa" w:w="5580"/>
            <w:tcMar>
              <w:top w:type="dxa" w:w="60"/>
              <w:left w:type="dxa" w:w="100"/>
              <w:bottom w:type="dxa" w:w="60"/>
              <w:right w:type="dxa" w:w="100"/>
            </w:tcMar>
          </w:tcPr>
          <w:p>
            <w:r>
              <w:rPr>
                <w:sz w:val="18"/>
                <w:szCs w:val="18"/>
              </w:rPr>
              <w:t xml:space="preserve">identify the main idea and supporting details of an unseen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answer literal and inferential questions on a given passage in their own words;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fact and opinion in a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1.2 Vocabulary in Context</w:t>
            </w:r>
          </w:p>
        </w:tc>
        <w:tc>
          <w:tcPr>
            <w:tcW w:type="dxa" w:w="5580"/>
            <w:tcMar>
              <w:top w:type="dxa" w:w="60"/>
              <w:left w:type="dxa" w:w="100"/>
              <w:bottom w:type="dxa" w:w="60"/>
              <w:right w:type="dxa" w:w="100"/>
            </w:tcMar>
          </w:tcPr>
          <w:p>
            <w:r>
              <w:rPr>
                <w:sz w:val="18"/>
                <w:szCs w:val="18"/>
              </w:rPr>
              <w:t xml:space="preserve">deduce the meaning of an unfamiliar word from its context within a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use a word taken from a passage correctly in a new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Grammar and Sentence Structure</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Parts of Speech and Sentence Structure</w:t>
            </w:r>
          </w:p>
        </w:tc>
        <w:tc>
          <w:tcPr>
            <w:tcW w:type="dxa" w:w="5580"/>
            <w:tcMar>
              <w:top w:type="dxa" w:w="60"/>
              <w:left w:type="dxa" w:w="100"/>
              <w:bottom w:type="dxa" w:w="60"/>
              <w:right w:type="dxa" w:w="100"/>
            </w:tcMar>
          </w:tcPr>
          <w:p>
            <w:r>
              <w:rPr>
                <w:sz w:val="18"/>
                <w:szCs w:val="18"/>
              </w:rPr>
              <w:t xml:space="preserve">identify the parts of speech used in a given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construct grammatically correct simple, compound and complex sentences;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2.2 Tenses and Agreement</w:t>
            </w:r>
          </w:p>
        </w:tc>
        <w:tc>
          <w:tcPr>
            <w:tcW w:type="dxa" w:w="5580"/>
            <w:tcMar>
              <w:top w:type="dxa" w:w="60"/>
              <w:left w:type="dxa" w:w="100"/>
              <w:bottom w:type="dxa" w:w="60"/>
              <w:right w:type="dxa" w:w="100"/>
            </w:tcMar>
          </w:tcPr>
          <w:p>
            <w:r>
              <w:rPr>
                <w:sz w:val="18"/>
                <w:szCs w:val="18"/>
              </w:rPr>
              <w:t xml:space="preserve">use the appropriate verb tense to express a given time reference;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rules of subject-verb agreement in a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correct a grammatically incorrect sentence and explain the error;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Vocabulary and Word Study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Word Formation and Usage</w:t>
            </w:r>
          </w:p>
        </w:tc>
        <w:tc>
          <w:tcPr>
            <w:tcW w:type="dxa" w:w="5580"/>
            <w:tcMar>
              <w:top w:type="dxa" w:w="60"/>
              <w:left w:type="dxa" w:w="100"/>
              <w:bottom w:type="dxa" w:w="60"/>
              <w:right w:type="dxa" w:w="100"/>
            </w:tcMar>
          </w:tcPr>
          <w:p>
            <w:r>
              <w:rPr>
                <w:sz w:val="18"/>
                <w:szCs w:val="18"/>
              </w:rPr>
              <w:t xml:space="preserve">form a new word from a given root using an appropriate prefix or suffix;</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a commonly confused pair of words, e.g. affect/effect;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3.2 Idiomatic Language</w:t>
            </w:r>
          </w:p>
        </w:tc>
        <w:tc>
          <w:tcPr>
            <w:tcW w:type="dxa" w:w="5580"/>
            <w:tcMar>
              <w:top w:type="dxa" w:w="60"/>
              <w:left w:type="dxa" w:w="100"/>
              <w:bottom w:type="dxa" w:w="60"/>
              <w:right w:type="dxa" w:w="100"/>
            </w:tcMar>
          </w:tcPr>
          <w:p>
            <w:r>
              <w:rPr>
                <w:sz w:val="18"/>
                <w:szCs w:val="18"/>
              </w:rPr>
              <w:t xml:space="preserve">use a common idiom or phrasal verb correctly in a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4. Writing Skills: Paragraph and Letter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Paragraph Writing</w:t>
            </w:r>
          </w:p>
        </w:tc>
        <w:tc>
          <w:tcPr>
            <w:tcW w:type="dxa" w:w="5580"/>
            <w:tcMar>
              <w:top w:type="dxa" w:w="60"/>
              <w:left w:type="dxa" w:w="100"/>
              <w:bottom w:type="dxa" w:w="60"/>
              <w:right w:type="dxa" w:w="100"/>
            </w:tcMar>
          </w:tcPr>
          <w:p>
            <w:r>
              <w:rPr>
                <w:sz w:val="18"/>
                <w:szCs w:val="18"/>
              </w:rPr>
              <w:t xml:space="preserve">write a coherent paragraph on a given topic with a clear topic sentence and supporting details;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4.2 Letter and Application Writing</w:t>
            </w:r>
          </w:p>
        </w:tc>
        <w:tc>
          <w:tcPr>
            <w:tcW w:type="dxa" w:w="5580"/>
            <w:tcMar>
              <w:top w:type="dxa" w:w="60"/>
              <w:left w:type="dxa" w:w="100"/>
              <w:bottom w:type="dxa" w:w="60"/>
              <w:right w:type="dxa" w:w="100"/>
            </w:tcMar>
          </w:tcPr>
          <w:p>
            <w:r>
              <w:rPr>
                <w:sz w:val="18"/>
                <w:szCs w:val="18"/>
              </w:rPr>
              <w:t xml:space="preserve">write a formal letter or job application following the conventions of format and tone;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an informal letter to a friend or family member on a given situation;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Translation (Urdu to English)</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Sentence-Level Translation</w:t>
            </w:r>
          </w:p>
        </w:tc>
        <w:tc>
          <w:tcPr>
            <w:tcW w:type="dxa" w:w="5580"/>
            <w:tcMar>
              <w:top w:type="dxa" w:w="60"/>
              <w:left w:type="dxa" w:w="100"/>
              <w:bottom w:type="dxa" w:w="60"/>
              <w:right w:type="dxa" w:w="100"/>
            </w:tcMar>
          </w:tcPr>
          <w:p>
            <w:r>
              <w:rPr>
                <w:sz w:val="18"/>
                <w:szCs w:val="18"/>
              </w:rPr>
              <w:t xml:space="preserve">translate a simple Urdu sentence into grammatically correct English;</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5.2 Passage-Level Translation</w:t>
            </w:r>
          </w:p>
        </w:tc>
        <w:tc>
          <w:tcPr>
            <w:tcW w:type="dxa" w:w="5580"/>
            <w:tcMar>
              <w:top w:type="dxa" w:w="60"/>
              <w:left w:type="dxa" w:w="100"/>
              <w:bottom w:type="dxa" w:w="60"/>
              <w:right w:type="dxa" w:w="100"/>
            </w:tcMar>
          </w:tcPr>
          <w:p>
            <w:r>
              <w:rPr>
                <w:sz w:val="18"/>
                <w:szCs w:val="18"/>
              </w:rPr>
              <w:t xml:space="preserve">translate a short Urdu passage into English, preserving its meaning and tone;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2"/>
        <w:spacing w:after="120" w:before="240"/>
      </w:pPr>
      <w:r>
        <w:rPr>
          <w:b/>
          <w:bCs/>
          <w:color w:val="2E3A59"/>
          <w:sz w:val="24"/>
          <w:szCs w:val="24"/>
        </w:rPr>
        <w:t xml:space="preserve">Part II (Grade XII — English-II)</w:t>
      </w:r>
    </w:p>
    <w:p>
      <w:pPr>
        <w:spacing w:after="100" w:before="300"/>
      </w:pPr>
      <w:r>
        <w:rPr>
          <w:b/>
          <w:bCs/>
          <w:color w:val="2E3A59"/>
          <w:sz w:val="22"/>
          <w:szCs w:val="22"/>
        </w:rPr>
        <w:t xml:space="preserve">6. Reading Comprehension and Précis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6.1 Advanced Comprehension</w:t>
            </w:r>
          </w:p>
        </w:tc>
        <w:tc>
          <w:tcPr>
            <w:tcW w:type="dxa" w:w="5580"/>
            <w:tcMar>
              <w:top w:type="dxa" w:w="60"/>
              <w:left w:type="dxa" w:w="100"/>
              <w:bottom w:type="dxa" w:w="60"/>
              <w:right w:type="dxa" w:w="100"/>
            </w:tcMar>
          </w:tcPr>
          <w:p>
            <w:r>
              <w:rPr>
                <w:sz w:val="18"/>
                <w:szCs w:val="18"/>
              </w:rPr>
              <w:t xml:space="preserve">distinguish between a literal, an inferential and an evaluative question on a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analyse the tone, purpose and intended audience of an unseen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answer inferential and evaluative questions on a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6.2 Précis Writing</w:t>
            </w:r>
          </w:p>
        </w:tc>
        <w:tc>
          <w:tcPr>
            <w:tcW w:type="dxa" w:w="5580"/>
            <w:tcMar>
              <w:top w:type="dxa" w:w="60"/>
              <w:left w:type="dxa" w:w="100"/>
              <w:bottom w:type="dxa" w:w="60"/>
              <w:right w:type="dxa" w:w="100"/>
            </w:tcMar>
          </w:tcPr>
          <w:p>
            <w:r>
              <w:rPr>
                <w:sz w:val="18"/>
                <w:szCs w:val="18"/>
              </w:rPr>
              <w:t xml:space="preserve">describe the purpose and conventions of précis writing;</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summarise a given passage in about one-third of its original length while retaining its essential meaning;</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suggest an appropriate title for a passage or a précis;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7. Advanced Grammar and Sentence Transformation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7.1 Clauses and Voice</w:t>
            </w:r>
          </w:p>
        </w:tc>
        <w:tc>
          <w:tcPr>
            <w:tcW w:type="dxa" w:w="5580"/>
            <w:tcMar>
              <w:top w:type="dxa" w:w="60"/>
              <w:left w:type="dxa" w:w="100"/>
              <w:bottom w:type="dxa" w:w="60"/>
              <w:right w:type="dxa" w:w="100"/>
            </w:tcMar>
          </w:tcPr>
          <w:p>
            <w:r>
              <w:rPr>
                <w:sz w:val="18"/>
                <w:szCs w:val="18"/>
              </w:rPr>
              <w:t xml:space="preserve">identify noun, adjective and adverb clauses in a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transform a sentence from active to passive voice and vice versa;</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7.2 Direct and Indirect Speech</w:t>
            </w:r>
          </w:p>
        </w:tc>
        <w:tc>
          <w:tcPr>
            <w:tcW w:type="dxa" w:w="5580"/>
            <w:tcMar>
              <w:top w:type="dxa" w:w="60"/>
              <w:left w:type="dxa" w:w="100"/>
              <w:bottom w:type="dxa" w:w="60"/>
              <w:right w:type="dxa" w:w="100"/>
            </w:tcMar>
          </w:tcPr>
          <w:p>
            <w:r>
              <w:rPr>
                <w:sz w:val="18"/>
                <w:szCs w:val="18"/>
              </w:rPr>
              <w:t xml:space="preserve">describe the rules governing the conversion of direct speech into indirect speech;</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convert direct speech into indirect (reported) speech and vice versa;</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correct common errors of tense, pronoun and punctuation in reported speech;</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8. Composition: Essay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8.1 Essay Structure and Planning</w:t>
            </w:r>
          </w:p>
        </w:tc>
        <w:tc>
          <w:tcPr>
            <w:tcW w:type="dxa" w:w="5580"/>
            <w:tcMar>
              <w:top w:type="dxa" w:w="60"/>
              <w:left w:type="dxa" w:w="100"/>
              <w:bottom w:type="dxa" w:w="60"/>
              <w:right w:type="dxa" w:w="100"/>
            </w:tcMar>
          </w:tcPr>
          <w:p>
            <w:r>
              <w:rPr>
                <w:sz w:val="18"/>
                <w:szCs w:val="18"/>
              </w:rPr>
              <w:t xml:space="preserve">describe the structural conventions of an introduction, body and conclusion in an essay;</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plan an essay with a clear introduction, body and conclusion on a given topic;</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8.2 Argumentative and Descriptive Writing</w:t>
            </w:r>
          </w:p>
        </w:tc>
        <w:tc>
          <w:tcPr>
            <w:tcW w:type="dxa" w:w="5580"/>
            <w:tcMar>
              <w:top w:type="dxa" w:w="60"/>
              <w:left w:type="dxa" w:w="100"/>
              <w:bottom w:type="dxa" w:w="60"/>
              <w:right w:type="dxa" w:w="100"/>
            </w:tcMar>
          </w:tcPr>
          <w:p>
            <w:r>
              <w:rPr>
                <w:sz w:val="18"/>
                <w:szCs w:val="18"/>
              </w:rPr>
              <w:t xml:space="preserve">distinguish between argumentative and descriptive writing in terms of purpose and technique;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 well-organised argumentative essay presenting a reasoned point of view;</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 descriptive essay using appropriate sensory and figurative language;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9. Report and Business Correspondence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9.1 Report Writing</w:t>
            </w:r>
          </w:p>
        </w:tc>
        <w:tc>
          <w:tcPr>
            <w:tcW w:type="dxa" w:w="5580"/>
            <w:tcMar>
              <w:top w:type="dxa" w:w="60"/>
              <w:left w:type="dxa" w:w="100"/>
              <w:bottom w:type="dxa" w:w="60"/>
              <w:right w:type="dxa" w:w="100"/>
            </w:tcMar>
          </w:tcPr>
          <w:p>
            <w:r>
              <w:rPr>
                <w:sz w:val="18"/>
                <w:szCs w:val="18"/>
              </w:rPr>
              <w:t xml:space="preserve">describe the conventional format of a short report;</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 short report on a given event, situation or issue following an appropriate format;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9.2 Business and Official Correspondence</w:t>
            </w:r>
          </w:p>
        </w:tc>
        <w:tc>
          <w:tcPr>
            <w:tcW w:type="dxa" w:w="5580"/>
            <w:tcMar>
              <w:top w:type="dxa" w:w="60"/>
              <w:left w:type="dxa" w:w="100"/>
              <w:bottom w:type="dxa" w:w="60"/>
              <w:right w:type="dxa" w:w="100"/>
            </w:tcMar>
          </w:tcPr>
          <w:p>
            <w:r>
              <w:rPr>
                <w:sz w:val="18"/>
                <w:szCs w:val="18"/>
              </w:rPr>
              <w:t xml:space="preserve">distinguish between the conventions of a business letter and an official memorandum;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 formal business letter or official memorandum following the conventions of format and tone;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10. Translation and Applied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10.1 Translation (Urdu to English)</w:t>
            </w:r>
          </w:p>
        </w:tc>
        <w:tc>
          <w:tcPr>
            <w:tcW w:type="dxa" w:w="5580"/>
            <w:tcMar>
              <w:top w:type="dxa" w:w="60"/>
              <w:left w:type="dxa" w:w="100"/>
              <w:bottom w:type="dxa" w:w="60"/>
              <w:right w:type="dxa" w:w="100"/>
            </w:tcMar>
          </w:tcPr>
          <w:p>
            <w:r>
              <w:rPr>
                <w:sz w:val="18"/>
                <w:szCs w:val="18"/>
              </w:rPr>
              <w:t xml:space="preserve">translate a moderately complex Urdu passage into English, preserving its meaning, tone and register;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10.2 Applied and Functional Writing</w:t>
            </w:r>
          </w:p>
        </w:tc>
        <w:tc>
          <w:tcPr>
            <w:tcW w:type="dxa" w:w="5580"/>
            <w:tcMar>
              <w:top w:type="dxa" w:w="60"/>
              <w:left w:type="dxa" w:w="100"/>
              <w:bottom w:type="dxa" w:w="60"/>
              <w:right w:type="dxa" w:w="100"/>
            </w:tcMar>
          </w:tcPr>
          <w:p>
            <w:r>
              <w:rPr>
                <w:sz w:val="18"/>
                <w:szCs w:val="18"/>
              </w:rPr>
              <w:t xml:space="preserve">describe the conventional format of a curriculum vitae (CV);</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 curriculum vitae (CV) following a conventional format;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complete a form, or write a notice or dialogue appropriate to a given everyday situation;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English is examined by a single Theory (written) paper in each grade, carrying 100 marks, matching the maximum marks shown against ‘English-I’ (Grade XI) and ‘English-II’ (Grade XII) on the BISE Larkano Marks Certificate. There is no separate Practical component for this subject.</w:t>
      </w:r>
    </w:p>
    <w:p>
      <w:pPr>
        <w:pStyle w:val="Heading2"/>
        <w:spacing w:after="120" w:before="240"/>
      </w:pPr>
      <w:r>
        <w:rPr>
          <w:b/>
          <w:bCs/>
          <w:color w:val="2E3A59"/>
          <w:sz w:val="24"/>
          <w:szCs w:val="24"/>
        </w:rPr>
        <w:t xml:space="preserve">Grade XI (English-I)</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Reading Comprehension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Grammar and Sentence Structure</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Vocabulary and Word Study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Writing Skills: Paragraph and Letter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Translation (Urdu to English)</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2</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14</w:t>
            </w:r>
          </w:p>
        </w:tc>
        <w:tc>
          <w:tcPr>
            <w:tcW w:type="dxa" w:w="11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11%</w:t>
            </w:r>
          </w:p>
        </w:tc>
        <w:tc>
          <w:tcPr>
            <w:tcW w:type="dxa" w:w="900"/>
            <w:tcMar>
              <w:top w:type="dxa" w:w="70"/>
              <w:left w:type="dxa" w:w="100"/>
              <w:bottom w:type="dxa" w:w="70"/>
              <w:right w:type="dxa" w:w="100"/>
            </w:tcMar>
            <w:vAlign w:val="center"/>
          </w:tcPr>
          <w:p>
            <w:pPr>
              <w:jc w:val="center"/>
            </w:pPr>
            <w:r>
              <w:rPr>
                <w:sz w:val="18"/>
                <w:szCs w:val="18"/>
              </w:rPr>
              <w:t xml:space="preserve">11%</w:t>
            </w:r>
          </w:p>
        </w:tc>
        <w:tc>
          <w:tcPr>
            <w:tcW w:type="dxa" w:w="900"/>
            <w:tcMar>
              <w:top w:type="dxa" w:w="70"/>
              <w:left w:type="dxa" w:w="100"/>
              <w:bottom w:type="dxa" w:w="70"/>
              <w:right w:type="dxa" w:w="100"/>
            </w:tcMar>
            <w:vAlign w:val="center"/>
          </w:tcPr>
          <w:p>
            <w:pPr>
              <w:jc w:val="center"/>
            </w:pPr>
            <w:r>
              <w:rPr>
                <w:sz w:val="18"/>
                <w:szCs w:val="18"/>
              </w:rPr>
              <w:t xml:space="preserve">78%</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Exam Specification — English-I — 100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Objective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Subjective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Reading Comprehension</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Grammar and Sentence Structure</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Vocabulary and Word Study</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Writing Skills: Paragraph and Letter Writing</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25 (1 CRQ)</w:t>
            </w:r>
          </w:p>
        </w:tc>
        <w:tc>
          <w:tcPr>
            <w:tcW w:type="dxa" w:w="1860"/>
            <w:tcMar>
              <w:top w:type="dxa" w:w="70"/>
              <w:left w:type="dxa" w:w="100"/>
              <w:bottom w:type="dxa" w:w="70"/>
              <w:right w:type="dxa" w:w="100"/>
            </w:tcMar>
            <w:vAlign w:val="center"/>
          </w:tcPr>
          <w:p>
            <w:pPr>
              <w:jc w:val="center"/>
            </w:pPr>
            <w:r>
              <w:rPr>
                <w:sz w:val="18"/>
                <w:szCs w:val="18"/>
              </w:rPr>
              <w:t xml:space="preserve">25</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Translation (Urdu to English)</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20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20</w:t>
            </w:r>
          </w:p>
        </w:tc>
        <w:tc>
          <w:tcPr>
            <w:tcW w:type="dxa" w:w="2000"/>
            <w:tcMar>
              <w:top w:type="dxa" w:w="70"/>
              <w:left w:type="dxa" w:w="100"/>
              <w:bottom w:type="dxa" w:w="70"/>
              <w:right w:type="dxa" w:w="100"/>
            </w:tcMar>
            <w:vAlign w:val="center"/>
          </w:tcPr>
          <w:p>
            <w:pPr>
              <w:jc w:val="center"/>
            </w:pPr>
            <w:r>
              <w:rPr>
                <w:sz w:val="18"/>
                <w:szCs w:val="18"/>
              </w:rPr>
              <w:t xml:space="preserve">80</w:t>
            </w:r>
          </w:p>
        </w:tc>
        <w:tc>
          <w:tcPr>
            <w:tcW w:type="dxa" w:w="18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 — Grade XI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English-I</w:t>
            </w:r>
          </w:p>
        </w:tc>
        <w:tc>
          <w:tcPr>
            <w:tcW w:type="dxa" w:w="2360"/>
            <w:tcMar>
              <w:top w:type="dxa" w:w="70"/>
              <w:left w:type="dxa" w:w="100"/>
              <w:bottom w:type="dxa" w:w="70"/>
              <w:right w:type="dxa" w:w="100"/>
            </w:tcMar>
            <w:vAlign w:val="center"/>
          </w:tcPr>
          <w:p>
            <w:pPr>
              <w:jc w:val="center"/>
            </w:pPr>
            <w:r>
              <w:rPr>
                <w:sz w:val="18"/>
                <w:szCs w:val="18"/>
              </w:rPr>
              <w:t xml:space="preserve">100</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r>
        <w:br w:type="page"/>
      </w:r>
    </w:p>
    <w:p>
      <w:pPr>
        <w:pStyle w:val="Heading2"/>
        <w:spacing w:after="120" w:before="240"/>
      </w:pPr>
      <w:r>
        <w:rPr>
          <w:b/>
          <w:bCs/>
          <w:color w:val="2E3A59"/>
          <w:sz w:val="24"/>
          <w:szCs w:val="24"/>
        </w:rPr>
        <w:t xml:space="preserve">Grade XII (English-II)</w:t>
      </w:r>
    </w:p>
    <w:p>
      <w:pPr>
        <w:spacing w:after="160" w:line="276"/>
      </w:pPr>
      <w:r>
        <w:rPr>
          <w:b/>
          <w:bCs/>
          <w:color w:val="1A1A1A"/>
          <w:sz w:val="21"/>
          <w:szCs w:val="21"/>
        </w:rPr>
        <w:t xml:space="preserve">Table 3: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200"/>
            <w:tcMar>
              <w:top w:type="dxa" w:w="70"/>
              <w:left w:type="dxa" w:w="100"/>
              <w:bottom w:type="dxa" w:w="70"/>
              <w:right w:type="dxa" w:w="100"/>
            </w:tcMar>
            <w:vAlign w:val="center"/>
          </w:tcPr>
          <w:p>
            <w:pPr>
              <w:jc w:val="center"/>
            </w:pPr>
            <w:r>
              <w:rPr>
                <w:sz w:val="18"/>
                <w:szCs w:val="18"/>
              </w:rPr>
              <w:t xml:space="preserve">Reading Comprehension and Précis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200"/>
            <w:tcMar>
              <w:top w:type="dxa" w:w="70"/>
              <w:left w:type="dxa" w:w="100"/>
              <w:bottom w:type="dxa" w:w="70"/>
              <w:right w:type="dxa" w:w="100"/>
            </w:tcMar>
            <w:vAlign w:val="center"/>
          </w:tcPr>
          <w:p>
            <w:pPr>
              <w:jc w:val="center"/>
            </w:pPr>
            <w:r>
              <w:rPr>
                <w:sz w:val="18"/>
                <w:szCs w:val="18"/>
              </w:rPr>
              <w:t xml:space="preserve">Advanced Grammar and Sentence Transformation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200"/>
            <w:tcMar>
              <w:top w:type="dxa" w:w="70"/>
              <w:left w:type="dxa" w:w="100"/>
              <w:bottom w:type="dxa" w:w="70"/>
              <w:right w:type="dxa" w:w="100"/>
            </w:tcMar>
            <w:vAlign w:val="center"/>
          </w:tcPr>
          <w:p>
            <w:pPr>
              <w:jc w:val="center"/>
            </w:pPr>
            <w:r>
              <w:rPr>
                <w:sz w:val="18"/>
                <w:szCs w:val="18"/>
              </w:rPr>
              <w:t xml:space="preserve">Composition: Essay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200"/>
            <w:tcMar>
              <w:top w:type="dxa" w:w="70"/>
              <w:left w:type="dxa" w:w="100"/>
              <w:bottom w:type="dxa" w:w="70"/>
              <w:right w:type="dxa" w:w="100"/>
            </w:tcMar>
            <w:vAlign w:val="center"/>
          </w:tcPr>
          <w:p>
            <w:pPr>
              <w:jc w:val="center"/>
            </w:pPr>
            <w:r>
              <w:rPr>
                <w:sz w:val="18"/>
                <w:szCs w:val="18"/>
              </w:rPr>
              <w:t xml:space="preserve">Report and Business Correspondence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200"/>
            <w:tcMar>
              <w:top w:type="dxa" w:w="70"/>
              <w:left w:type="dxa" w:w="100"/>
              <w:bottom w:type="dxa" w:w="70"/>
              <w:right w:type="dxa" w:w="100"/>
            </w:tcMar>
            <w:vAlign w:val="center"/>
          </w:tcPr>
          <w:p>
            <w:pPr>
              <w:jc w:val="center"/>
            </w:pPr>
            <w:r>
              <w:rPr>
                <w:sz w:val="18"/>
                <w:szCs w:val="18"/>
              </w:rPr>
              <w:t xml:space="preserve">Translation and Applied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5</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900"/>
            <w:tcMar>
              <w:top w:type="dxa" w:w="70"/>
              <w:left w:type="dxa" w:w="100"/>
              <w:bottom w:type="dxa" w:w="70"/>
              <w:right w:type="dxa" w:w="100"/>
            </w:tcMar>
            <w:vAlign w:val="center"/>
          </w:tcPr>
          <w:p>
            <w:pPr>
              <w:jc w:val="center"/>
            </w:pPr>
            <w:r>
              <w:rPr>
                <w:sz w:val="18"/>
                <w:szCs w:val="18"/>
              </w:rPr>
              <w:t xml:space="preserve">15</w:t>
            </w:r>
          </w:p>
        </w:tc>
        <w:tc>
          <w:tcPr>
            <w:tcW w:type="dxa" w:w="1160"/>
            <w:tcMar>
              <w:top w:type="dxa" w:w="70"/>
              <w:left w:type="dxa" w:w="100"/>
              <w:bottom w:type="dxa" w:w="70"/>
              <w:right w:type="dxa" w:w="100"/>
            </w:tcMar>
            <w:vAlign w:val="center"/>
          </w:tcPr>
          <w:p>
            <w:pPr>
              <w:jc w:val="center"/>
            </w:pPr>
            <w:r>
              <w:rPr>
                <w:sz w:val="18"/>
                <w:szCs w:val="18"/>
              </w:rPr>
              <w:t xml:space="preserve">24</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21%</w:t>
            </w:r>
          </w:p>
        </w:tc>
        <w:tc>
          <w:tcPr>
            <w:tcW w:type="dxa" w:w="900"/>
            <w:tcMar>
              <w:top w:type="dxa" w:w="70"/>
              <w:left w:type="dxa" w:w="100"/>
              <w:bottom w:type="dxa" w:w="70"/>
              <w:right w:type="dxa" w:w="100"/>
            </w:tcMar>
            <w:vAlign w:val="center"/>
          </w:tcPr>
          <w:p>
            <w:pPr>
              <w:jc w:val="center"/>
            </w:pPr>
            <w:r>
              <w:rPr>
                <w:sz w:val="18"/>
                <w:szCs w:val="18"/>
              </w:rPr>
              <w:t xml:space="preserve">17%</w:t>
            </w:r>
          </w:p>
        </w:tc>
        <w:tc>
          <w:tcPr>
            <w:tcW w:type="dxa" w:w="900"/>
            <w:tcMar>
              <w:top w:type="dxa" w:w="70"/>
              <w:left w:type="dxa" w:w="100"/>
              <w:bottom w:type="dxa" w:w="70"/>
              <w:right w:type="dxa" w:w="100"/>
            </w:tcMar>
            <w:vAlign w:val="center"/>
          </w:tcPr>
          <w:p>
            <w:pPr>
              <w:jc w:val="center"/>
            </w:pPr>
            <w:r>
              <w:rPr>
                <w:sz w:val="18"/>
                <w:szCs w:val="18"/>
              </w:rPr>
              <w:t xml:space="preserve">63%</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4: Exam Specification — English-II — 100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Objective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Subjective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800"/>
            <w:tcMar>
              <w:top w:type="dxa" w:w="70"/>
              <w:left w:type="dxa" w:w="100"/>
              <w:bottom w:type="dxa" w:w="70"/>
              <w:right w:type="dxa" w:w="100"/>
            </w:tcMar>
            <w:vAlign w:val="center"/>
          </w:tcPr>
          <w:p>
            <w:pPr>
              <w:jc w:val="center"/>
            </w:pPr>
            <w:r>
              <w:rPr>
                <w:sz w:val="18"/>
                <w:szCs w:val="18"/>
              </w:rPr>
              <w:t xml:space="preserve">Reading Comprehension and Précis Writing</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17 (1 CRQ)</w:t>
            </w:r>
          </w:p>
        </w:tc>
        <w:tc>
          <w:tcPr>
            <w:tcW w:type="dxa" w:w="1860"/>
            <w:tcMar>
              <w:top w:type="dxa" w:w="70"/>
              <w:left w:type="dxa" w:w="100"/>
              <w:bottom w:type="dxa" w:w="70"/>
              <w:right w:type="dxa" w:w="100"/>
            </w:tcMar>
            <w:vAlign w:val="center"/>
          </w:tcPr>
          <w:p>
            <w:pPr>
              <w:jc w:val="center"/>
            </w:pPr>
            <w:r>
              <w:rPr>
                <w:sz w:val="18"/>
                <w:szCs w:val="18"/>
              </w:rPr>
              <w:t xml:space="preserve">25</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800"/>
            <w:tcMar>
              <w:top w:type="dxa" w:w="70"/>
              <w:left w:type="dxa" w:w="100"/>
              <w:bottom w:type="dxa" w:w="70"/>
              <w:right w:type="dxa" w:w="100"/>
            </w:tcMar>
            <w:vAlign w:val="center"/>
          </w:tcPr>
          <w:p>
            <w:pPr>
              <w:jc w:val="center"/>
            </w:pPr>
            <w:r>
              <w:rPr>
                <w:sz w:val="18"/>
                <w:szCs w:val="18"/>
              </w:rPr>
              <w:t xml:space="preserve">Advanced Grammar and Sentence Transformation</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800"/>
            <w:tcMar>
              <w:top w:type="dxa" w:w="70"/>
              <w:left w:type="dxa" w:w="100"/>
              <w:bottom w:type="dxa" w:w="70"/>
              <w:right w:type="dxa" w:w="100"/>
            </w:tcMar>
            <w:vAlign w:val="center"/>
          </w:tcPr>
          <w:p>
            <w:pPr>
              <w:jc w:val="center"/>
            </w:pPr>
            <w:r>
              <w:rPr>
                <w:sz w:val="18"/>
                <w:szCs w:val="18"/>
              </w:rPr>
              <w:t xml:space="preserve">Composition: Essay Writing</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25 (1 CRQ)</w:t>
            </w:r>
          </w:p>
        </w:tc>
        <w:tc>
          <w:tcPr>
            <w:tcW w:type="dxa" w:w="1860"/>
            <w:tcMar>
              <w:top w:type="dxa" w:w="70"/>
              <w:left w:type="dxa" w:w="100"/>
              <w:bottom w:type="dxa" w:w="70"/>
              <w:right w:type="dxa" w:w="100"/>
            </w:tcMar>
            <w:vAlign w:val="center"/>
          </w:tcPr>
          <w:p>
            <w:pPr>
              <w:jc w:val="center"/>
            </w:pPr>
            <w:r>
              <w:rPr>
                <w:sz w:val="18"/>
                <w:szCs w:val="18"/>
              </w:rPr>
              <w:t xml:space="preserve">25</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800"/>
            <w:tcMar>
              <w:top w:type="dxa" w:w="70"/>
              <w:left w:type="dxa" w:w="100"/>
              <w:bottom w:type="dxa" w:w="70"/>
              <w:right w:type="dxa" w:w="100"/>
            </w:tcMar>
            <w:vAlign w:val="center"/>
          </w:tcPr>
          <w:p>
            <w:pPr>
              <w:jc w:val="center"/>
            </w:pPr>
            <w:r>
              <w:rPr>
                <w:sz w:val="18"/>
                <w:szCs w:val="18"/>
              </w:rPr>
              <w:t xml:space="preserve">Report and Business Correspondence Writing</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15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800"/>
            <w:tcMar>
              <w:top w:type="dxa" w:w="70"/>
              <w:left w:type="dxa" w:w="100"/>
              <w:bottom w:type="dxa" w:w="70"/>
              <w:right w:type="dxa" w:w="100"/>
            </w:tcMar>
            <w:vAlign w:val="center"/>
          </w:tcPr>
          <w:p>
            <w:pPr>
              <w:jc w:val="center"/>
            </w:pPr>
            <w:r>
              <w:rPr>
                <w:sz w:val="18"/>
                <w:szCs w:val="18"/>
              </w:rPr>
              <w:t xml:space="preserve">Translation and Applied Writing</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20</w:t>
            </w:r>
          </w:p>
        </w:tc>
        <w:tc>
          <w:tcPr>
            <w:tcW w:type="dxa" w:w="2000"/>
            <w:tcMar>
              <w:top w:type="dxa" w:w="70"/>
              <w:left w:type="dxa" w:w="100"/>
              <w:bottom w:type="dxa" w:w="70"/>
              <w:right w:type="dxa" w:w="100"/>
            </w:tcMar>
            <w:vAlign w:val="center"/>
          </w:tcPr>
          <w:p>
            <w:pPr>
              <w:jc w:val="center"/>
            </w:pPr>
            <w:r>
              <w:rPr>
                <w:sz w:val="18"/>
                <w:szCs w:val="18"/>
              </w:rPr>
              <w:t xml:space="preserve">80</w:t>
            </w:r>
          </w:p>
        </w:tc>
        <w:tc>
          <w:tcPr>
            <w:tcW w:type="dxa" w:w="18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4A: Overall Marks Distribution — Grade XII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English-II</w:t>
            </w:r>
          </w:p>
        </w:tc>
        <w:tc>
          <w:tcPr>
            <w:tcW w:type="dxa" w:w="2360"/>
            <w:tcMar>
              <w:top w:type="dxa" w:w="70"/>
              <w:left w:type="dxa" w:w="100"/>
              <w:bottom w:type="dxa" w:w="70"/>
              <w:right w:type="dxa" w:w="100"/>
            </w:tcMar>
            <w:vAlign w:val="center"/>
          </w:tcPr>
          <w:p>
            <w:pPr>
              <w:jc w:val="center"/>
            </w:pPr>
            <w:r>
              <w:rPr>
                <w:sz w:val="18"/>
                <w:szCs w:val="18"/>
              </w:rPr>
              <w:t xml:space="preserve">100</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The Objective component consists of Multiple Choice Questions (MCQs), each carrying ONE mark, drawn primarily from Reading Comprehension, Grammar and Vocabulary.</w:t>
      </w:r>
    </w:p>
    <w:p>
      <w:pPr>
        <w:pStyle w:val="ListParagraph"/>
        <w:numPr>
          <w:ilvl w:val="0"/>
          <w:numId w:val="1"/>
        </w:numPr>
        <w:spacing w:after="80"/>
      </w:pPr>
      <w:r>
        <w:rPr>
          <w:sz w:val="21"/>
          <w:szCs w:val="21"/>
        </w:rPr>
        <w:t xml:space="preserve">The Subjective component consists of Constructed Response Questions (CRQs) requiring an extended written response, e.g. a comprehension answer, a précis, a letter, a report, an essay, or a translation, as appropriate to the SLO being assessed.</w:t>
      </w:r>
    </w:p>
    <w:p>
      <w:pPr>
        <w:pStyle w:val="ListParagraph"/>
        <w:numPr>
          <w:ilvl w:val="0"/>
          <w:numId w:val="1"/>
        </w:numPr>
        <w:spacing w:after="80"/>
      </w:pPr>
      <w:r>
        <w:rPr>
          <w:sz w:val="21"/>
          <w:szCs w:val="21"/>
        </w:rPr>
        <w:t xml:space="preserve">Each paper carries 100 marks, is of 3 hours' duration, and consists of Paper I (Objective) and Paper II (Subjective).</w:t>
      </w:r>
    </w:p>
    <w:p>
      <w:pPr>
        <w:pStyle w:val="ListParagraph"/>
        <w:numPr>
          <w:ilvl w:val="0"/>
          <w:numId w:val="1"/>
        </w:numPr>
        <w:spacing w:after="80"/>
      </w:pPr>
      <w:r>
        <w:rPr>
          <w:sz w:val="21"/>
          <w:szCs w:val="21"/>
        </w:rPr>
        <w:t xml:space="preserve">Unlike the science subjects examined by the Board, English has no Practical component: the 100 marks recorded against ‘English-I’ and ‘English-II’ on the Marks Certificate each represent a single Theory examination in full.</w:t>
      </w:r>
    </w:p>
    <w:p>
      <w:pPr>
        <w:pStyle w:val="ListParagraph"/>
        <w:numPr>
          <w:ilvl w:val="0"/>
          <w:numId w:val="1"/>
        </w:numPr>
        <w:spacing w:after="80"/>
      </w:pPr>
      <w:r>
        <w:rPr>
          <w:sz w:val="21"/>
          <w:szCs w:val="21"/>
        </w:rPr>
        <w:t xml:space="preserve">Tables 1 and 3 indicate the number and nature of SLOs in each topic and are provided as a guide to the construction of examination papers; they do not translate directly into marks. Emphasis has deliberately been placed on Application and other higher-order skills, i.e. genuine reading, writing and translation, to discourage the reproduction of memorised model answers.</w:t>
      </w:r>
    </w:p>
    <w:p>
      <w:pPr>
        <w:pStyle w:val="ListParagraph"/>
        <w:numPr>
          <w:ilvl w:val="0"/>
          <w:numId w:val="1"/>
        </w:numPr>
        <w:spacing w:after="80"/>
      </w:pPr>
      <w:r>
        <w:rPr>
          <w:sz w:val="21"/>
          <w:szCs w:val="21"/>
        </w:rPr>
        <w:t xml:space="preserve">Marks for an extended writing task (e.g. an essay, a letter or a report) are awarded for content, organisation, and language accuracy together; a technically correct answer that does not address the given task will not receive full credit.</w:t>
      </w:r>
    </w:p>
    <w:p>
      <w:r>
        <w:br w:type="page"/>
      </w:r>
    </w:p>
    <w:p>
      <w:pPr>
        <w:pStyle w:val="Heading1"/>
        <w:pBdr>
          <w:bottom w:val="single" w:color="6E2C3A" w:sz="6" w:space="4"/>
        </w:pBdr>
        <w:spacing w:after="200" w:before="300"/>
      </w:pPr>
      <w:r>
        <w:rPr>
          <w:b/>
          <w:bCs/>
          <w:color w:val="6E2C3A"/>
          <w:sz w:val="30"/>
          <w:szCs w:val="30"/>
        </w:rPr>
        <w:t xml:space="preserve">Academic Integrity</w:t>
      </w:r>
    </w:p>
    <w:p>
      <w:pPr>
        <w:spacing w:after="160" w:line="276"/>
      </w:pPr>
      <w:r>
        <w:rPr>
          <w:color w:val="1A1A1A"/>
          <w:sz w:val="21"/>
          <w:szCs w:val="21"/>
        </w:rPr>
        <w:t xml:space="preserve">All work submitted for assessment in English — whether a comprehension answer, a piece of original writing, or a translation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Original Writing</w:t>
      </w:r>
    </w:p>
    <w:p>
      <w:pPr>
        <w:spacing w:after="160" w:line="276"/>
      </w:pPr>
      <w:r>
        <w:rPr>
          <w:color w:val="1A1A1A"/>
          <w:sz w:val="21"/>
          <w:szCs w:val="21"/>
        </w:rPr>
        <w:t xml:space="preserve">Students are encouraged to discuss ideas, structure and vocabulary choices with their peers and teachers while preparing for an assessment, and to consult the prescribed textbook and other reputable resources to build their skills. However, reproducing a memorised model essay, letter or answer word-for-word in place of an original response to the specific question asked is a serious violation of academic integrity, even where the source of that model was a textbook or a teacher's own notes.</w:t>
      </w:r>
    </w:p>
    <w:p>
      <w:pPr>
        <w:pStyle w:val="Heading2"/>
        <w:spacing w:after="120" w:before="240"/>
      </w:pPr>
      <w:r>
        <w:rPr>
          <w:b/>
          <w:bCs/>
          <w:color w:val="2E3A59"/>
          <w:sz w:val="24"/>
          <w:szCs w:val="24"/>
        </w:rPr>
        <w:t xml:space="preserve">Use of Translation and Writing Tools</w:t>
      </w:r>
    </w:p>
    <w:p>
      <w:pPr>
        <w:spacing w:after="160" w:line="276"/>
      </w:pPr>
      <w:r>
        <w:rPr>
          <w:color w:val="1A1A1A"/>
          <w:sz w:val="21"/>
          <w:szCs w:val="21"/>
        </w:rPr>
        <w:t xml:space="preserve">Where a task requires a student's own translation or composition, submitting output generated by a machine-translation service or any other automated writing tool in place of the student's own work is a serious violation of academic integrity. A student should be able to explain and justify any word choice or construction in their own writing or translation if asked to do so by an examiner or teacher.</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English syllabus, including the subject specialists, affiliated-school teachers, and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English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2026-08-04T23:29:13.817Z</dcterms:created>
  <dcterms:modified xsi:type="dcterms:W3CDTF">2026-08-04T23:29:13.817Z</dcterms:modified>
</cp:coreProperties>
</file>

<file path=docProps/custom.xml><?xml version="1.0" encoding="utf-8"?>
<Properties xmlns="http://schemas.openxmlformats.org/officeDocument/2006/custom-properties" xmlns:vt="http://schemas.openxmlformats.org/officeDocument/2006/docPropsVTypes"/>
</file>