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b/>
          <w:bCs/>
          <w:color w:val="6E2C3A"/>
          <w:sz w:val="26"/>
          <w:szCs w:val="26"/>
        </w:rPr>
        <w:t xml:space="preserve">BOARD OF INTERMEDIATE &amp; SECONDARY EDUCATION, LARKANO</w:t>
      </w:r>
    </w:p>
    <w:p>
      <w:pPr>
        <w:spacing w:after="500"/>
        <w:jc w:val="center"/>
      </w:pPr>
      <w:r>
        <w:rPr>
          <w:i/>
          <w:iCs/>
          <w:color w:val="595959"/>
          <w:sz w:val="18"/>
          <w:szCs w:val="18"/>
        </w:rPr>
        <w:t xml:space="preserve">Established to serve affiliated schools and colleges across the Larkano region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2E3A59" w:val="clear"/>
            <w:tcMar>
              <w:top w:type="dxa" w:w="400"/>
              <w:left w:type="dxa" w:w="400"/>
              <w:bottom w:type="dxa" w:w="400"/>
              <w:right w:type="dxa" w:w="400"/>
            </w:tcMar>
            <w:vAlign w:val="center"/>
          </w:tcPr>
          <w:p>
            <w:pPr>
              <w:spacing w:after="80"/>
              <w:jc w:val="center"/>
            </w:pPr>
            <w:r>
              <w:rPr>
                <w:color w:val="FFFFFF"/>
                <w:sz w:val="24"/>
                <w:szCs w:val="24"/>
              </w:rPr>
              <w:t xml:space="preserve">Higher Secondary School Certificate</w:t>
            </w:r>
          </w:p>
          <w:p>
            <w:pPr>
              <w:spacing w:after="300"/>
              <w:jc w:val="center"/>
            </w:pPr>
            <w:r>
              <w:rPr>
                <w:color w:val="FFFFFF"/>
                <w:sz w:val="24"/>
                <w:szCs w:val="24"/>
              </w:rPr>
              <w:t xml:space="preserve">Examination Syllabus</w:t>
            </w:r>
          </w:p>
          <w:p>
            <w:pPr>
              <w:spacing w:after="200"/>
              <w:jc w:val="center"/>
            </w:pPr>
            <w:r>
              <w:rPr>
                <w:b/>
                <w:bCs/>
                <w:color w:val="FFFFFF"/>
                <w:sz w:val="52"/>
                <w:szCs w:val="52"/>
              </w:rPr>
              <w:t xml:space="preserve">ISLAMIAT</w:t>
            </w:r>
          </w:p>
          <w:p>
            <w:pPr>
              <w:spacing w:after="0"/>
              <w:jc w:val="center"/>
            </w:pPr>
            <w:r>
              <w:rPr>
                <w:color w:val="FFFFFF"/>
                <w:sz w:val="26"/>
                <w:szCs w:val="26"/>
              </w:rPr>
              <w:t xml:space="preserve">Grade XI</w:t>
            </w:r>
          </w:p>
        </w:tc>
      </w:tr>
    </w:tbl>
    <w:p>
      <w:pPr>
        <w:spacing w:after="40" w:before="1400"/>
      </w:pPr>
      <w:r>
        <w:rPr>
          <w:color w:val="595959"/>
          <w:sz w:val="19"/>
          <w:szCs w:val="19"/>
        </w:rPr>
        <w:t xml:space="preserve">This syllabus will be examined in both Annual and Re-sit Examination sessions</w:t>
      </w:r>
    </w:p>
    <w:p>
      <w:pPr>
        <w:spacing w:after="600"/>
      </w:pPr>
      <w:r>
        <w:rPr>
          <w:color w:val="595959"/>
          <w:sz w:val="19"/>
          <w:szCs w:val="19"/>
        </w:rPr>
        <w:t xml:space="preserve">beginning with the Annual Examinations 2023.</w:t>
      </w:r>
    </w:p>
    <w:p>
      <w:pPr>
        <w:spacing w:after="40"/>
      </w:pPr>
      <w:r>
        <w:rPr>
          <w:b/>
          <w:bCs/>
          <w:sz w:val="19"/>
          <w:szCs w:val="19"/>
        </w:rPr>
        <w:t xml:space="preserve">Published by</w:t>
      </w:r>
    </w:p>
    <w:p>
      <w:pPr>
        <w:spacing w:after="4"/>
      </w:pPr>
      <w:r>
        <w:rPr>
          <w:sz w:val="19"/>
          <w:szCs w:val="19"/>
        </w:rPr>
        <w:t xml:space="preserve">Board of Intermediate &amp; Secondary Education, Larkano</w:t>
      </w:r>
    </w:p>
    <w:p>
      <w:pPr>
        <w:spacing w:after="4"/>
      </w:pPr>
      <w:r>
        <w:rPr>
          <w:sz w:val="19"/>
          <w:szCs w:val="19"/>
        </w:rPr>
        <w:t xml:space="preserve">Curriculum &amp; Examination Development Unit</w:t>
      </w:r>
    </w:p>
    <w:p>
      <w:pPr>
        <w:spacing w:after="4"/>
      </w:pPr>
      <w:r>
        <w:rPr>
          <w:sz w:val="19"/>
          <w:szCs w:val="19"/>
        </w:rPr>
        <w:t xml:space="preserve">Larkano, Sindh, Pakistan</w:t>
      </w:r>
    </w:p>
    <w:p>
      <w:pPr>
        <w:spacing w:after="300"/>
      </w:pPr>
      <w:r>
        <w:rPr>
          <w:sz w:val="19"/>
          <w:szCs w:val="19"/>
        </w:rPr>
        <w:t xml:space="preserve">Latest revision: 2023</w:t>
      </w:r>
    </w:p>
    <w:p>
      <w:pPr>
        <w:spacing w:after="4"/>
      </w:pPr>
      <w:r>
        <w:rPr>
          <w:color w:val="595959"/>
          <w:sz w:val="17"/>
          <w:szCs w:val="17"/>
        </w:rPr>
        <w:t xml:space="preserve">© Board of Intermediate &amp; Secondary Education, Larkano, 2023</w:t>
      </w:r>
    </w:p>
    <w:p>
      <w:pPr>
        <w:spacing w:after="4"/>
      </w:pPr>
      <w:r>
        <w:rPr>
          <w:color w:val="595959"/>
          <w:sz w:val="17"/>
          <w:szCs w:val="17"/>
        </w:rPr>
        <w:t xml:space="preserve">All rights and entitlements reserved. This syllabus is developed by BISE Larkano for distribution</w:t>
      </w:r>
    </w:p>
    <w:p>
      <w:pPr>
        <w:spacing w:after="0"/>
      </w:pPr>
      <w:r>
        <w:rPr>
          <w:color w:val="595959"/>
          <w:sz w:val="17"/>
          <w:szCs w:val="17"/>
        </w:rPr>
        <w:t xml:space="preserve">to its affiliated schools and colleges only, and may not be reproduced without prior written permission.</w:t>
      </w:r>
    </w:p>
    <w:p>
      <w:r>
        <w:br w:type="page"/>
      </w:r>
    </w:p>
    <w:p>
      <w:pPr>
        <w:pStyle w:val="Heading1"/>
        <w:pBdr>
          <w:bottom w:val="single" w:color="6E2C3A" w:sz="6" w:space="4"/>
        </w:pBdr>
        <w:spacing w:after="200" w:before="300"/>
      </w:pPr>
      <w:r>
        <w:rPr>
          <w:b/>
          <w:bCs/>
          <w:color w:val="6E2C3A"/>
          <w:sz w:val="30"/>
          <w:szCs w:val="30"/>
        </w:rPr>
        <w:t xml:space="preserve">Table of Contents</w:t>
      </w:r>
    </w:p>
    <w:p>
      <w:pPr>
        <w:tabs>
          <w:tab w:val="right" w:pos="9026" w:leader="dot"/>
        </w:tabs>
        <w:spacing w:after="120"/>
      </w:pPr>
      <w:r>
        <w:rPr>
          <w:sz w:val="21"/>
          <w:szCs w:val="21"/>
        </w:rPr>
        <w:t xml:space="preserve">Preface</w:t>
      </w:r>
      <w:r>
        <w:rPr>
          <w:sz w:val="21"/>
          <w:szCs w:val="21"/>
        </w:rPr>
        <w:t xml:space="preserve">	3</w:t>
      </w:r>
    </w:p>
    <w:p>
      <w:pPr>
        <w:tabs>
          <w:tab w:val="right" w:pos="9026" w:leader="dot"/>
        </w:tabs>
        <w:spacing w:after="120"/>
      </w:pPr>
      <w:r>
        <w:rPr>
          <w:sz w:val="21"/>
          <w:szCs w:val="21"/>
        </w:rPr>
        <w:t xml:space="preserve">Understanding of BISE Larkano Syllabi</w:t>
      </w:r>
      <w:r>
        <w:rPr>
          <w:sz w:val="21"/>
          <w:szCs w:val="21"/>
        </w:rPr>
        <w:t xml:space="preserve">	4</w:t>
      </w:r>
    </w:p>
    <w:p>
      <w:pPr>
        <w:tabs>
          <w:tab w:val="right" w:pos="9026" w:leader="dot"/>
        </w:tabs>
        <w:spacing w:after="120"/>
      </w:pPr>
      <w:r>
        <w:rPr>
          <w:sz w:val="21"/>
          <w:szCs w:val="21"/>
        </w:rPr>
        <w:t xml:space="preserve">Subject Rationale</w:t>
      </w:r>
      <w:r>
        <w:rPr>
          <w:sz w:val="21"/>
          <w:szCs w:val="21"/>
        </w:rPr>
        <w:t xml:space="preserve">	5</w:t>
      </w:r>
    </w:p>
    <w:p>
      <w:pPr>
        <w:tabs>
          <w:tab w:val="right" w:pos="9026" w:leader="dot"/>
        </w:tabs>
        <w:spacing w:after="120"/>
      </w:pPr>
      <w:r>
        <w:rPr>
          <w:sz w:val="21"/>
          <w:szCs w:val="21"/>
        </w:rPr>
        <w:t xml:space="preserve">Concept Map</w:t>
      </w:r>
      <w:r>
        <w:rPr>
          <w:sz w:val="21"/>
          <w:szCs w:val="21"/>
        </w:rPr>
        <w:t xml:space="preserve">	6</w:t>
      </w:r>
    </w:p>
    <w:p>
      <w:pPr>
        <w:tabs>
          <w:tab w:val="right" w:pos="9026" w:leader="dot"/>
        </w:tabs>
        <w:spacing w:after="120"/>
      </w:pPr>
      <w:r>
        <w:rPr>
          <w:sz w:val="21"/>
          <w:szCs w:val="21"/>
        </w:rPr>
        <w:t xml:space="preserve">Student Learning Outcomes</w:t>
      </w:r>
      <w:r>
        <w:rPr>
          <w:sz w:val="21"/>
          <w:szCs w:val="21"/>
        </w:rPr>
        <w:t xml:space="preserve">	7</w:t>
      </w:r>
    </w:p>
    <w:p>
      <w:pPr>
        <w:tabs>
          <w:tab w:val="right" w:pos="9026" w:leader="dot"/>
        </w:tabs>
        <w:spacing w:after="120"/>
      </w:pPr>
      <w:r>
        <w:rPr>
          <w:sz w:val="21"/>
          <w:szCs w:val="21"/>
        </w:rPr>
        <w:t xml:space="preserve">Scheme of Assessment</w:t>
      </w:r>
      <w:r>
        <w:rPr>
          <w:sz w:val="21"/>
          <w:szCs w:val="21"/>
        </w:rPr>
        <w:t xml:space="preserve">	9</w:t>
      </w:r>
    </w:p>
    <w:p>
      <w:pPr>
        <w:tabs>
          <w:tab w:val="right" w:pos="9026" w:leader="dot"/>
        </w:tabs>
        <w:spacing w:after="120"/>
      </w:pPr>
      <w:r>
        <w:rPr>
          <w:sz w:val="21"/>
          <w:szCs w:val="21"/>
        </w:rPr>
        <w:t xml:space="preserve">Academic Integrity</w:t>
      </w:r>
      <w:r>
        <w:rPr>
          <w:sz w:val="21"/>
          <w:szCs w:val="21"/>
        </w:rPr>
        <w:t xml:space="preserve">	11</w:t>
      </w:r>
    </w:p>
    <w:p>
      <w:pPr>
        <w:tabs>
          <w:tab w:val="right" w:pos="9026" w:leader="dot"/>
        </w:tabs>
        <w:spacing w:after="120"/>
      </w:pPr>
      <w:r>
        <w:rPr>
          <w:sz w:val="21"/>
          <w:szCs w:val="21"/>
        </w:rPr>
        <w:t xml:space="preserve">Acknowledgements</w:t>
      </w:r>
      <w:r>
        <w:rPr>
          <w:sz w:val="21"/>
          <w:szCs w:val="21"/>
        </w:rPr>
        <w:t xml:space="preserve">	12</w:t>
      </w:r>
    </w:p>
    <w:p>
      <w:r>
        <w:br w:type="page"/>
      </w:r>
    </w:p>
    <w:p>
      <w:pPr>
        <w:pStyle w:val="Heading1"/>
        <w:pBdr>
          <w:bottom w:val="single" w:color="6E2C3A" w:sz="6" w:space="4"/>
        </w:pBdr>
        <w:spacing w:after="200" w:before="300"/>
      </w:pPr>
      <w:r>
        <w:rPr>
          <w:b/>
          <w:bCs/>
          <w:color w:val="6E2C3A"/>
          <w:sz w:val="30"/>
          <w:szCs w:val="30"/>
        </w:rPr>
        <w:t xml:space="preserve">Preface</w:t>
      </w:r>
    </w:p>
    <w:p>
      <w:pPr>
        <w:spacing w:after="160" w:line="276"/>
      </w:pPr>
      <w:r>
        <w:rPr>
          <w:color w:val="1A1A1A"/>
          <w:sz w:val="21"/>
          <w:szCs w:val="21"/>
        </w:rPr>
        <w:t xml:space="preserve">The Board of Intermediate &amp; Secondary Education, Larkano (BISE Larkano) is a public examination body responsible for the conduct of Secondary School Certificate (SSC) and Higher Secondary School Certificate (HSSC) examinations for its affiliated schools and colleges. The Board is committed to developing examination syllabi that promote informed understanding and reflective engagement with the subject matter, and that remain aligned with the national curriculum.</w:t>
      </w:r>
    </w:p>
    <w:p>
      <w:pPr>
        <w:spacing w:after="160" w:line="276"/>
      </w:pPr>
      <w:r>
        <w:rPr>
          <w:color w:val="1A1A1A"/>
          <w:sz w:val="21"/>
          <w:szCs w:val="21"/>
        </w:rPr>
        <w:t xml:space="preserve">This document sets out the syllabus for Islamiat at the HSSC level (Grade XI). It has been developed in recognition of the subject's role in building a well-informed understanding of the sources, beliefs, history and ethical teachings of Islam — knowledge and reflection expected of every Muslim graduate of an affiliated institution, regardless of their chosen field of further study.</w:t>
      </w:r>
    </w:p>
    <w:p>
      <w:pPr>
        <w:spacing w:after="160" w:line="276"/>
      </w:pPr>
      <w:r>
        <w:rPr>
          <w:color w:val="1A1A1A"/>
          <w:sz w:val="21"/>
          <w:szCs w:val="21"/>
        </w:rPr>
        <w:t xml:space="preserve">The syllabus was developed following consultation with subject specialists, teachers of affiliated institutions, and reviewers with expertise in the teaching of Islamic Studies, and reflects a deliberate effort to move examination preparation away from rote memorisation and toward informed explanation, reflection and the accurate citation of source material.</w:t>
      </w:r>
    </w:p>
    <w:p>
      <w:pPr>
        <w:spacing w:after="160" w:line="276"/>
      </w:pPr>
      <w:r>
        <w:rPr>
          <w:color w:val="1A1A1A"/>
          <w:sz w:val="21"/>
          <w:szCs w:val="21"/>
        </w:rPr>
        <w:t xml:space="preserve">We are confident that this syllabus will support teachers and students of affiliated institutions in building a well-informed and reflective understanding of Islam, and we wish every success to those who study and teach it.</w:t>
      </w:r>
    </w:p>
    <w:p>
      <w:pPr>
        <w:spacing w:after="40" w:before="400"/>
      </w:pPr>
      <w:r>
        <w:rPr>
          <w:b/>
          <w:bCs/>
          <w:sz w:val="21"/>
          <w:szCs w:val="21"/>
        </w:rPr>
        <w:t xml:space="preserve">Controller of Examinations</w:t>
      </w:r>
    </w:p>
    <w:p>
      <w:pPr>
        <w:spacing w:after="4"/>
      </w:pPr>
      <w:r>
        <w:rPr>
          <w:color w:val="595959"/>
          <w:sz w:val="19"/>
          <w:szCs w:val="19"/>
        </w:rPr>
        <w:t xml:space="preserve">Board of Intermediate &amp; Secondary Education, Larkano</w:t>
      </w:r>
    </w:p>
    <w:p>
      <w:r>
        <w:br w:type="page"/>
      </w:r>
    </w:p>
    <w:p>
      <w:pPr>
        <w:pStyle w:val="Heading1"/>
        <w:pBdr>
          <w:bottom w:val="single" w:color="6E2C3A" w:sz="6" w:space="4"/>
        </w:pBdr>
        <w:spacing w:after="200" w:before="300"/>
      </w:pPr>
      <w:r>
        <w:rPr>
          <w:b/>
          <w:bCs/>
          <w:color w:val="6E2C3A"/>
          <w:sz w:val="30"/>
          <w:szCs w:val="30"/>
        </w:rPr>
        <w:t xml:space="preserve">Understanding of BISE Larkano Syllabi</w:t>
      </w:r>
    </w:p>
    <w:p>
      <w:pPr>
        <w:spacing w:after="120"/>
      </w:pPr>
      <w:r>
        <w:rPr>
          <w:b/>
          <w:bCs/>
          <w:sz w:val="21"/>
          <w:szCs w:val="21"/>
        </w:rPr>
        <w:t xml:space="preserve">1. </w:t>
      </w:r>
      <w:r>
        <w:rPr>
          <w:sz w:val="21"/>
          <w:szCs w:val="21"/>
        </w:rPr>
        <w:t xml:space="preserve">The BISE Larkano syllabi guide students, teachers, parents and other stakeholders regarding the topics that will be taught and examined in each grade. In each syllabus document, the content progresses from simple to complex, facilitating gradual, reflective learning.</w:t>
      </w:r>
    </w:p>
    <w:p>
      <w:pPr>
        <w:spacing w:after="120"/>
      </w:pPr>
      <w:r>
        <w:rPr>
          <w:b/>
          <w:bCs/>
          <w:sz w:val="21"/>
          <w:szCs w:val="21"/>
        </w:rPr>
        <w:t xml:space="preserve">2. </w:t>
      </w:r>
      <w:r>
        <w:rPr>
          <w:sz w:val="21"/>
          <w:szCs w:val="21"/>
        </w:rPr>
        <w:t xml:space="preserve">The topics of each syllabus are divided into sub-topics and Student Learning Outcomes (SLOs). The sub-topics and SLOs define the depth and breadth at which each topic will be taught, learnt and examined.</w:t>
      </w:r>
    </w:p>
    <w:p>
      <w:pPr>
        <w:spacing w:after="120"/>
      </w:pPr>
      <w:r>
        <w:rPr>
          <w:b/>
          <w:bCs/>
          <w:sz w:val="21"/>
          <w:szCs w:val="21"/>
        </w:rPr>
        <w:t xml:space="preserve">3. </w:t>
      </w:r>
      <w:r>
        <w:rPr>
          <w:sz w:val="21"/>
          <w:szCs w:val="21"/>
        </w:rPr>
        <w:t xml:space="preserve">Each SLO begins with an achievable, assessable command word such as ‘describe’, ‘explain’, ‘translate’ or ‘evaluate’. Examination questions are framed using the same command words, or their equivalents, to elicit evidence of these competencies in students’ responses.</w:t>
      </w:r>
    </w:p>
    <w:p>
      <w:pPr>
        <w:spacing w:after="120"/>
      </w:pPr>
      <w:r>
        <w:rPr>
          <w:b/>
          <w:bCs/>
          <w:sz w:val="21"/>
          <w:szCs w:val="21"/>
        </w:rPr>
        <w:t xml:space="preserve">4. </w:t>
      </w:r>
      <w:r>
        <w:rPr>
          <w:sz w:val="21"/>
          <w:szCs w:val="21"/>
        </w:rPr>
        <w:t xml:space="preserve">The SLOs are classified under three cognitive levels: Knowledge (K), Understanding (U), and Application and other higher-order skills (A), to support effective planning by teachers and the balanced construction of examination papers.</w:t>
      </w:r>
    </w:p>
    <w:p>
      <w:pPr>
        <w:spacing w:after="120"/>
      </w:pPr>
      <w:r>
        <w:rPr>
          <w:b/>
          <w:bCs/>
          <w:sz w:val="21"/>
          <w:szCs w:val="21"/>
        </w:rPr>
        <w:t xml:space="preserve">5. </w:t>
      </w:r>
      <w:r>
        <w:rPr>
          <w:sz w:val="21"/>
          <w:szCs w:val="21"/>
        </w:rPr>
        <w:t xml:space="preserve">By focusing on the achievement of SLOs rather than on the reproduction of memorised text, this syllabus aims to encourage students to explain the meaning and relevance of a teaching, to reflect on its application to daily life, and to communicate their understanding clearly — skills that extend well beyond a single assignment or examination.</w:t>
      </w:r>
    </w:p>
    <w:p>
      <w:pPr>
        <w:spacing w:after="120"/>
      </w:pPr>
      <w:r>
        <w:rPr>
          <w:b/>
          <w:bCs/>
          <w:sz w:val="21"/>
          <w:szCs w:val="21"/>
        </w:rPr>
        <w:t xml:space="preserve">6. </w:t>
      </w:r>
      <w:r>
        <w:rPr>
          <w:sz w:val="21"/>
          <w:szCs w:val="21"/>
        </w:rPr>
        <w:t xml:space="preserve">While the syllabus recommends locally available textbooks and resources for achieving these outcomes, teachers and students are encouraged to draw on multiple teaching and learning resources, and to cite the Holy Quran, Hadith and other source material accurately in any answer submitted for assessment.</w:t>
      </w:r>
    </w:p>
    <w:p>
      <w:r>
        <w:br w:type="page"/>
      </w:r>
    </w:p>
    <w:p>
      <w:pPr>
        <w:pStyle w:val="Heading1"/>
        <w:pBdr>
          <w:bottom w:val="single" w:color="6E2C3A" w:sz="6" w:space="4"/>
        </w:pBdr>
        <w:spacing w:after="200" w:before="300"/>
      </w:pPr>
      <w:r>
        <w:rPr>
          <w:b/>
          <w:bCs/>
          <w:color w:val="6E2C3A"/>
          <w:sz w:val="30"/>
          <w:szCs w:val="30"/>
        </w:rPr>
        <w:t xml:space="preserve">Subject Rationale of Islamiat</w:t>
      </w:r>
    </w:p>
    <w:p>
      <w:pPr>
        <w:pStyle w:val="Heading2"/>
        <w:spacing w:after="120" w:before="240"/>
      </w:pPr>
      <w:r>
        <w:rPr>
          <w:b/>
          <w:bCs/>
          <w:color w:val="2E3A59"/>
          <w:sz w:val="24"/>
          <w:szCs w:val="24"/>
        </w:rPr>
        <w:t xml:space="preserve">What will you learn in Islamiat?</w:t>
      </w:r>
    </w:p>
    <w:p>
      <w:pPr>
        <w:spacing w:after="160" w:line="276"/>
      </w:pPr>
      <w:r>
        <w:rPr>
          <w:color w:val="1A1A1A"/>
          <w:sz w:val="21"/>
          <w:szCs w:val="21"/>
        </w:rPr>
        <w:t xml:space="preserve">Islamiat is the study of the fundamental sources, beliefs, history and ethical teachings of Islam. This syllabus teaches students to recite and understand selected verses of the Holy Quran, to trace the life and teachings of the Holy Prophet (صلى الله عليه وسلم), to explain the beliefs and acts of worship that structure Muslim life, and to reflect on the history and ethical teachings of Islam.</w:t>
      </w:r>
    </w:p>
    <w:p>
      <w:pPr>
        <w:spacing w:after="160" w:line="276"/>
      </w:pPr>
      <w:r>
        <w:rPr>
          <w:color w:val="1A1A1A"/>
          <w:sz w:val="21"/>
          <w:szCs w:val="21"/>
        </w:rPr>
        <w:t xml:space="preserve">Many students who can recall a verse or an event have not yet learned to explain its significance — to relate a Quranic teaching to a situation in everyday life, to evaluate the leadership of a historical figure, or to apply an ethical teaching to a contemporary issue. This syllabus addresses that gap directly. Students will study the Holy Quran, the Seerah of the Holy Prophet, the articles of faith and pillars of Islam, Islamic history, and Islamic teachings on society and ethics.</w:t>
      </w:r>
    </w:p>
    <w:p>
      <w:pPr>
        <w:spacing w:after="160" w:line="276"/>
      </w:pPr>
      <w:r>
        <w:rPr>
          <w:color w:val="1A1A1A"/>
          <w:sz w:val="21"/>
          <w:szCs w:val="21"/>
        </w:rPr>
        <w:t xml:space="preserve">Throughout, the syllabus emphasises informed explanation and reflection — in the examination room and in daily life — rather than the recall of isolated facts.</w:t>
      </w:r>
    </w:p>
    <w:p>
      <w:pPr>
        <w:pStyle w:val="Heading2"/>
        <w:spacing w:after="120" w:before="240"/>
      </w:pPr>
      <w:r>
        <w:rPr>
          <w:b/>
          <w:bCs/>
          <w:color w:val="2E3A59"/>
          <w:sz w:val="24"/>
          <w:szCs w:val="24"/>
        </w:rPr>
        <w:t xml:space="preserve">Why does every student study this subject?</w:t>
      </w:r>
    </w:p>
    <w:p>
      <w:pPr>
        <w:spacing w:after="160" w:line="276"/>
      </w:pPr>
      <w:r>
        <w:rPr>
          <w:color w:val="1A1A1A"/>
          <w:sz w:val="21"/>
          <w:szCs w:val="21"/>
        </w:rPr>
        <w:t xml:space="preserve">Islamiat is a compulsory subject for Muslim candidates at affiliated institutions, regardless of their chosen group of study; in accordance with national policy, non-Muslim candidates may offer an alternative subject in its place. It provides the shared religious and ethical grounding expected of a Muslim graduate, and complements each student's specialised subjects with a reflective understanding of their faith.</w:t>
      </w:r>
    </w:p>
    <w:p>
      <w:pPr>
        <w:pStyle w:val="Heading2"/>
        <w:spacing w:after="120" w:before="240"/>
      </w:pPr>
      <w:r>
        <w:rPr>
          <w:b/>
          <w:bCs/>
          <w:color w:val="2E3A59"/>
          <w:sz w:val="24"/>
          <w:szCs w:val="24"/>
        </w:rPr>
        <w:t xml:space="preserve">How to approach the syllabus?</w:t>
      </w:r>
    </w:p>
    <w:p>
      <w:pPr>
        <w:spacing w:after="160" w:line="276"/>
      </w:pPr>
      <w:r>
        <w:rPr>
          <w:color w:val="1A1A1A"/>
          <w:sz w:val="21"/>
          <w:szCs w:val="21"/>
        </w:rPr>
        <w:t xml:space="preserve">The concept map on the following page gives an overview of the entire syllabus. The topics and Student Learning Outcomes guide what has to be achieved, and the Scheme of Assessment explains how each topic will be weighted and examined.</w:t>
      </w:r>
    </w:p>
    <w:p>
      <w:r>
        <w:br w:type="page"/>
      </w:r>
    </w:p>
    <w:p>
      <w:pPr>
        <w:pStyle w:val="Heading1"/>
        <w:pBdr>
          <w:bottom w:val="single" w:color="6E2C3A" w:sz="6" w:space="4"/>
        </w:pBdr>
        <w:spacing w:after="200" w:before="300"/>
      </w:pPr>
      <w:r>
        <w:rPr>
          <w:b/>
          <w:bCs/>
          <w:color w:val="6E2C3A"/>
          <w:sz w:val="30"/>
          <w:szCs w:val="30"/>
        </w:rPr>
        <w:t xml:space="preserve">Concept Map</w:t>
      </w:r>
    </w:p>
    <w:p>
      <w:pPr>
        <w:spacing w:after="160" w:line="276"/>
      </w:pPr>
      <w:r>
        <w:rPr>
          <w:color w:val="1A1A1A"/>
          <w:sz w:val="21"/>
          <w:szCs w:val="21"/>
        </w:rPr>
        <w:t xml:space="preserve">The concept map below organises the syllabus into four connected strands, all resting on a foundation of Reflection on the Quran and Sunnah — the source material from which every other strand of this syllabus draws its teachings.</w:t>
      </w:r>
    </w:p>
    <w:p>
      <w:pPr>
        <w:pStyle w:val="Heading2"/>
        <w:spacing w:after="120" w:before="240"/>
      </w:pPr>
      <w:r>
        <w:rPr>
          <w:b/>
          <w:bCs/>
          <w:color w:val="2E3A59"/>
          <w:sz w:val="24"/>
          <w:szCs w:val="24"/>
        </w:rPr>
        <w:t xml:space="preserve">Quranic Studies</w:t>
      </w:r>
    </w:p>
    <w:p>
      <w:pPr>
        <w:pStyle w:val="ListParagraph"/>
        <w:numPr>
          <w:ilvl w:val="0"/>
          <w:numId w:val="1"/>
        </w:numPr>
        <w:spacing w:after="80"/>
      </w:pPr>
      <w:r>
        <w:rPr>
          <w:sz w:val="21"/>
          <w:szCs w:val="21"/>
        </w:rPr>
        <w:t xml:space="preserve">Selected Verses and their Translation</w:t>
      </w:r>
    </w:p>
    <w:p>
      <w:pPr>
        <w:pStyle w:val="ListParagraph"/>
        <w:numPr>
          <w:ilvl w:val="0"/>
          <w:numId w:val="1"/>
        </w:numPr>
        <w:spacing w:after="80"/>
      </w:pPr>
      <w:r>
        <w:rPr>
          <w:sz w:val="21"/>
          <w:szCs w:val="21"/>
        </w:rPr>
        <w:t xml:space="preserve">Central Themes of the Holy Quran</w:t>
      </w:r>
    </w:p>
    <w:p>
      <w:pPr>
        <w:pStyle w:val="ListParagraph"/>
        <w:numPr>
          <w:ilvl w:val="0"/>
          <w:numId w:val="1"/>
        </w:numPr>
        <w:spacing w:after="80"/>
      </w:pPr>
      <w:r>
        <w:rPr>
          <w:sz w:val="21"/>
          <w:szCs w:val="21"/>
        </w:rPr>
        <w:t xml:space="preserve">Application of Quranic Teachings to Daily Life</w:t>
      </w:r>
    </w:p>
    <w:p>
      <w:pPr>
        <w:pStyle w:val="Heading2"/>
        <w:spacing w:after="120" w:before="240"/>
      </w:pPr>
      <w:r>
        <w:rPr>
          <w:b/>
          <w:bCs/>
          <w:color w:val="2E3A59"/>
          <w:sz w:val="24"/>
          <w:szCs w:val="24"/>
        </w:rPr>
        <w:t xml:space="preserve">Seerah of the Holy Prophet</w:t>
      </w:r>
    </w:p>
    <w:p>
      <w:pPr>
        <w:pStyle w:val="ListParagraph"/>
        <w:numPr>
          <w:ilvl w:val="0"/>
          <w:numId w:val="1"/>
        </w:numPr>
        <w:spacing w:after="80"/>
      </w:pPr>
      <w:r>
        <w:rPr>
          <w:sz w:val="21"/>
          <w:szCs w:val="21"/>
        </w:rPr>
        <w:t xml:space="preserve">The Makkan Period</w:t>
      </w:r>
    </w:p>
    <w:p>
      <w:pPr>
        <w:pStyle w:val="ListParagraph"/>
        <w:numPr>
          <w:ilvl w:val="0"/>
          <w:numId w:val="1"/>
        </w:numPr>
        <w:spacing w:after="80"/>
      </w:pPr>
      <w:r>
        <w:rPr>
          <w:sz w:val="21"/>
          <w:szCs w:val="21"/>
        </w:rPr>
        <w:t xml:space="preserve">The Madinan Period</w:t>
      </w:r>
    </w:p>
    <w:p>
      <w:pPr>
        <w:pStyle w:val="ListParagraph"/>
        <w:numPr>
          <w:ilvl w:val="0"/>
          <w:numId w:val="1"/>
        </w:numPr>
        <w:spacing w:after="80"/>
      </w:pPr>
      <w:r>
        <w:rPr>
          <w:sz w:val="21"/>
          <w:szCs w:val="21"/>
        </w:rPr>
        <w:t xml:space="preserve">Prophetic Leadership and Character</w:t>
      </w:r>
    </w:p>
    <w:p>
      <w:pPr>
        <w:pStyle w:val="Heading2"/>
        <w:spacing w:after="120" w:before="240"/>
      </w:pPr>
      <w:r>
        <w:rPr>
          <w:b/>
          <w:bCs/>
          <w:color w:val="2E3A59"/>
          <w:sz w:val="24"/>
          <w:szCs w:val="24"/>
        </w:rPr>
        <w:t xml:space="preserve">Beliefs and Worship</w:t>
      </w:r>
    </w:p>
    <w:p>
      <w:pPr>
        <w:pStyle w:val="ListParagraph"/>
        <w:numPr>
          <w:ilvl w:val="0"/>
          <w:numId w:val="1"/>
        </w:numPr>
        <w:spacing w:after="80"/>
      </w:pPr>
      <w:r>
        <w:rPr>
          <w:sz w:val="21"/>
          <w:szCs w:val="21"/>
        </w:rPr>
        <w:t xml:space="preserve">The Six Articles of Faith</w:t>
      </w:r>
    </w:p>
    <w:p>
      <w:pPr>
        <w:pStyle w:val="ListParagraph"/>
        <w:numPr>
          <w:ilvl w:val="0"/>
          <w:numId w:val="1"/>
        </w:numPr>
        <w:spacing w:after="80"/>
      </w:pPr>
      <w:r>
        <w:rPr>
          <w:sz w:val="21"/>
          <w:szCs w:val="21"/>
        </w:rPr>
        <w:t xml:space="preserve">The Five Pillars of Islam</w:t>
      </w:r>
    </w:p>
    <w:p>
      <w:pPr>
        <w:pStyle w:val="ListParagraph"/>
        <w:numPr>
          <w:ilvl w:val="0"/>
          <w:numId w:val="1"/>
        </w:numPr>
        <w:spacing w:after="80"/>
      </w:pPr>
      <w:r>
        <w:rPr>
          <w:sz w:val="21"/>
          <w:szCs w:val="21"/>
        </w:rPr>
        <w:t xml:space="preserve">Individual and Social Benefits of Worship</w:t>
      </w:r>
    </w:p>
    <w:p>
      <w:pPr>
        <w:pStyle w:val="Heading2"/>
        <w:spacing w:after="120" w:before="240"/>
      </w:pPr>
      <w:r>
        <w:rPr>
          <w:b/>
          <w:bCs/>
          <w:color w:val="2E3A59"/>
          <w:sz w:val="24"/>
          <w:szCs w:val="24"/>
        </w:rPr>
        <w:t xml:space="preserve">History, Society and Ethics</w:t>
      </w:r>
    </w:p>
    <w:p>
      <w:pPr>
        <w:pStyle w:val="ListParagraph"/>
        <w:numPr>
          <w:ilvl w:val="0"/>
          <w:numId w:val="1"/>
        </w:numPr>
        <w:spacing w:after="80"/>
      </w:pPr>
      <w:r>
        <w:rPr>
          <w:sz w:val="21"/>
          <w:szCs w:val="21"/>
        </w:rPr>
        <w:t xml:space="preserve">The Rightly Guided Caliphs</w:t>
      </w:r>
    </w:p>
    <w:p>
      <w:pPr>
        <w:pStyle w:val="ListParagraph"/>
        <w:numPr>
          <w:ilvl w:val="0"/>
          <w:numId w:val="1"/>
        </w:numPr>
        <w:spacing w:after="80"/>
      </w:pPr>
      <w:r>
        <w:rPr>
          <w:sz w:val="21"/>
          <w:szCs w:val="21"/>
        </w:rPr>
        <w:t xml:space="preserve">Contributions of Muslim Civilization</w:t>
      </w:r>
    </w:p>
    <w:p>
      <w:pPr>
        <w:pStyle w:val="ListParagraph"/>
        <w:numPr>
          <w:ilvl w:val="0"/>
          <w:numId w:val="1"/>
        </w:numPr>
        <w:spacing w:after="80"/>
      </w:pPr>
      <w:r>
        <w:rPr>
          <w:sz w:val="21"/>
          <w:szCs w:val="21"/>
        </w:rPr>
        <w:t xml:space="preserve">The Islamic Social System</w:t>
      </w:r>
    </w:p>
    <w:p>
      <w:pPr>
        <w:pStyle w:val="ListParagraph"/>
        <w:numPr>
          <w:ilvl w:val="0"/>
          <w:numId w:val="1"/>
        </w:numPr>
        <w:spacing w:after="80"/>
      </w:pPr>
      <w:r>
        <w:rPr>
          <w:sz w:val="21"/>
          <w:szCs w:val="21"/>
        </w:rPr>
        <w:t xml:space="preserve">Ethics and Morality</w:t>
      </w:r>
    </w:p>
    <w:p>
      <w:pPr>
        <w:spacing w:after="160" w:line="276"/>
      </w:pPr>
      <w:r>
        <w:rPr>
          <w:i/>
          <w:iCs/>
          <w:color w:val="1A1A1A"/>
          <w:sz w:val="21"/>
          <w:szCs w:val="21"/>
        </w:rPr>
        <w:t xml:space="preserve">Reflection on the Quran and Sunnah underpins all four strands: every recitation, every historical account and every ethical teaching in this syllabus is ultimately drawn from, and returns to, these primary sources.</w:t>
      </w:r>
    </w:p>
    <w:p>
      <w:r>
        <w:br w:type="page"/>
      </w:r>
    </w:p>
    <w:p>
      <w:pPr>
        <w:pStyle w:val="Heading1"/>
        <w:pBdr>
          <w:bottom w:val="single" w:color="6E2C3A" w:sz="6" w:space="4"/>
        </w:pBdr>
        <w:spacing w:after="200" w:before="300"/>
      </w:pPr>
      <w:r>
        <w:rPr>
          <w:b/>
          <w:bCs/>
          <w:color w:val="6E2C3A"/>
          <w:sz w:val="30"/>
          <w:szCs w:val="30"/>
        </w:rPr>
        <w:t xml:space="preserve">Student Learning Outcomes of Islamiat</w:t>
      </w:r>
    </w:p>
    <w:p>
      <w:pPr>
        <w:spacing w:after="160" w:line="276"/>
      </w:pPr>
      <w:r>
        <w:rPr>
          <w:color w:val="1A1A1A"/>
          <w:sz w:val="21"/>
          <w:szCs w:val="21"/>
        </w:rPr>
        <w:t xml:space="preserve">This syllabus is studied and examined in Grade XI.</w:t>
      </w:r>
    </w:p>
    <w:p>
      <w:pPr>
        <w:spacing w:after="100" w:before="300"/>
      </w:pPr>
      <w:r>
        <w:rPr>
          <w:b/>
          <w:bCs/>
          <w:color w:val="2E3A59"/>
          <w:sz w:val="22"/>
          <w:szCs w:val="22"/>
        </w:rPr>
        <w:t xml:space="preserve">1. Study of the Holy Quran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1.1 Selected Verses and their Meaning</w:t>
            </w:r>
          </w:p>
        </w:tc>
        <w:tc>
          <w:tcPr>
            <w:tcW w:type="dxa" w:w="5580"/>
            <w:tcMar>
              <w:top w:type="dxa" w:w="60"/>
              <w:left w:type="dxa" w:w="100"/>
              <w:bottom w:type="dxa" w:w="60"/>
              <w:right w:type="dxa" w:w="100"/>
            </w:tcMar>
          </w:tcPr>
          <w:p>
            <w:r>
              <w:rPr>
                <w:sz w:val="18"/>
                <w:szCs w:val="18"/>
              </w:rPr>
              <w:t xml:space="preserve">recite a prescribed verse of the Holy Quran with correct pronunciation;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translate a prescribed verse of the Holy Quran into Urdu or English;</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meaning and teaching of a prescribed verse in its context;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1.2 Themes of the Holy Quran</w:t>
            </w:r>
          </w:p>
        </w:tc>
        <w:tc>
          <w:tcPr>
            <w:tcW w:type="dxa" w:w="5580"/>
            <w:tcMar>
              <w:top w:type="dxa" w:w="60"/>
              <w:left w:type="dxa" w:w="100"/>
              <w:bottom w:type="dxa" w:w="60"/>
              <w:right w:type="dxa" w:w="100"/>
            </w:tcMar>
          </w:tcPr>
          <w:p>
            <w:r>
              <w:rPr>
                <w:sz w:val="18"/>
                <w:szCs w:val="18"/>
              </w:rPr>
              <w:t xml:space="preserve">describe the central themes addressed in the prescribed portion of the Holy Quran, e.g. tawheed, worship and morality;</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relate the teaching of a prescribed verse to a situation in everyday life;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2. Life of the Holy Prophet (صلى الله عليه وسلم) — Seerah</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2.1 The Makkan Period</w:t>
            </w:r>
          </w:p>
        </w:tc>
        <w:tc>
          <w:tcPr>
            <w:tcW w:type="dxa" w:w="5580"/>
            <w:tcMar>
              <w:top w:type="dxa" w:w="60"/>
              <w:left w:type="dxa" w:w="100"/>
              <w:bottom w:type="dxa" w:w="60"/>
              <w:right w:type="dxa" w:w="100"/>
            </w:tcMar>
          </w:tcPr>
          <w:p>
            <w:r>
              <w:rPr>
                <w:sz w:val="18"/>
                <w:szCs w:val="18"/>
              </w:rPr>
              <w:t xml:space="preserve">outline the major events of the Prophet's life in Makkah;</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significance of a named event in the Makkan period, e.g. the first revelation or the boycott of Banu Hashim;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2.2 The Madinan Period</w:t>
            </w:r>
          </w:p>
        </w:tc>
        <w:tc>
          <w:tcPr>
            <w:tcW w:type="dxa" w:w="5580"/>
            <w:tcMar>
              <w:top w:type="dxa" w:w="60"/>
              <w:left w:type="dxa" w:w="100"/>
              <w:bottom w:type="dxa" w:w="60"/>
              <w:right w:type="dxa" w:w="100"/>
            </w:tcMar>
          </w:tcPr>
          <w:p>
            <w:r>
              <w:rPr>
                <w:sz w:val="18"/>
                <w:szCs w:val="18"/>
              </w:rPr>
              <w:t xml:space="preserve">outline the major events of the Prophet's life in Madinah;</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evaluate the Prophet's conduct as a statesman and leader with reference to a named event, e.g. the Charter of Madinah or the Treaty of Hudaybiyyah;</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3. Beliefs and Practices of Islam</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3.1 Articles of Faith (Iman)</w:t>
            </w:r>
          </w:p>
        </w:tc>
        <w:tc>
          <w:tcPr>
            <w:tcW w:type="dxa" w:w="5580"/>
            <w:tcMar>
              <w:top w:type="dxa" w:w="60"/>
              <w:left w:type="dxa" w:w="100"/>
              <w:bottom w:type="dxa" w:w="60"/>
              <w:right w:type="dxa" w:w="100"/>
            </w:tcMar>
          </w:tcPr>
          <w:p>
            <w:r>
              <w:rPr>
                <w:sz w:val="18"/>
                <w:szCs w:val="18"/>
              </w:rPr>
              <w:t xml:space="preserve">describe the six articles of faith in Islam;</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significance of a named article of faith for a Muslim's daily life;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3.2 Pillars of Islam (Ibadaat)</w:t>
            </w:r>
          </w:p>
        </w:tc>
        <w:tc>
          <w:tcPr>
            <w:tcW w:type="dxa" w:w="5580"/>
            <w:tcMar>
              <w:top w:type="dxa" w:w="60"/>
              <w:left w:type="dxa" w:w="100"/>
              <w:bottom w:type="dxa" w:w="60"/>
              <w:right w:type="dxa" w:w="100"/>
            </w:tcMar>
          </w:tcPr>
          <w:p>
            <w:r>
              <w:rPr>
                <w:sz w:val="18"/>
                <w:szCs w:val="18"/>
              </w:rPr>
              <w:t xml:space="preserve">describe the five pillars of Islam and the basic rulings governing each;</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individual and social benefits of a named pillar of Islam, e.g. Salah, Zakah or Hajj;</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bl>
    <w:p>
      <w:pPr>
        <w:spacing w:after="100" w:before="300"/>
      </w:pPr>
      <w:r>
        <w:rPr>
          <w:b/>
          <w:bCs/>
          <w:color w:val="2E3A59"/>
          <w:sz w:val="22"/>
          <w:szCs w:val="22"/>
        </w:rPr>
        <w:t xml:space="preserve">4. Islamic History and Civilization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4.1 The Rightly Guided Caliphs (Khulafa-e-Rashideen)</w:t>
            </w:r>
          </w:p>
        </w:tc>
        <w:tc>
          <w:tcPr>
            <w:tcW w:type="dxa" w:w="5580"/>
            <w:tcMar>
              <w:top w:type="dxa" w:w="60"/>
              <w:left w:type="dxa" w:w="100"/>
              <w:bottom w:type="dxa" w:w="60"/>
              <w:right w:type="dxa" w:w="100"/>
            </w:tcMar>
          </w:tcPr>
          <w:p>
            <w:r>
              <w:rPr>
                <w:sz w:val="18"/>
                <w:szCs w:val="18"/>
              </w:rPr>
              <w:t xml:space="preserve">outline the major achievements of a named Rightly Guided Caliph;</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evaluate the contribution of a named Rightly Guided Caliph to the consolidation of the Muslim state;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4.2 Contributions of Muslim Civilization</w:t>
            </w:r>
          </w:p>
        </w:tc>
        <w:tc>
          <w:tcPr>
            <w:tcW w:type="dxa" w:w="5580"/>
            <w:tcMar>
              <w:top w:type="dxa" w:w="60"/>
              <w:left w:type="dxa" w:w="100"/>
              <w:bottom w:type="dxa" w:w="60"/>
              <w:right w:type="dxa" w:w="100"/>
            </w:tcMar>
          </w:tcPr>
          <w:p>
            <w:r>
              <w:rPr>
                <w:sz w:val="18"/>
                <w:szCs w:val="18"/>
              </w:rPr>
              <w:t xml:space="preserve">describe the contribution of Muslim scholars to a named field, e.g. science, medicine or philosophy;</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relevance of a historical Islamic institution, e.g. Bait-ul-Hikmah, to the pursuit of knowledge;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bl>
    <w:p>
      <w:pPr>
        <w:spacing w:after="100" w:before="300"/>
      </w:pPr>
      <w:r>
        <w:rPr>
          <w:b/>
          <w:bCs/>
          <w:color w:val="2E3A59"/>
          <w:sz w:val="22"/>
          <w:szCs w:val="22"/>
        </w:rPr>
        <w:t xml:space="preserve">5. Islamic Teachings on Society and Ethics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5.1 The Islamic Social System</w:t>
            </w:r>
          </w:p>
        </w:tc>
        <w:tc>
          <w:tcPr>
            <w:tcW w:type="dxa" w:w="5580"/>
            <w:tcMar>
              <w:top w:type="dxa" w:w="60"/>
              <w:left w:type="dxa" w:w="100"/>
              <w:bottom w:type="dxa" w:w="60"/>
              <w:right w:type="dxa" w:w="100"/>
            </w:tcMar>
          </w:tcPr>
          <w:p>
            <w:r>
              <w:rPr>
                <w:sz w:val="18"/>
                <w:szCs w:val="18"/>
              </w:rPr>
              <w:t xml:space="preserve">describe Islamic teachings regarding a named social relationship, e.g. family, neighbours or the rights of parents;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Islamic concept of social justice with reference to a named teaching;</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5.2 Ethics and Morality</w:t>
            </w:r>
          </w:p>
        </w:tc>
        <w:tc>
          <w:tcPr>
            <w:tcW w:type="dxa" w:w="5580"/>
            <w:tcMar>
              <w:top w:type="dxa" w:w="60"/>
              <w:left w:type="dxa" w:w="100"/>
              <w:bottom w:type="dxa" w:w="60"/>
              <w:right w:type="dxa" w:w="100"/>
            </w:tcMar>
          </w:tcPr>
          <w:p>
            <w:r>
              <w:rPr>
                <w:sz w:val="18"/>
                <w:szCs w:val="18"/>
              </w:rPr>
              <w:t xml:space="preserve">describe the Islamic teaching on a named moral value, e.g. honesty, patience or forgiveness;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evaluate the relevance of a named Islamic ethical teaching to a contemporary social issue;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1"/>
        <w:pBdr>
          <w:bottom w:val="single" w:color="6E2C3A" w:sz="6" w:space="4"/>
        </w:pBdr>
        <w:spacing w:after="200" w:before="300"/>
      </w:pPr>
      <w:r>
        <w:rPr>
          <w:b/>
          <w:bCs/>
          <w:color w:val="6E2C3A"/>
          <w:sz w:val="30"/>
          <w:szCs w:val="30"/>
        </w:rPr>
        <w:t xml:space="preserve">Scheme of Assessment</w:t>
      </w:r>
    </w:p>
    <w:p>
      <w:pPr>
        <w:spacing w:after="160" w:line="276"/>
      </w:pPr>
      <w:r>
        <w:rPr>
          <w:color w:val="1A1A1A"/>
          <w:sz w:val="21"/>
          <w:szCs w:val="21"/>
        </w:rPr>
        <w:t xml:space="preserve">Islamiat is examined through a single Theory paper carrying 50 marks, matching the maximum marks shown against ‘Islamiat’ on the BISE Larkano Marks Certificate. There is no separate Practical component for this subject.</w:t>
      </w:r>
    </w:p>
    <w:p>
      <w:pPr>
        <w:spacing w:after="160" w:line="276"/>
      </w:pPr>
      <w:r>
        <w:rPr>
          <w:b/>
          <w:bCs/>
          <w:color w:val="1A1A1A"/>
          <w:sz w:val="21"/>
          <w:szCs w:val="21"/>
        </w:rPr>
        <w:t xml:space="preserve">Table 1: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200"/>
            <w:tcMar>
              <w:top w:type="dxa" w:w="70"/>
              <w:left w:type="dxa" w:w="100"/>
              <w:bottom w:type="dxa" w:w="70"/>
              <w:right w:type="dxa" w:w="100"/>
            </w:tcMar>
            <w:vAlign w:val="center"/>
          </w:tcPr>
          <w:p>
            <w:pPr>
              <w:jc w:val="center"/>
            </w:pPr>
            <w:r>
              <w:rPr>
                <w:sz w:val="18"/>
                <w:szCs w:val="18"/>
              </w:rPr>
              <w:t xml:space="preserve">Study of the Holy Quran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200"/>
            <w:tcMar>
              <w:top w:type="dxa" w:w="70"/>
              <w:left w:type="dxa" w:w="100"/>
              <w:bottom w:type="dxa" w:w="70"/>
              <w:right w:type="dxa" w:w="100"/>
            </w:tcMar>
            <w:vAlign w:val="center"/>
          </w:tcPr>
          <w:p>
            <w:pPr>
              <w:jc w:val="center"/>
            </w:pPr>
            <w:r>
              <w:rPr>
                <w:sz w:val="18"/>
                <w:szCs w:val="18"/>
              </w:rPr>
              <w:t xml:space="preserve">Life of the Holy Prophet (صلى الله عليه وسلم) — Seerah</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200"/>
            <w:tcMar>
              <w:top w:type="dxa" w:w="70"/>
              <w:left w:type="dxa" w:w="100"/>
              <w:bottom w:type="dxa" w:w="70"/>
              <w:right w:type="dxa" w:w="100"/>
            </w:tcMar>
            <w:vAlign w:val="center"/>
          </w:tcPr>
          <w:p>
            <w:pPr>
              <w:jc w:val="center"/>
            </w:pPr>
            <w:r>
              <w:rPr>
                <w:sz w:val="18"/>
                <w:szCs w:val="18"/>
              </w:rPr>
              <w:t xml:space="preserve">Beliefs and Practices of Islam</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200"/>
            <w:tcMar>
              <w:top w:type="dxa" w:w="70"/>
              <w:left w:type="dxa" w:w="100"/>
              <w:bottom w:type="dxa" w:w="70"/>
              <w:right w:type="dxa" w:w="100"/>
            </w:tcMar>
            <w:vAlign w:val="center"/>
          </w:tcPr>
          <w:p>
            <w:pPr>
              <w:jc w:val="center"/>
            </w:pPr>
            <w:r>
              <w:rPr>
                <w:sz w:val="18"/>
                <w:szCs w:val="18"/>
              </w:rPr>
              <w:t xml:space="preserve">Islamic History and Civilization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200"/>
            <w:tcMar>
              <w:top w:type="dxa" w:w="70"/>
              <w:left w:type="dxa" w:w="100"/>
              <w:bottom w:type="dxa" w:w="70"/>
              <w:right w:type="dxa" w:w="100"/>
            </w:tcMar>
            <w:vAlign w:val="center"/>
          </w:tcPr>
          <w:p>
            <w:pPr>
              <w:jc w:val="center"/>
            </w:pPr>
            <w:r>
              <w:rPr>
                <w:sz w:val="18"/>
                <w:szCs w:val="18"/>
              </w:rPr>
              <w:t xml:space="preserve">Islamic Teachings on Society and Ethics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6</w:t>
            </w:r>
          </w:p>
        </w:tc>
        <w:tc>
          <w:tcPr>
            <w:tcW w:type="dxa" w:w="900"/>
            <w:tcMar>
              <w:top w:type="dxa" w:w="70"/>
              <w:left w:type="dxa" w:w="100"/>
              <w:bottom w:type="dxa" w:w="70"/>
              <w:right w:type="dxa" w:w="100"/>
            </w:tcMar>
            <w:vAlign w:val="center"/>
          </w:tcPr>
          <w:p>
            <w:pPr>
              <w:jc w:val="center"/>
            </w:pPr>
            <w:r>
              <w:rPr>
                <w:sz w:val="18"/>
                <w:szCs w:val="18"/>
              </w:rPr>
              <w:t xml:space="preserve">5</w:t>
            </w:r>
          </w:p>
        </w:tc>
        <w:tc>
          <w:tcPr>
            <w:tcW w:type="dxa" w:w="1160"/>
            <w:tcMar>
              <w:top w:type="dxa" w:w="70"/>
              <w:left w:type="dxa" w:w="100"/>
              <w:bottom w:type="dxa" w:w="70"/>
              <w:right w:type="dxa" w:w="100"/>
            </w:tcMar>
            <w:vAlign w:val="center"/>
          </w:tcPr>
          <w:p>
            <w:pPr>
              <w:jc w:val="center"/>
            </w:pPr>
            <w:r>
              <w:rPr>
                <w:sz w:val="18"/>
                <w:szCs w:val="18"/>
              </w:rPr>
              <w:t xml:space="preserve">21</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48%</w:t>
            </w:r>
          </w:p>
        </w:tc>
        <w:tc>
          <w:tcPr>
            <w:tcW w:type="dxa" w:w="900"/>
            <w:tcMar>
              <w:top w:type="dxa" w:w="70"/>
              <w:left w:type="dxa" w:w="100"/>
              <w:bottom w:type="dxa" w:w="70"/>
              <w:right w:type="dxa" w:w="100"/>
            </w:tcMar>
            <w:vAlign w:val="center"/>
          </w:tcPr>
          <w:p>
            <w:pPr>
              <w:jc w:val="center"/>
            </w:pPr>
            <w:r>
              <w:rPr>
                <w:sz w:val="18"/>
                <w:szCs w:val="18"/>
              </w:rPr>
              <w:t xml:space="preserve">29%</w:t>
            </w:r>
          </w:p>
        </w:tc>
        <w:tc>
          <w:tcPr>
            <w:tcW w:type="dxa" w:w="900"/>
            <w:tcMar>
              <w:top w:type="dxa" w:w="70"/>
              <w:left w:type="dxa" w:w="100"/>
              <w:bottom w:type="dxa" w:w="70"/>
              <w:right w:type="dxa" w:w="100"/>
            </w:tcMar>
            <w:vAlign w:val="center"/>
          </w:tcPr>
          <w:p>
            <w:pPr>
              <w:jc w:val="center"/>
            </w:pPr>
            <w:r>
              <w:rPr>
                <w:sz w:val="18"/>
                <w:szCs w:val="18"/>
              </w:rPr>
              <w:t xml:space="preserve">24%</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2: Theory Exam Specification — Islamiat — 50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MCQs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CRQs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800"/>
            <w:tcMar>
              <w:top w:type="dxa" w:w="70"/>
              <w:left w:type="dxa" w:w="100"/>
              <w:bottom w:type="dxa" w:w="70"/>
              <w:right w:type="dxa" w:w="100"/>
            </w:tcMar>
            <w:vAlign w:val="center"/>
          </w:tcPr>
          <w:p>
            <w:pPr>
              <w:jc w:val="center"/>
            </w:pPr>
            <w:r>
              <w:rPr>
                <w:sz w:val="18"/>
                <w:szCs w:val="18"/>
              </w:rPr>
              <w:t xml:space="preserve">Study of the Holy Quran</w:t>
            </w:r>
          </w:p>
        </w:tc>
        <w:tc>
          <w:tcPr>
            <w:tcW w:type="dxa" w:w="2000"/>
            <w:tcMar>
              <w:top w:type="dxa" w:w="70"/>
              <w:left w:type="dxa" w:w="100"/>
              <w:bottom w:type="dxa" w:w="70"/>
              <w:right w:type="dxa" w:w="100"/>
            </w:tcMar>
            <w:vAlign w:val="center"/>
          </w:tcPr>
          <w:p>
            <w:pPr>
              <w:jc w:val="center"/>
            </w:pPr>
            <w:r>
              <w:rPr>
                <w:sz w:val="18"/>
                <w:szCs w:val="18"/>
              </w:rPr>
              <w:t xml:space="preserve">4</w:t>
            </w:r>
          </w:p>
        </w:tc>
        <w:tc>
          <w:tcPr>
            <w:tcW w:type="dxa" w:w="2000"/>
            <w:tcMar>
              <w:top w:type="dxa" w:w="70"/>
              <w:left w:type="dxa" w:w="100"/>
              <w:bottom w:type="dxa" w:w="70"/>
              <w:right w:type="dxa" w:w="100"/>
            </w:tcMar>
            <w:vAlign w:val="center"/>
          </w:tcPr>
          <w:p>
            <w:pPr>
              <w:jc w:val="center"/>
            </w:pPr>
            <w:r>
              <w:rPr>
                <w:sz w:val="18"/>
                <w:szCs w:val="18"/>
              </w:rPr>
              <w:t xml:space="preserve">8 (1 CRQ)</w:t>
            </w:r>
          </w:p>
        </w:tc>
        <w:tc>
          <w:tcPr>
            <w:tcW w:type="dxa" w:w="1860"/>
            <w:tcMar>
              <w:top w:type="dxa" w:w="70"/>
              <w:left w:type="dxa" w:w="100"/>
              <w:bottom w:type="dxa" w:w="70"/>
              <w:right w:type="dxa" w:w="100"/>
            </w:tcMar>
            <w:vAlign w:val="center"/>
          </w:tcPr>
          <w:p>
            <w:pPr>
              <w:jc w:val="center"/>
            </w:pPr>
            <w:r>
              <w:rPr>
                <w:sz w:val="18"/>
                <w:szCs w:val="18"/>
              </w:rPr>
              <w:t xml:space="preserve">12</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800"/>
            <w:tcMar>
              <w:top w:type="dxa" w:w="70"/>
              <w:left w:type="dxa" w:w="100"/>
              <w:bottom w:type="dxa" w:w="70"/>
              <w:right w:type="dxa" w:w="100"/>
            </w:tcMar>
            <w:vAlign w:val="center"/>
          </w:tcPr>
          <w:p>
            <w:pPr>
              <w:jc w:val="center"/>
            </w:pPr>
            <w:r>
              <w:rPr>
                <w:sz w:val="18"/>
                <w:szCs w:val="18"/>
              </w:rPr>
              <w:t xml:space="preserve">Life of the Holy Prophet — Seerah</w:t>
            </w:r>
          </w:p>
        </w:tc>
        <w:tc>
          <w:tcPr>
            <w:tcW w:type="dxa" w:w="2000"/>
            <w:tcMar>
              <w:top w:type="dxa" w:w="70"/>
              <w:left w:type="dxa" w:w="100"/>
              <w:bottom w:type="dxa" w:w="70"/>
              <w:right w:type="dxa" w:w="100"/>
            </w:tcMar>
            <w:vAlign w:val="center"/>
          </w:tcPr>
          <w:p>
            <w:pPr>
              <w:jc w:val="center"/>
            </w:pPr>
            <w:r>
              <w:rPr>
                <w:sz w:val="18"/>
                <w:szCs w:val="18"/>
              </w:rPr>
              <w:t xml:space="preserve">4</w:t>
            </w:r>
          </w:p>
        </w:tc>
        <w:tc>
          <w:tcPr>
            <w:tcW w:type="dxa" w:w="2000"/>
            <w:tcMar>
              <w:top w:type="dxa" w:w="70"/>
              <w:left w:type="dxa" w:w="100"/>
              <w:bottom w:type="dxa" w:w="70"/>
              <w:right w:type="dxa" w:w="100"/>
            </w:tcMar>
            <w:vAlign w:val="center"/>
          </w:tcPr>
          <w:p>
            <w:pPr>
              <w:jc w:val="center"/>
            </w:pPr>
            <w:r>
              <w:rPr>
                <w:sz w:val="18"/>
                <w:szCs w:val="18"/>
              </w:rPr>
              <w:t xml:space="preserve">8 (1 CRQ)</w:t>
            </w:r>
          </w:p>
        </w:tc>
        <w:tc>
          <w:tcPr>
            <w:tcW w:type="dxa" w:w="1860"/>
            <w:tcMar>
              <w:top w:type="dxa" w:w="70"/>
              <w:left w:type="dxa" w:w="100"/>
              <w:bottom w:type="dxa" w:w="70"/>
              <w:right w:type="dxa" w:w="100"/>
            </w:tcMar>
            <w:vAlign w:val="center"/>
          </w:tcPr>
          <w:p>
            <w:pPr>
              <w:jc w:val="center"/>
            </w:pPr>
            <w:r>
              <w:rPr>
                <w:sz w:val="18"/>
                <w:szCs w:val="18"/>
              </w:rPr>
              <w:t xml:space="preserve">12</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800"/>
            <w:tcMar>
              <w:top w:type="dxa" w:w="70"/>
              <w:left w:type="dxa" w:w="100"/>
              <w:bottom w:type="dxa" w:w="70"/>
              <w:right w:type="dxa" w:w="100"/>
            </w:tcMar>
            <w:vAlign w:val="center"/>
          </w:tcPr>
          <w:p>
            <w:pPr>
              <w:jc w:val="center"/>
            </w:pPr>
            <w:r>
              <w:rPr>
                <w:sz w:val="18"/>
                <w:szCs w:val="18"/>
              </w:rPr>
              <w:t xml:space="preserve">Beliefs and Practices of Islam</w:t>
            </w:r>
          </w:p>
        </w:tc>
        <w:tc>
          <w:tcPr>
            <w:tcW w:type="dxa" w:w="2000"/>
            <w:tcMar>
              <w:top w:type="dxa" w:w="70"/>
              <w:left w:type="dxa" w:w="100"/>
              <w:bottom w:type="dxa" w:w="70"/>
              <w:right w:type="dxa" w:w="100"/>
            </w:tcMar>
            <w:vAlign w:val="center"/>
          </w:tcPr>
          <w:p>
            <w:pPr>
              <w:jc w:val="center"/>
            </w:pPr>
            <w:r>
              <w:rPr>
                <w:sz w:val="18"/>
                <w:szCs w:val="18"/>
              </w:rPr>
              <w:t xml:space="preserve">4</w:t>
            </w:r>
          </w:p>
        </w:tc>
        <w:tc>
          <w:tcPr>
            <w:tcW w:type="dxa" w:w="2000"/>
            <w:tcMar>
              <w:top w:type="dxa" w:w="70"/>
              <w:left w:type="dxa" w:w="100"/>
              <w:bottom w:type="dxa" w:w="70"/>
              <w:right w:type="dxa" w:w="100"/>
            </w:tcMar>
            <w:vAlign w:val="center"/>
          </w:tcPr>
          <w:p>
            <w:pPr>
              <w:jc w:val="center"/>
            </w:pPr>
            <w:r>
              <w:rPr>
                <w:sz w:val="18"/>
                <w:szCs w:val="18"/>
              </w:rPr>
              <w:t xml:space="preserve">6 (1 CRQ)</w:t>
            </w:r>
          </w:p>
        </w:tc>
        <w:tc>
          <w:tcPr>
            <w:tcW w:type="dxa" w:w="1860"/>
            <w:tcMar>
              <w:top w:type="dxa" w:w="70"/>
              <w:left w:type="dxa" w:w="100"/>
              <w:bottom w:type="dxa" w:w="70"/>
              <w:right w:type="dxa" w:w="100"/>
            </w:tcMar>
            <w:vAlign w:val="center"/>
          </w:tcPr>
          <w:p>
            <w:pPr>
              <w:jc w:val="center"/>
            </w:pPr>
            <w:r>
              <w:rPr>
                <w:sz w:val="18"/>
                <w:szCs w:val="18"/>
              </w:rPr>
              <w:t xml:space="preserve">10</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800"/>
            <w:tcMar>
              <w:top w:type="dxa" w:w="70"/>
              <w:left w:type="dxa" w:w="100"/>
              <w:bottom w:type="dxa" w:w="70"/>
              <w:right w:type="dxa" w:w="100"/>
            </w:tcMar>
            <w:vAlign w:val="center"/>
          </w:tcPr>
          <w:p>
            <w:pPr>
              <w:jc w:val="center"/>
            </w:pPr>
            <w:r>
              <w:rPr>
                <w:sz w:val="18"/>
                <w:szCs w:val="18"/>
              </w:rPr>
              <w:t xml:space="preserve">Islamic History and Civilization</w:t>
            </w:r>
          </w:p>
        </w:tc>
        <w:tc>
          <w:tcPr>
            <w:tcW w:type="dxa" w:w="2000"/>
            <w:tcMar>
              <w:top w:type="dxa" w:w="70"/>
              <w:left w:type="dxa" w:w="100"/>
              <w:bottom w:type="dxa" w:w="70"/>
              <w:right w:type="dxa" w:w="100"/>
            </w:tcMar>
            <w:vAlign w:val="center"/>
          </w:tcPr>
          <w:p>
            <w:pPr>
              <w:jc w:val="center"/>
            </w:pPr>
            <w:r>
              <w:rPr>
                <w:sz w:val="18"/>
                <w:szCs w:val="18"/>
              </w:rPr>
              <w:t xml:space="preserve">3</w:t>
            </w:r>
          </w:p>
        </w:tc>
        <w:tc>
          <w:tcPr>
            <w:tcW w:type="dxa" w:w="2000"/>
            <w:tcMar>
              <w:top w:type="dxa" w:w="70"/>
              <w:left w:type="dxa" w:w="100"/>
              <w:bottom w:type="dxa" w:w="70"/>
              <w:right w:type="dxa" w:w="100"/>
            </w:tcMar>
            <w:vAlign w:val="center"/>
          </w:tcPr>
          <w:p>
            <w:pPr>
              <w:jc w:val="center"/>
            </w:pPr>
            <w:r>
              <w:rPr>
                <w:sz w:val="18"/>
                <w:szCs w:val="18"/>
              </w:rPr>
              <w:t xml:space="preserve">5 (1 CRQ)</w:t>
            </w:r>
          </w:p>
        </w:tc>
        <w:tc>
          <w:tcPr>
            <w:tcW w:type="dxa" w:w="1860"/>
            <w:tcMar>
              <w:top w:type="dxa" w:w="70"/>
              <w:left w:type="dxa" w:w="100"/>
              <w:bottom w:type="dxa" w:w="70"/>
              <w:right w:type="dxa" w:w="100"/>
            </w:tcMar>
            <w:vAlign w:val="center"/>
          </w:tcPr>
          <w:p>
            <w:pPr>
              <w:jc w:val="center"/>
            </w:pPr>
            <w:r>
              <w:rPr>
                <w:sz w:val="18"/>
                <w:szCs w:val="18"/>
              </w:rPr>
              <w:t xml:space="preserve">8</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800"/>
            <w:tcMar>
              <w:top w:type="dxa" w:w="70"/>
              <w:left w:type="dxa" w:w="100"/>
              <w:bottom w:type="dxa" w:w="70"/>
              <w:right w:type="dxa" w:w="100"/>
            </w:tcMar>
            <w:vAlign w:val="center"/>
          </w:tcPr>
          <w:p>
            <w:pPr>
              <w:jc w:val="center"/>
            </w:pPr>
            <w:r>
              <w:rPr>
                <w:sz w:val="18"/>
                <w:szCs w:val="18"/>
              </w:rPr>
              <w:t xml:space="preserve">Islamic Teachings on Society and Ethics</w:t>
            </w:r>
          </w:p>
        </w:tc>
        <w:tc>
          <w:tcPr>
            <w:tcW w:type="dxa" w:w="2000"/>
            <w:tcMar>
              <w:top w:type="dxa" w:w="70"/>
              <w:left w:type="dxa" w:w="100"/>
              <w:bottom w:type="dxa" w:w="70"/>
              <w:right w:type="dxa" w:w="100"/>
            </w:tcMar>
            <w:vAlign w:val="center"/>
          </w:tcPr>
          <w:p>
            <w:pPr>
              <w:jc w:val="center"/>
            </w:pPr>
            <w:r>
              <w:rPr>
                <w:sz w:val="18"/>
                <w:szCs w:val="18"/>
              </w:rPr>
              <w:t xml:space="preserve">3</w:t>
            </w:r>
          </w:p>
        </w:tc>
        <w:tc>
          <w:tcPr>
            <w:tcW w:type="dxa" w:w="2000"/>
            <w:tcMar>
              <w:top w:type="dxa" w:w="70"/>
              <w:left w:type="dxa" w:w="100"/>
              <w:bottom w:type="dxa" w:w="70"/>
              <w:right w:type="dxa" w:w="100"/>
            </w:tcMar>
            <w:vAlign w:val="center"/>
          </w:tcPr>
          <w:p>
            <w:pPr>
              <w:jc w:val="center"/>
            </w:pPr>
            <w:r>
              <w:rPr>
                <w:sz w:val="18"/>
                <w:szCs w:val="18"/>
              </w:rPr>
              <w:t xml:space="preserve">5 (1 CRQ)</w:t>
            </w:r>
          </w:p>
        </w:tc>
        <w:tc>
          <w:tcPr>
            <w:tcW w:type="dxa" w:w="1860"/>
            <w:tcMar>
              <w:top w:type="dxa" w:w="70"/>
              <w:left w:type="dxa" w:w="100"/>
              <w:bottom w:type="dxa" w:w="70"/>
              <w:right w:type="dxa" w:w="100"/>
            </w:tcMar>
            <w:vAlign w:val="center"/>
          </w:tcPr>
          <w:p>
            <w:pPr>
              <w:jc w:val="center"/>
            </w:pPr>
            <w:r>
              <w:rPr>
                <w:sz w:val="18"/>
                <w:szCs w:val="18"/>
              </w:rPr>
              <w:t xml:space="preserve">8</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18</w:t>
            </w:r>
          </w:p>
        </w:tc>
        <w:tc>
          <w:tcPr>
            <w:tcW w:type="dxa" w:w="2000"/>
            <w:tcMar>
              <w:top w:type="dxa" w:w="70"/>
              <w:left w:type="dxa" w:w="100"/>
              <w:bottom w:type="dxa" w:w="70"/>
              <w:right w:type="dxa" w:w="100"/>
            </w:tcMar>
            <w:vAlign w:val="center"/>
          </w:tcPr>
          <w:p>
            <w:pPr>
              <w:jc w:val="center"/>
            </w:pPr>
            <w:r>
              <w:rPr>
                <w:sz w:val="18"/>
                <w:szCs w:val="18"/>
              </w:rPr>
              <w:t xml:space="preserve">32</w:t>
            </w:r>
          </w:p>
        </w:tc>
        <w:tc>
          <w:tcPr>
            <w:tcW w:type="dxa" w:w="1860"/>
            <w:tcMar>
              <w:top w:type="dxa" w:w="70"/>
              <w:left w:type="dxa" w:w="100"/>
              <w:bottom w:type="dxa" w:w="70"/>
              <w:right w:type="dxa" w:w="100"/>
            </w:tcMar>
            <w:vAlign w:val="center"/>
          </w:tcPr>
          <w:p>
            <w:pPr>
              <w:jc w:val="center"/>
            </w:pPr>
            <w:r>
              <w:rPr>
                <w:sz w:val="18"/>
                <w:szCs w:val="18"/>
              </w:rPr>
              <w:t xml:space="preserve">50</w:t>
            </w:r>
          </w:p>
        </w:tc>
      </w:tr>
    </w:tbl>
    <w:p>
      <w:pPr>
        <w:spacing w:after="160" w:line="276"/>
      </w:pPr>
      <w:r>
        <w:rPr>
          <w:color w:val="1A1A1A"/>
          <w:sz w:val="21"/>
          <w:szCs w:val="21"/>
        </w:rPr>
        <w:t xml:space="preserve"/>
      </w:r>
    </w:p>
    <w:p>
      <w:pPr>
        <w:spacing w:after="160" w:line="276"/>
      </w:pPr>
      <w:r>
        <w:rPr>
          <w:b/>
          <w:bCs/>
          <w:color w:val="1A1A1A"/>
          <w:sz w:val="21"/>
          <w:szCs w:val="21"/>
        </w:rPr>
        <w:t xml:space="preserve">Table 2A: Overall Marks Distribution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Islamiat</w:t>
            </w:r>
          </w:p>
        </w:tc>
        <w:tc>
          <w:tcPr>
            <w:tcW w:type="dxa" w:w="2360"/>
            <w:tcMar>
              <w:top w:type="dxa" w:w="70"/>
              <w:left w:type="dxa" w:w="100"/>
              <w:bottom w:type="dxa" w:w="70"/>
              <w:right w:type="dxa" w:w="100"/>
            </w:tcMar>
            <w:vAlign w:val="center"/>
          </w:tcPr>
          <w:p>
            <w:pPr>
              <w:jc w:val="center"/>
            </w:pPr>
            <w:r>
              <w:rPr>
                <w:sz w:val="18"/>
                <w:szCs w:val="18"/>
              </w:rPr>
              <w:t xml:space="preserve">50</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50</w:t>
            </w:r>
          </w:p>
        </w:tc>
      </w:tr>
    </w:tbl>
    <w:p>
      <w:pPr>
        <w:spacing w:after="160" w:line="276"/>
      </w:pPr>
      <w:r>
        <w:rPr>
          <w:color w:val="1A1A1A"/>
          <w:sz w:val="21"/>
          <w:szCs w:val="21"/>
        </w:rPr>
        <w:t xml:space="preserve"/>
      </w:r>
    </w:p>
    <w:p>
      <w:pPr>
        <w:pStyle w:val="ListParagraph"/>
        <w:numPr>
          <w:ilvl w:val="0"/>
          <w:numId w:val="1"/>
        </w:numPr>
        <w:spacing w:after="80"/>
      </w:pPr>
      <w:r>
        <w:rPr>
          <w:sz w:val="21"/>
          <w:szCs w:val="21"/>
        </w:rPr>
        <w:t xml:space="preserve">A Multiple Choice Question (MCQ) requires candidates to choose one best/correct answer from four options. Each MCQ carries ONE mark.</w:t>
      </w:r>
    </w:p>
    <w:p>
      <w:pPr>
        <w:pStyle w:val="ListParagraph"/>
        <w:numPr>
          <w:ilvl w:val="0"/>
          <w:numId w:val="1"/>
        </w:numPr>
        <w:spacing w:after="80"/>
      </w:pPr>
      <w:r>
        <w:rPr>
          <w:sz w:val="21"/>
          <w:szCs w:val="21"/>
        </w:rPr>
        <w:t xml:space="preserve">A Constructed Response Question (CRQ) requires students to respond with a structured explanation, a translation of a prescribed verse, or a reflective or evaluative answer, as appropriate to the SLO being assessed.</w:t>
      </w:r>
    </w:p>
    <w:p>
      <w:pPr>
        <w:pStyle w:val="ListParagraph"/>
        <w:numPr>
          <w:ilvl w:val="0"/>
          <w:numId w:val="1"/>
        </w:numPr>
        <w:spacing w:after="80"/>
      </w:pPr>
      <w:r>
        <w:rPr>
          <w:sz w:val="21"/>
          <w:szCs w:val="21"/>
        </w:rPr>
        <w:t xml:space="preserve">The Theory examination carries 50 marks, is of 2 hours' duration, and consists of Paper I (MCQs) and Paper II (CRQs).</w:t>
      </w:r>
    </w:p>
    <w:p>
      <w:pPr>
        <w:pStyle w:val="ListParagraph"/>
        <w:numPr>
          <w:ilvl w:val="0"/>
          <w:numId w:val="1"/>
        </w:numPr>
        <w:spacing w:after="80"/>
      </w:pPr>
      <w:r>
        <w:rPr>
          <w:sz w:val="21"/>
          <w:szCs w:val="21"/>
        </w:rPr>
        <w:t xml:space="preserve">Unlike the science subjects examined by the Board, Islamiat has no Practical component: the 50 marks recorded against ‘Islamiat’ on the Marks Certificate represent the Theory examination in full.</w:t>
      </w:r>
    </w:p>
    <w:p>
      <w:pPr>
        <w:pStyle w:val="ListParagraph"/>
        <w:numPr>
          <w:ilvl w:val="0"/>
          <w:numId w:val="1"/>
        </w:numPr>
        <w:spacing w:after="80"/>
      </w:pPr>
      <w:r>
        <w:rPr>
          <w:sz w:val="21"/>
          <w:szCs w:val="21"/>
        </w:rPr>
        <w:t xml:space="preserve">Table 1 indicates the number and nature of SLOs in each topic and is provided as a guide to the construction of examination papers; it does not translate directly into marks. Emphasis has deliberately been placed on Understanding and Application, to discourage rote memorisation of text without comprehension.</w:t>
      </w:r>
    </w:p>
    <w:p>
      <w:pPr>
        <w:pStyle w:val="ListParagraph"/>
        <w:numPr>
          <w:ilvl w:val="0"/>
          <w:numId w:val="1"/>
        </w:numPr>
        <w:spacing w:after="80"/>
      </w:pPr>
      <w:r>
        <w:rPr>
          <w:sz w:val="21"/>
          <w:szCs w:val="21"/>
        </w:rPr>
        <w:t xml:space="preserve">Where a CRQ requires the translation or citation of a Quranic verse or Hadith, full credit requires an accurate rendering; students are not required to reproduce Arabic script beyond what is prescribed for recitation SLOs.</w:t>
      </w:r>
    </w:p>
    <w:p>
      <w:r>
        <w:br w:type="page"/>
      </w:r>
    </w:p>
    <w:p>
      <w:pPr>
        <w:pStyle w:val="Heading1"/>
        <w:pBdr>
          <w:bottom w:val="single" w:color="6E2C3A" w:sz="6" w:space="4"/>
        </w:pBdr>
        <w:spacing w:after="200" w:before="300"/>
      </w:pPr>
      <w:r>
        <w:rPr>
          <w:b/>
          <w:bCs/>
          <w:color w:val="6E2C3A"/>
          <w:sz w:val="30"/>
          <w:szCs w:val="30"/>
        </w:rPr>
        <w:t xml:space="preserve">Academic Integrity</w:t>
      </w:r>
    </w:p>
    <w:p>
      <w:pPr>
        <w:spacing w:after="160" w:line="276"/>
      </w:pPr>
      <w:r>
        <w:rPr>
          <w:color w:val="1A1A1A"/>
          <w:sz w:val="21"/>
          <w:szCs w:val="21"/>
        </w:rPr>
        <w:t xml:space="preserve">All work submitted for assessment in Islamiat — whether a short answer, a translation, or a reflective or evaluative response — must represent the individual, honest effort of the student submitting it. Affiliated institutions are expected to uphold the BISE Larkano Academic Integrity Policy in full, and to make students aware of the following subject-specific guidance.</w:t>
      </w:r>
    </w:p>
    <w:p>
      <w:pPr>
        <w:pStyle w:val="Heading2"/>
        <w:spacing w:after="120" w:before="240"/>
      </w:pPr>
      <w:r>
        <w:rPr>
          <w:b/>
          <w:bCs/>
          <w:color w:val="2E3A59"/>
          <w:sz w:val="24"/>
          <w:szCs w:val="24"/>
        </w:rPr>
        <w:t xml:space="preserve">Collaboration and Use of Sources</w:t>
      </w:r>
    </w:p>
    <w:p>
      <w:pPr>
        <w:spacing w:after="160" w:line="276"/>
      </w:pPr>
      <w:r>
        <w:rPr>
          <w:color w:val="1A1A1A"/>
          <w:sz w:val="21"/>
          <w:szCs w:val="21"/>
        </w:rPr>
        <w:t xml:space="preserve">Students are encouraged to discuss the meaning and significance of a teaching, an event or a source text with their peers, and to consult the prescribed textbook and other reputable resources to build their understanding. However, copying an answer from any source — including another student, a book, or an online resource — and submitting it as one’s own, with or without superficial changes, is a serious violation of academic integrity.</w:t>
      </w:r>
    </w:p>
    <w:p>
      <w:pPr>
        <w:pStyle w:val="Heading2"/>
        <w:spacing w:after="120" w:before="240"/>
      </w:pPr>
      <w:r>
        <w:rPr>
          <w:b/>
          <w:bCs/>
          <w:color w:val="2E3A59"/>
          <w:sz w:val="24"/>
          <w:szCs w:val="24"/>
        </w:rPr>
        <w:t xml:space="preserve">Accurate Citation of Source Material</w:t>
      </w:r>
    </w:p>
    <w:p>
      <w:pPr>
        <w:spacing w:after="160" w:line="276"/>
      </w:pPr>
      <w:r>
        <w:rPr>
          <w:color w:val="1A1A1A"/>
          <w:sz w:val="21"/>
          <w:szCs w:val="21"/>
        </w:rPr>
        <w:t xml:space="preserve">Students are expected to cite a verse of the Holy Quran, a Hadith, or a historical event accurately, and to distinguish clearly between an established source text and their own explanation, reflection or evaluation of it. Attributing a fabricated or unverified statement to the Holy Quran or Hadith, even unintentionally through careless citation, should be avoided; where a student is uncertain of an exact reference, they should explain the teaching in their own words rather than risk a false attribution.</w:t>
      </w:r>
    </w:p>
    <w:p>
      <w:r>
        <w:br w:type="page"/>
      </w:r>
    </w:p>
    <w:p>
      <w:pPr>
        <w:pStyle w:val="Heading1"/>
        <w:pBdr>
          <w:bottom w:val="single" w:color="6E2C3A" w:sz="6" w:space="4"/>
        </w:pBdr>
        <w:spacing w:after="200" w:before="300"/>
      </w:pPr>
      <w:r>
        <w:rPr>
          <w:b/>
          <w:bCs/>
          <w:color w:val="6E2C3A"/>
          <w:sz w:val="30"/>
          <w:szCs w:val="30"/>
        </w:rPr>
        <w:t xml:space="preserve">Acknowledgements</w:t>
      </w:r>
    </w:p>
    <w:p>
      <w:pPr>
        <w:spacing w:after="160" w:line="276"/>
      </w:pPr>
      <w:r>
        <w:rPr>
          <w:color w:val="1A1A1A"/>
          <w:sz w:val="21"/>
          <w:szCs w:val="21"/>
        </w:rPr>
        <w:t xml:space="preserve">The Board of Intermediate &amp; Secondary Education, Larkano gratefully acknowledges the contributions of all those who took part in the development of this Islamiat syllabus, including the subject specialists, affiliated-school teachers, and reviewers who generously gave their time, expertise and feedback throughout the review process.</w:t>
      </w:r>
    </w:p>
    <w:p>
      <w:pPr>
        <w:spacing w:after="160" w:line="276"/>
      </w:pPr>
      <w:r>
        <w:rPr>
          <w:color w:val="1A1A1A"/>
          <w:sz w:val="21"/>
          <w:szCs w:val="21"/>
        </w:rPr>
        <w:t xml:space="preserve">The Board also thanks the students and teachers of affiliated institutions across the Larkano region who participated in the needs-assessment consultation that informed this syllabus, and the internal curriculum, assessment and administrative teams who supported its preparation and publication.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BISE Larkano  |  Islamiat HSSC Syllabus 2023</w:t>
    </w:r>
    <w:r>
      <w:rPr>
        <w:sz w:val="16"/>
        <w:szCs w:val="16"/>
      </w:rPr>
      <w:t xml:space="preserv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34dffe94eb3ca76e1106eda664ed1fc7dcf69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2026-08-04T23:40:08.688Z</dcterms:created>
  <dcterms:modified xsi:type="dcterms:W3CDTF">2026-08-04T23:40:08.688Z</dcterms:modified>
</cp:coreProperties>
</file>

<file path=docProps/custom.xml><?xml version="1.0" encoding="utf-8"?>
<Properties xmlns="http://schemas.openxmlformats.org/officeDocument/2006/custom-properties" xmlns:vt="http://schemas.openxmlformats.org/officeDocument/2006/docPropsVTypes"/>
</file>