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p>
    <w:p>
      <w:pPr>
        <w:spacing w:after="40"/>
        <w:jc w:val="center"/>
      </w:pPr>
      <w:r>
        <w:rPr>
          <w:b/>
          <w:bCs/>
          <w:color w:val="6E2C3A"/>
          <w:sz w:val="26"/>
          <w:szCs w:val="26"/>
        </w:rPr>
        <w:t xml:space="preserve">BOARD OF INTERMEDIATE &amp; SECONDARY EDUCATION, LARKANO</w:t>
      </w:r>
    </w:p>
    <w:p>
      <w:pPr>
        <w:spacing w:after="500"/>
        <w:jc w:val="center"/>
      </w:pPr>
      <w:r>
        <w:rPr>
          <w:i/>
          <w:iCs/>
          <w:color w:val="595959"/>
          <w:sz w:val="18"/>
          <w:szCs w:val="18"/>
        </w:rPr>
        <w:t xml:space="preserve">Established to serve affiliated schools and colleges across the Larkano region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shd w:fill="2E3A59" w:val="clear"/>
            <w:tcMar>
              <w:top w:type="dxa" w:w="400"/>
              <w:left w:type="dxa" w:w="400"/>
              <w:bottom w:type="dxa" w:w="400"/>
              <w:right w:type="dxa" w:w="400"/>
            </w:tcMar>
            <w:vAlign w:val="center"/>
          </w:tcPr>
          <w:p>
            <w:pPr>
              <w:spacing w:after="80"/>
              <w:jc w:val="center"/>
            </w:pPr>
            <w:r>
              <w:rPr>
                <w:color w:val="FFFFFF"/>
                <w:sz w:val="24"/>
                <w:szCs w:val="24"/>
              </w:rPr>
              <w:t xml:space="preserve">Higher Secondary School Certificate</w:t>
            </w:r>
          </w:p>
          <w:p>
            <w:pPr>
              <w:spacing w:after="300"/>
              <w:jc w:val="center"/>
            </w:pPr>
            <w:r>
              <w:rPr>
                <w:color w:val="FFFFFF"/>
                <w:sz w:val="24"/>
                <w:szCs w:val="24"/>
              </w:rPr>
              <w:t xml:space="preserve">Examination Syllabus</w:t>
            </w:r>
          </w:p>
          <w:p>
            <w:pPr>
              <w:spacing w:after="200"/>
              <w:jc w:val="center"/>
            </w:pPr>
            <w:r>
              <w:rPr>
                <w:b/>
                <w:bCs/>
                <w:color w:val="FFFFFF"/>
                <w:sz w:val="52"/>
                <w:szCs w:val="52"/>
              </w:rPr>
              <w:t xml:space="preserve">SINDHI</w:t>
            </w:r>
          </w:p>
          <w:p>
            <w:pPr>
              <w:spacing w:after="0"/>
              <w:jc w:val="center"/>
            </w:pPr>
            <w:r>
              <w:rPr>
                <w:color w:val="FFFFFF"/>
                <w:sz w:val="26"/>
                <w:szCs w:val="26"/>
              </w:rPr>
              <w:t xml:space="preserve">Grade XII</w:t>
            </w:r>
          </w:p>
        </w:tc>
      </w:tr>
    </w:tbl>
    <w:p>
      <w:pPr>
        <w:spacing w:after="40" w:before="1400"/>
      </w:pPr>
      <w:r>
        <w:rPr>
          <w:color w:val="595959"/>
          <w:sz w:val="19"/>
          <w:szCs w:val="19"/>
        </w:rPr>
        <w:t xml:space="preserve">This syllabus will be examined in both Annual and Re-sit Examination sessions</w:t>
      </w:r>
    </w:p>
    <w:p>
      <w:pPr>
        <w:spacing w:after="600"/>
      </w:pPr>
      <w:r>
        <w:rPr>
          <w:color w:val="595959"/>
          <w:sz w:val="19"/>
          <w:szCs w:val="19"/>
        </w:rPr>
        <w:t xml:space="preserve">beginning with the Annual Examinations 2023.</w:t>
      </w:r>
    </w:p>
    <w:p>
      <w:pPr>
        <w:spacing w:after="40"/>
      </w:pPr>
      <w:r>
        <w:rPr>
          <w:b/>
          <w:bCs/>
          <w:sz w:val="19"/>
          <w:szCs w:val="19"/>
        </w:rPr>
        <w:t xml:space="preserve">Published by</w:t>
      </w:r>
    </w:p>
    <w:p>
      <w:pPr>
        <w:spacing w:after="4"/>
      </w:pPr>
      <w:r>
        <w:rPr>
          <w:sz w:val="19"/>
          <w:szCs w:val="19"/>
        </w:rPr>
        <w:t xml:space="preserve">Board of Intermediate &amp; Secondary Education, Larkano</w:t>
      </w:r>
    </w:p>
    <w:p>
      <w:pPr>
        <w:spacing w:after="4"/>
      </w:pPr>
      <w:r>
        <w:rPr>
          <w:sz w:val="19"/>
          <w:szCs w:val="19"/>
        </w:rPr>
        <w:t xml:space="preserve">Curriculum &amp; Examination Development Unit</w:t>
      </w:r>
    </w:p>
    <w:p>
      <w:pPr>
        <w:spacing w:after="4"/>
      </w:pPr>
      <w:r>
        <w:rPr>
          <w:sz w:val="19"/>
          <w:szCs w:val="19"/>
        </w:rPr>
        <w:t xml:space="preserve">Larkano, Sindh, Pakistan</w:t>
      </w:r>
    </w:p>
    <w:p>
      <w:pPr>
        <w:spacing w:after="300"/>
      </w:pPr>
      <w:r>
        <w:rPr>
          <w:sz w:val="19"/>
          <w:szCs w:val="19"/>
        </w:rPr>
        <w:t xml:space="preserve">Latest revision: 2023</w:t>
      </w:r>
    </w:p>
    <w:p>
      <w:pPr>
        <w:spacing w:after="4"/>
      </w:pPr>
      <w:r>
        <w:rPr>
          <w:color w:val="595959"/>
          <w:sz w:val="17"/>
          <w:szCs w:val="17"/>
        </w:rPr>
        <w:t xml:space="preserve">© Board of Intermediate &amp; Secondary Education, Larkano, 2023</w:t>
      </w:r>
    </w:p>
    <w:p>
      <w:pPr>
        <w:spacing w:after="4"/>
      </w:pPr>
      <w:r>
        <w:rPr>
          <w:color w:val="595959"/>
          <w:sz w:val="17"/>
          <w:szCs w:val="17"/>
        </w:rPr>
        <w:t xml:space="preserve">All rights and entitlements reserved. This syllabus is developed by BISE Larkano for distribution</w:t>
      </w:r>
    </w:p>
    <w:p>
      <w:pPr>
        <w:spacing w:after="0"/>
      </w:pPr>
      <w:r>
        <w:rPr>
          <w:color w:val="595959"/>
          <w:sz w:val="17"/>
          <w:szCs w:val="17"/>
        </w:rPr>
        <w:t xml:space="preserve">to its affiliated schools and colleges only, and may not be reproduced without prior written permission.</w:t>
      </w:r>
    </w:p>
    <w:p>
      <w:r>
        <w:br w:type="page"/>
      </w:r>
    </w:p>
    <w:p>
      <w:pPr>
        <w:pStyle w:val="Heading1"/>
        <w:pBdr>
          <w:bottom w:val="single" w:color="6E2C3A" w:sz="6" w:space="4"/>
        </w:pBdr>
        <w:spacing w:after="200" w:before="300"/>
      </w:pPr>
      <w:r>
        <w:rPr>
          <w:b/>
          <w:bCs/>
          <w:color w:val="6E2C3A"/>
          <w:sz w:val="30"/>
          <w:szCs w:val="30"/>
        </w:rPr>
        <w:t xml:space="preserve">Table of Contents</w:t>
      </w:r>
    </w:p>
    <w:p>
      <w:pPr>
        <w:tabs>
          <w:tab w:val="right" w:pos="9026" w:leader="dot"/>
        </w:tabs>
        <w:spacing w:after="120"/>
      </w:pPr>
      <w:r>
        <w:rPr>
          <w:sz w:val="21"/>
          <w:szCs w:val="21"/>
        </w:rPr>
        <w:t xml:space="preserve">Preface</w:t>
      </w:r>
      <w:r>
        <w:rPr>
          <w:sz w:val="21"/>
          <w:szCs w:val="21"/>
        </w:rPr>
        <w:t xml:space="preserve">	3</w:t>
      </w:r>
    </w:p>
    <w:p>
      <w:pPr>
        <w:tabs>
          <w:tab w:val="right" w:pos="9026" w:leader="dot"/>
        </w:tabs>
        <w:spacing w:after="120"/>
      </w:pPr>
      <w:r>
        <w:rPr>
          <w:sz w:val="21"/>
          <w:szCs w:val="21"/>
        </w:rPr>
        <w:t xml:space="preserve">Understanding of BISE Larkano Syllabi</w:t>
      </w:r>
      <w:r>
        <w:rPr>
          <w:sz w:val="21"/>
          <w:szCs w:val="21"/>
        </w:rPr>
        <w:t xml:space="preserve">	4</w:t>
      </w:r>
    </w:p>
    <w:p>
      <w:pPr>
        <w:tabs>
          <w:tab w:val="right" w:pos="9026" w:leader="dot"/>
        </w:tabs>
        <w:spacing w:after="120"/>
      </w:pPr>
      <w:r>
        <w:rPr>
          <w:sz w:val="21"/>
          <w:szCs w:val="21"/>
        </w:rPr>
        <w:t xml:space="preserve">Subject Rationale</w:t>
      </w:r>
      <w:r>
        <w:rPr>
          <w:sz w:val="21"/>
          <w:szCs w:val="21"/>
        </w:rPr>
        <w:t xml:space="preserve">	5</w:t>
      </w:r>
    </w:p>
    <w:p>
      <w:pPr>
        <w:tabs>
          <w:tab w:val="right" w:pos="9026" w:leader="dot"/>
        </w:tabs>
        <w:spacing w:after="120"/>
      </w:pPr>
      <w:r>
        <w:rPr>
          <w:sz w:val="21"/>
          <w:szCs w:val="21"/>
        </w:rPr>
        <w:t xml:space="preserve">Concept Map</w:t>
      </w:r>
      <w:r>
        <w:rPr>
          <w:sz w:val="21"/>
          <w:szCs w:val="21"/>
        </w:rPr>
        <w:t xml:space="preserve">	6</w:t>
      </w:r>
    </w:p>
    <w:p>
      <w:pPr>
        <w:tabs>
          <w:tab w:val="right" w:pos="9026" w:leader="dot"/>
        </w:tabs>
        <w:spacing w:after="120"/>
      </w:pPr>
      <w:r>
        <w:rPr>
          <w:sz w:val="21"/>
          <w:szCs w:val="21"/>
        </w:rPr>
        <w:t xml:space="preserve">Student Learning Outcomes</w:t>
      </w:r>
      <w:r>
        <w:rPr>
          <w:sz w:val="21"/>
          <w:szCs w:val="21"/>
        </w:rPr>
        <w:t xml:space="preserve">	7</w:t>
      </w:r>
    </w:p>
    <w:p>
      <w:pPr>
        <w:tabs>
          <w:tab w:val="right" w:pos="9026" w:leader="dot"/>
        </w:tabs>
        <w:spacing w:after="120"/>
      </w:pPr>
      <w:r>
        <w:rPr>
          <w:sz w:val="21"/>
          <w:szCs w:val="21"/>
        </w:rPr>
        <w:t xml:space="preserve">Scheme of Assessment</w:t>
      </w:r>
      <w:r>
        <w:rPr>
          <w:sz w:val="21"/>
          <w:szCs w:val="21"/>
        </w:rPr>
        <w:t xml:space="preserve">	9</w:t>
      </w:r>
    </w:p>
    <w:p>
      <w:pPr>
        <w:tabs>
          <w:tab w:val="right" w:pos="9026" w:leader="dot"/>
        </w:tabs>
        <w:spacing w:after="120"/>
      </w:pPr>
      <w:r>
        <w:rPr>
          <w:sz w:val="21"/>
          <w:szCs w:val="21"/>
        </w:rPr>
        <w:t xml:space="preserve">Academic Integrity</w:t>
      </w:r>
      <w:r>
        <w:rPr>
          <w:sz w:val="21"/>
          <w:szCs w:val="21"/>
        </w:rPr>
        <w:t xml:space="preserve">	11</w:t>
      </w:r>
    </w:p>
    <w:p>
      <w:pPr>
        <w:tabs>
          <w:tab w:val="right" w:pos="9026" w:leader="dot"/>
        </w:tabs>
        <w:spacing w:after="120"/>
      </w:pPr>
      <w:r>
        <w:rPr>
          <w:sz w:val="21"/>
          <w:szCs w:val="21"/>
        </w:rPr>
        <w:t xml:space="preserve">Acknowledgements</w:t>
      </w:r>
      <w:r>
        <w:rPr>
          <w:sz w:val="21"/>
          <w:szCs w:val="21"/>
        </w:rPr>
        <w:t xml:space="preserve">	12</w:t>
      </w:r>
    </w:p>
    <w:p>
      <w:r>
        <w:br w:type="page"/>
      </w:r>
    </w:p>
    <w:p>
      <w:pPr>
        <w:pStyle w:val="Heading1"/>
        <w:pBdr>
          <w:bottom w:val="single" w:color="6E2C3A" w:sz="6" w:space="4"/>
        </w:pBdr>
        <w:spacing w:after="200" w:before="300"/>
      </w:pPr>
      <w:r>
        <w:rPr>
          <w:b/>
          <w:bCs/>
          <w:color w:val="6E2C3A"/>
          <w:sz w:val="30"/>
          <w:szCs w:val="30"/>
        </w:rPr>
        <w:t xml:space="preserve">Preface</w:t>
      </w:r>
    </w:p>
    <w:p>
      <w:pPr>
        <w:spacing w:after="160" w:line="276"/>
      </w:pPr>
      <w:r>
        <w:rPr>
          <w:color w:val="1A1A1A"/>
          <w:sz w:val="21"/>
          <w:szCs w:val="21"/>
        </w:rPr>
        <w:t xml:space="preserve">The Board of Intermediate &amp; Secondary Education, Larkano (BISE Larkano) is a public examination body responsible for the conduct of Secondary School Certificate (SSC) and Higher Secondary School Certificate (HSSC) examinations for its affiliated schools and colleges. The Board is committed to developing examination syllabi that promote genuine linguistic and literary competence, and that remain aligned with the national and provincial curricula.</w:t>
      </w:r>
    </w:p>
    <w:p>
      <w:pPr>
        <w:spacing w:after="160" w:line="276"/>
      </w:pPr>
      <w:r>
        <w:rPr>
          <w:color w:val="1A1A1A"/>
          <w:sz w:val="21"/>
          <w:szCs w:val="21"/>
        </w:rPr>
        <w:t xml:space="preserve">This document sets out the syllabus for Sindhi at the HSSC level (Grade XII). It has been developed in recognition of Sindhi's place as the provincial and mother-tongue language of the majority of the Board's affiliated institutions, and of the importance of reading, writing and appreciating the language with confidence and accuracy.</w:t>
      </w:r>
    </w:p>
    <w:p>
      <w:pPr>
        <w:spacing w:after="160" w:line="276"/>
      </w:pPr>
      <w:r>
        <w:rPr>
          <w:color w:val="1A1A1A"/>
          <w:sz w:val="21"/>
          <w:szCs w:val="21"/>
        </w:rPr>
        <w:t xml:space="preserve">The syllabus was developed following consultation with subject specialists, teachers of affiliated institutions, and reviewers with expertise in the teaching of Sindhi language and literature, and reflects a deliberate effort to move examination preparation away from memorised model answers and toward genuine comprehension, composition and literary appreciation.</w:t>
      </w:r>
    </w:p>
    <w:p>
      <w:pPr>
        <w:spacing w:after="160" w:line="276"/>
      </w:pPr>
      <w:r>
        <w:rPr>
          <w:color w:val="1A1A1A"/>
          <w:sz w:val="21"/>
          <w:szCs w:val="21"/>
        </w:rPr>
        <w:t xml:space="preserve">We are confident that this syllabus will support teachers and students of affiliated institutions in building confident, accurate written and spoken Sindhi, and a genuine appreciation of its literary heritage, and we wish every success to those who study and teach it.</w:t>
      </w:r>
    </w:p>
    <w:p>
      <w:pPr>
        <w:spacing w:after="40" w:before="400"/>
      </w:pPr>
      <w:r>
        <w:rPr>
          <w:b/>
          <w:bCs/>
          <w:sz w:val="21"/>
          <w:szCs w:val="21"/>
        </w:rPr>
        <w:t xml:space="preserve">Controller of Examinations</w:t>
      </w:r>
    </w:p>
    <w:p>
      <w:pPr>
        <w:spacing w:after="4"/>
      </w:pPr>
      <w:r>
        <w:rPr>
          <w:color w:val="595959"/>
          <w:sz w:val="19"/>
          <w:szCs w:val="19"/>
        </w:rPr>
        <w:t xml:space="preserve">Board of Intermediate &amp; Secondary Education, Larkano</w:t>
      </w:r>
    </w:p>
    <w:p>
      <w:r>
        <w:br w:type="page"/>
      </w:r>
    </w:p>
    <w:p>
      <w:pPr>
        <w:pStyle w:val="Heading1"/>
        <w:pBdr>
          <w:bottom w:val="single" w:color="6E2C3A" w:sz="6" w:space="4"/>
        </w:pBdr>
        <w:spacing w:after="200" w:before="300"/>
      </w:pPr>
      <w:r>
        <w:rPr>
          <w:b/>
          <w:bCs/>
          <w:color w:val="6E2C3A"/>
          <w:sz w:val="30"/>
          <w:szCs w:val="30"/>
        </w:rPr>
        <w:t xml:space="preserve">Understanding of BISE Larkano Syllabi</w:t>
      </w:r>
    </w:p>
    <w:p>
      <w:pPr>
        <w:spacing w:after="120"/>
      </w:pPr>
      <w:r>
        <w:rPr>
          <w:b/>
          <w:bCs/>
          <w:sz w:val="21"/>
          <w:szCs w:val="21"/>
        </w:rPr>
        <w:t xml:space="preserve">1. </w:t>
      </w:r>
      <w:r>
        <w:rPr>
          <w:sz w:val="21"/>
          <w:szCs w:val="21"/>
        </w:rPr>
        <w:t xml:space="preserve">The BISE Larkano syllabi guide students, teachers, parents and other stakeholders regarding the topics that will be taught and examined in each grade. In each syllabus document, the content progresses from simple to complex, facilitating gradual, skill-based learning.</w:t>
      </w:r>
    </w:p>
    <w:p>
      <w:pPr>
        <w:spacing w:after="120"/>
      </w:pPr>
      <w:r>
        <w:rPr>
          <w:b/>
          <w:bCs/>
          <w:sz w:val="21"/>
          <w:szCs w:val="21"/>
        </w:rPr>
        <w:t xml:space="preserve">2. </w:t>
      </w:r>
      <w:r>
        <w:rPr>
          <w:sz w:val="21"/>
          <w:szCs w:val="21"/>
        </w:rPr>
        <w:t xml:space="preserve">The topics of each syllabus are divided into sub-topics and Student Learning Outcomes (SLOs). The sub-topics and SLOs define the depth and breadth at which each topic will be taught, learnt and examined.</w:t>
      </w:r>
    </w:p>
    <w:p>
      <w:pPr>
        <w:spacing w:after="120"/>
      </w:pPr>
      <w:r>
        <w:rPr>
          <w:b/>
          <w:bCs/>
          <w:sz w:val="21"/>
          <w:szCs w:val="21"/>
        </w:rPr>
        <w:t xml:space="preserve">3. </w:t>
      </w:r>
      <w:r>
        <w:rPr>
          <w:sz w:val="21"/>
          <w:szCs w:val="21"/>
        </w:rPr>
        <w:t xml:space="preserve">Each SLO begins with an achievable, assessable command word such as ‘identify’, ‘explain’, ‘construct’ or ‘evaluate’. Examination questions are framed using the same command words, or their equivalents, to elicit evidence of these competencies in students’ responses.</w:t>
      </w:r>
    </w:p>
    <w:p>
      <w:pPr>
        <w:spacing w:after="120"/>
      </w:pPr>
      <w:r>
        <w:rPr>
          <w:b/>
          <w:bCs/>
          <w:sz w:val="21"/>
          <w:szCs w:val="21"/>
        </w:rPr>
        <w:t xml:space="preserve">4. </w:t>
      </w:r>
      <w:r>
        <w:rPr>
          <w:sz w:val="21"/>
          <w:szCs w:val="21"/>
        </w:rPr>
        <w:t xml:space="preserve">The SLOs are classified under three cognitive levels: Knowledge (K), Understanding (U), and Application and other higher-order skills (A), to support effective planning by teachers and the balanced construction of examination papers.</w:t>
      </w:r>
    </w:p>
    <w:p>
      <w:pPr>
        <w:spacing w:after="120"/>
      </w:pPr>
      <w:r>
        <w:rPr>
          <w:b/>
          <w:bCs/>
          <w:sz w:val="21"/>
          <w:szCs w:val="21"/>
        </w:rPr>
        <w:t xml:space="preserve">5. </w:t>
      </w:r>
      <w:r>
        <w:rPr>
          <w:sz w:val="21"/>
          <w:szCs w:val="21"/>
        </w:rPr>
        <w:t xml:space="preserve">By focusing on the achievement of SLOs rather than on the reproduction of memorised model answers, this syllabus aims to encourage students to read prose and poetry critically, to write with clarity and correctness, and to communicate their own ideas — skills that extend well beyond a single assignment or examination.</w:t>
      </w:r>
    </w:p>
    <w:p>
      <w:pPr>
        <w:spacing w:after="120"/>
      </w:pPr>
      <w:r>
        <w:rPr>
          <w:b/>
          <w:bCs/>
          <w:sz w:val="21"/>
          <w:szCs w:val="21"/>
        </w:rPr>
        <w:t xml:space="preserve">6. </w:t>
      </w:r>
      <w:r>
        <w:rPr>
          <w:sz w:val="21"/>
          <w:szCs w:val="21"/>
        </w:rPr>
        <w:t xml:space="preserve">While the syllabus recommends locally available textbooks and resources for achieving these outcomes, teachers and students are encouraged to draw on multiple teaching and learning resources, and to submit only their own original writing and translation for assessment.</w:t>
      </w:r>
    </w:p>
    <w:p>
      <w:r>
        <w:br w:type="page"/>
      </w:r>
    </w:p>
    <w:p>
      <w:pPr>
        <w:pStyle w:val="Heading1"/>
        <w:pBdr>
          <w:bottom w:val="single" w:color="6E2C3A" w:sz="6" w:space="4"/>
        </w:pBdr>
        <w:spacing w:after="200" w:before="300"/>
      </w:pPr>
      <w:r>
        <w:rPr>
          <w:b/>
          <w:bCs/>
          <w:color w:val="6E2C3A"/>
          <w:sz w:val="30"/>
          <w:szCs w:val="30"/>
        </w:rPr>
        <w:t xml:space="preserve">Subject Rationale of Sindhi</w:t>
      </w:r>
    </w:p>
    <w:p>
      <w:pPr>
        <w:pStyle w:val="Heading2"/>
        <w:spacing w:after="120" w:before="240"/>
      </w:pPr>
      <w:r>
        <w:rPr>
          <w:b/>
          <w:bCs/>
          <w:color w:val="2E3A59"/>
          <w:sz w:val="24"/>
          <w:szCs w:val="24"/>
        </w:rPr>
        <w:t xml:space="preserve">What will you learn in Sindhi?</w:t>
      </w:r>
    </w:p>
    <w:p>
      <w:pPr>
        <w:spacing w:after="160" w:line="276"/>
      </w:pPr>
      <w:r>
        <w:rPr>
          <w:color w:val="1A1A1A"/>
          <w:sz w:val="21"/>
          <w:szCs w:val="21"/>
        </w:rPr>
        <w:t xml:space="preserve">Sindhi is the mother tongue of the majority of students at the Board's affiliated institutions, and carries a rich literary and cultural heritage of prose and poetry. This syllabus teaches students to read a prose passage or a poem critically and draw out its meaning, to write with clarity, correctness and an appropriate tone for a given purpose, and to translate accurately between Sindhi and Urdu or English.</w:t>
      </w:r>
    </w:p>
    <w:p>
      <w:pPr>
        <w:spacing w:after="160" w:line="276"/>
      </w:pPr>
      <w:r>
        <w:rPr>
          <w:color w:val="1A1A1A"/>
          <w:sz w:val="21"/>
          <w:szCs w:val="21"/>
        </w:rPr>
        <w:t xml:space="preserve">Many students who can recognise correct grammar in isolation have not yet learned to write a well-organised essay, to appreciate the stylistic choices of a prose writer or poet, or to translate a passage while preserving its meaning and tone. This syllabus addresses that gap directly. Students will build their skills in prose and poetry appreciation, grammar and sentence structure, composition, and translation.</w:t>
      </w:r>
    </w:p>
    <w:p>
      <w:pPr>
        <w:spacing w:after="160" w:line="276"/>
      </w:pPr>
      <w:r>
        <w:rPr>
          <w:color w:val="1A1A1A"/>
          <w:sz w:val="21"/>
          <w:szCs w:val="21"/>
        </w:rPr>
        <w:t xml:space="preserve">Throughout, the syllabus emphasises genuine linguistic and literary competence — the ability to read, appreciate, write and translate accurately and appropriately — rather than the reproduction of memorised model answers.</w:t>
      </w:r>
    </w:p>
    <w:p>
      <w:pPr>
        <w:pStyle w:val="Heading2"/>
        <w:spacing w:after="120" w:before="240"/>
      </w:pPr>
      <w:r>
        <w:rPr>
          <w:b/>
          <w:bCs/>
          <w:color w:val="2E3A59"/>
          <w:sz w:val="24"/>
          <w:szCs w:val="24"/>
        </w:rPr>
        <w:t xml:space="preserve">Why does every student study this subject?</w:t>
      </w:r>
    </w:p>
    <w:p>
      <w:pPr>
        <w:spacing w:after="160" w:line="276"/>
      </w:pPr>
      <w:r>
        <w:rPr>
          <w:color w:val="1A1A1A"/>
          <w:sz w:val="21"/>
          <w:szCs w:val="21"/>
        </w:rPr>
        <w:t xml:space="preserve">Sindhi is a compulsory subject for HSSC candidates at affiliated institutions in the Larkano region. It provides the reading, writing and communication skills every student needs to engage with their mother tongue and its literary heritage, and complements each student's specialised subjects with the language skills to express what they know clearly and accurately.</w:t>
      </w:r>
    </w:p>
    <w:p>
      <w:pPr>
        <w:pStyle w:val="Heading2"/>
        <w:spacing w:after="120" w:before="240"/>
      </w:pPr>
      <w:r>
        <w:rPr>
          <w:b/>
          <w:bCs/>
          <w:color w:val="2E3A59"/>
          <w:sz w:val="24"/>
          <w:szCs w:val="24"/>
        </w:rPr>
        <w:t xml:space="preserve">How to approach the syllabus?</w:t>
      </w:r>
    </w:p>
    <w:p>
      <w:pPr>
        <w:spacing w:after="160" w:line="276"/>
      </w:pPr>
      <w:r>
        <w:rPr>
          <w:color w:val="1A1A1A"/>
          <w:sz w:val="21"/>
          <w:szCs w:val="21"/>
        </w:rPr>
        <w:t xml:space="preserve">The concept map on the following page gives an overview of the entire syllabus. The topics and Student Learning Outcomes guide what has to be achieved, and the Scheme of Assessment explains how each topic will be weighted and examined.</w:t>
      </w:r>
    </w:p>
    <w:p>
      <w:r>
        <w:br w:type="page"/>
      </w:r>
    </w:p>
    <w:p>
      <w:pPr>
        <w:pStyle w:val="Heading1"/>
        <w:pBdr>
          <w:bottom w:val="single" w:color="6E2C3A" w:sz="6" w:space="4"/>
        </w:pBdr>
        <w:spacing w:after="200" w:before="300"/>
      </w:pPr>
      <w:r>
        <w:rPr>
          <w:b/>
          <w:bCs/>
          <w:color w:val="6E2C3A"/>
          <w:sz w:val="30"/>
          <w:szCs w:val="30"/>
        </w:rPr>
        <w:t xml:space="preserve">Concept Map</w:t>
      </w:r>
    </w:p>
    <w:p>
      <w:pPr>
        <w:spacing w:after="160" w:line="276"/>
      </w:pPr>
      <w:r>
        <w:rPr>
          <w:color w:val="1A1A1A"/>
          <w:sz w:val="21"/>
          <w:szCs w:val="21"/>
        </w:rPr>
        <w:t xml:space="preserve">The concept map below organises the syllabus into four connected strands, all resting on a foundation of Literary Appreciation and Linguistic Accuracy — the ability to read, appreciate, write and translate with clarity, correctness and an appropriate sense of audience.</w:t>
      </w:r>
    </w:p>
    <w:p>
      <w:pPr>
        <w:pStyle w:val="Heading2"/>
        <w:spacing w:after="120" w:before="240"/>
      </w:pPr>
      <w:r>
        <w:rPr>
          <w:b/>
          <w:bCs/>
          <w:color w:val="2E3A59"/>
          <w:sz w:val="24"/>
          <w:szCs w:val="24"/>
        </w:rPr>
        <w:t xml:space="preserve">Prose and Poetry Appreciation</w:t>
      </w:r>
    </w:p>
    <w:p>
      <w:pPr>
        <w:pStyle w:val="ListParagraph"/>
        <w:numPr>
          <w:ilvl w:val="0"/>
          <w:numId w:val="1"/>
        </w:numPr>
        <w:spacing w:after="80"/>
      </w:pPr>
      <w:r>
        <w:rPr>
          <w:sz w:val="21"/>
          <w:szCs w:val="21"/>
        </w:rPr>
        <w:t xml:space="preserve">Comprehension of Prescribed and Unseen Prose</w:t>
      </w:r>
    </w:p>
    <w:p>
      <w:pPr>
        <w:pStyle w:val="ListParagraph"/>
        <w:numPr>
          <w:ilvl w:val="0"/>
          <w:numId w:val="1"/>
        </w:numPr>
        <w:spacing w:after="80"/>
      </w:pPr>
      <w:r>
        <w:rPr>
          <w:sz w:val="21"/>
          <w:szCs w:val="21"/>
        </w:rPr>
        <w:t xml:space="preserve">Stylistic and Thematic Analysis</w:t>
      </w:r>
    </w:p>
    <w:p>
      <w:pPr>
        <w:pStyle w:val="ListParagraph"/>
        <w:numPr>
          <w:ilvl w:val="0"/>
          <w:numId w:val="1"/>
        </w:numPr>
        <w:spacing w:after="80"/>
      </w:pPr>
      <w:r>
        <w:rPr>
          <w:sz w:val="21"/>
          <w:szCs w:val="21"/>
        </w:rPr>
        <w:t xml:space="preserve">Poetic Devices and Form</w:t>
      </w:r>
    </w:p>
    <w:p>
      <w:pPr>
        <w:pStyle w:val="ListParagraph"/>
        <w:numPr>
          <w:ilvl w:val="0"/>
          <w:numId w:val="1"/>
        </w:numPr>
        <w:spacing w:after="80"/>
      </w:pPr>
      <w:r>
        <w:rPr>
          <w:sz w:val="21"/>
          <w:szCs w:val="21"/>
        </w:rPr>
        <w:t xml:space="preserve">Critical Appreciation of Poetry</w:t>
      </w:r>
    </w:p>
    <w:p>
      <w:pPr>
        <w:pStyle w:val="Heading2"/>
        <w:spacing w:after="120" w:before="240"/>
      </w:pPr>
      <w:r>
        <w:rPr>
          <w:b/>
          <w:bCs/>
          <w:color w:val="2E3A59"/>
          <w:sz w:val="24"/>
          <w:szCs w:val="24"/>
        </w:rPr>
        <w:t xml:space="preserve">Grammar and Language Accuracy</w:t>
      </w:r>
    </w:p>
    <w:p>
      <w:pPr>
        <w:pStyle w:val="ListParagraph"/>
        <w:numPr>
          <w:ilvl w:val="0"/>
          <w:numId w:val="1"/>
        </w:numPr>
        <w:spacing w:after="80"/>
      </w:pPr>
      <w:r>
        <w:rPr>
          <w:sz w:val="21"/>
          <w:szCs w:val="21"/>
        </w:rPr>
        <w:t xml:space="preserve">Parts of Speech and Sentence Formation</w:t>
      </w:r>
    </w:p>
    <w:p>
      <w:pPr>
        <w:pStyle w:val="ListParagraph"/>
        <w:numPr>
          <w:ilvl w:val="0"/>
          <w:numId w:val="1"/>
        </w:numPr>
        <w:spacing w:after="80"/>
      </w:pPr>
      <w:r>
        <w:rPr>
          <w:sz w:val="21"/>
          <w:szCs w:val="21"/>
        </w:rPr>
        <w:t xml:space="preserve">Sentence Correction and Usage</w:t>
      </w:r>
    </w:p>
    <w:p>
      <w:pPr>
        <w:pStyle w:val="ListParagraph"/>
        <w:numPr>
          <w:ilvl w:val="0"/>
          <w:numId w:val="1"/>
        </w:numPr>
        <w:spacing w:after="80"/>
      </w:pPr>
      <w:r>
        <w:rPr>
          <w:sz w:val="21"/>
          <w:szCs w:val="21"/>
        </w:rPr>
        <w:t xml:space="preserve">Idiomatic Expressions and Proverbs</w:t>
      </w:r>
    </w:p>
    <w:p>
      <w:pPr>
        <w:pStyle w:val="Heading2"/>
        <w:spacing w:after="120" w:before="240"/>
      </w:pPr>
      <w:r>
        <w:rPr>
          <w:b/>
          <w:bCs/>
          <w:color w:val="2E3A59"/>
          <w:sz w:val="24"/>
          <w:szCs w:val="24"/>
        </w:rPr>
        <w:t xml:space="preserve">Composition and Correspondence</w:t>
      </w:r>
    </w:p>
    <w:p>
      <w:pPr>
        <w:pStyle w:val="ListParagraph"/>
        <w:numPr>
          <w:ilvl w:val="0"/>
          <w:numId w:val="1"/>
        </w:numPr>
        <w:spacing w:after="80"/>
      </w:pPr>
      <w:r>
        <w:rPr>
          <w:sz w:val="21"/>
          <w:szCs w:val="21"/>
        </w:rPr>
        <w:t xml:space="preserve">Essay Writing</w:t>
      </w:r>
    </w:p>
    <w:p>
      <w:pPr>
        <w:pStyle w:val="ListParagraph"/>
        <w:numPr>
          <w:ilvl w:val="0"/>
          <w:numId w:val="1"/>
        </w:numPr>
        <w:spacing w:after="80"/>
      </w:pPr>
      <w:r>
        <w:rPr>
          <w:sz w:val="21"/>
          <w:szCs w:val="21"/>
        </w:rPr>
        <w:t xml:space="preserve">Formal and Informal Letter Writing</w:t>
      </w:r>
    </w:p>
    <w:p>
      <w:pPr>
        <w:pStyle w:val="ListParagraph"/>
        <w:numPr>
          <w:ilvl w:val="0"/>
          <w:numId w:val="1"/>
        </w:numPr>
        <w:spacing w:after="80"/>
      </w:pPr>
      <w:r>
        <w:rPr>
          <w:sz w:val="21"/>
          <w:szCs w:val="21"/>
        </w:rPr>
        <w:t xml:space="preserve">Applied and Functional Writing</w:t>
      </w:r>
    </w:p>
    <w:p>
      <w:pPr>
        <w:pStyle w:val="Heading2"/>
        <w:spacing w:after="120" w:before="240"/>
      </w:pPr>
      <w:r>
        <w:rPr>
          <w:b/>
          <w:bCs/>
          <w:color w:val="2E3A59"/>
          <w:sz w:val="24"/>
          <w:szCs w:val="24"/>
        </w:rPr>
        <w:t xml:space="preserve">Translation and Communication</w:t>
      </w:r>
    </w:p>
    <w:p>
      <w:pPr>
        <w:pStyle w:val="ListParagraph"/>
        <w:numPr>
          <w:ilvl w:val="0"/>
          <w:numId w:val="1"/>
        </w:numPr>
        <w:spacing w:after="80"/>
      </w:pPr>
      <w:r>
        <w:rPr>
          <w:sz w:val="21"/>
          <w:szCs w:val="21"/>
        </w:rPr>
        <w:t xml:space="preserve">Passage Translation (Urdu/English to Sindhi)</w:t>
      </w:r>
    </w:p>
    <w:p>
      <w:pPr>
        <w:pStyle w:val="ListParagraph"/>
        <w:numPr>
          <w:ilvl w:val="0"/>
          <w:numId w:val="1"/>
        </w:numPr>
        <w:spacing w:after="80"/>
      </w:pPr>
      <w:r>
        <w:rPr>
          <w:sz w:val="21"/>
          <w:szCs w:val="21"/>
        </w:rPr>
        <w:t xml:space="preserve">Reports and Notices</w:t>
      </w:r>
    </w:p>
    <w:p>
      <w:pPr>
        <w:pStyle w:val="ListParagraph"/>
        <w:numPr>
          <w:ilvl w:val="0"/>
          <w:numId w:val="1"/>
        </w:numPr>
        <w:spacing w:after="80"/>
      </w:pPr>
      <w:r>
        <w:rPr>
          <w:sz w:val="21"/>
          <w:szCs w:val="21"/>
        </w:rPr>
        <w:t xml:space="preserve">Everyday Functional Writing</w:t>
      </w:r>
    </w:p>
    <w:p>
      <w:pPr>
        <w:spacing w:after="160" w:line="276"/>
      </w:pPr>
      <w:r>
        <w:rPr>
          <w:i/>
          <w:iCs/>
          <w:color w:val="1A1A1A"/>
          <w:sz w:val="21"/>
          <w:szCs w:val="21"/>
        </w:rPr>
        <w:t xml:space="preserve">Literary Appreciation and Linguistic Accuracy underpin all four strands: every comprehension answer, every grammatical correction and every piece of original writing in this syllabus is ultimately a tool for engaging with and communicating meaning in the Sindhi language.</w:t>
      </w:r>
    </w:p>
    <w:p>
      <w:r>
        <w:br w:type="page"/>
      </w:r>
    </w:p>
    <w:p>
      <w:pPr>
        <w:pStyle w:val="Heading1"/>
        <w:pBdr>
          <w:bottom w:val="single" w:color="6E2C3A" w:sz="6" w:space="4"/>
        </w:pBdr>
        <w:spacing w:after="200" w:before="300"/>
      </w:pPr>
      <w:r>
        <w:rPr>
          <w:b/>
          <w:bCs/>
          <w:color w:val="6E2C3A"/>
          <w:sz w:val="30"/>
          <w:szCs w:val="30"/>
        </w:rPr>
        <w:t xml:space="preserve">Student Learning Outcomes of Sindhi</w:t>
      </w:r>
    </w:p>
    <w:p>
      <w:pPr>
        <w:spacing w:after="160" w:line="276"/>
      </w:pPr>
      <w:r>
        <w:rPr>
          <w:color w:val="1A1A1A"/>
          <w:sz w:val="21"/>
          <w:szCs w:val="21"/>
        </w:rPr>
        <w:t xml:space="preserve">This syllabus is studied and examined in Grade XII.</w:t>
      </w:r>
    </w:p>
    <w:p>
      <w:pPr>
        <w:spacing w:after="100" w:before="300"/>
      </w:pPr>
      <w:r>
        <w:rPr>
          <w:b/>
          <w:bCs/>
          <w:color w:val="2E3A59"/>
          <w:sz w:val="22"/>
          <w:szCs w:val="22"/>
        </w:rPr>
        <w:t xml:space="preserve">1. Prose Comprehension and Appreciation (Nasr)</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1.1 Comprehension</w:t>
            </w:r>
          </w:p>
        </w:tc>
        <w:tc>
          <w:tcPr>
            <w:tcW w:type="dxa" w:w="5580"/>
            <w:tcMar>
              <w:top w:type="dxa" w:w="60"/>
              <w:left w:type="dxa" w:w="100"/>
              <w:bottom w:type="dxa" w:w="60"/>
              <w:right w:type="dxa" w:w="100"/>
            </w:tcMar>
          </w:tcPr>
          <w:p>
            <w:r>
              <w:rPr>
                <w:sz w:val="18"/>
                <w:szCs w:val="18"/>
              </w:rPr>
              <w:t xml:space="preserve">identify the central theme and supporting ideas of a prescribed or unseen Sindhi prose passage;</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answer literal and inferential questions on a prose passage in Sindhi;</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1.2 Appreciation of Prose</w:t>
            </w:r>
          </w:p>
        </w:tc>
        <w:tc>
          <w:tcPr>
            <w:tcW w:type="dxa" w:w="5580"/>
            <w:tcMar>
              <w:top w:type="dxa" w:w="60"/>
              <w:left w:type="dxa" w:w="100"/>
              <w:bottom w:type="dxa" w:w="60"/>
              <w:right w:type="dxa" w:w="100"/>
            </w:tcMar>
          </w:tcPr>
          <w:p>
            <w:r>
              <w:rPr>
                <w:sz w:val="18"/>
                <w:szCs w:val="18"/>
              </w:rPr>
              <w:t xml:space="preserve">explain the stylistic and thematic features of a prescribed prose piece;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evaluate the writer's purpose and perspective in a given prose passage;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2. Poetry Appreciation (Nazm)</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2.1 Understanding Poetic Form</w:t>
            </w:r>
          </w:p>
        </w:tc>
        <w:tc>
          <w:tcPr>
            <w:tcW w:type="dxa" w:w="5580"/>
            <w:tcMar>
              <w:top w:type="dxa" w:w="60"/>
              <w:left w:type="dxa" w:w="100"/>
              <w:bottom w:type="dxa" w:w="60"/>
              <w:right w:type="dxa" w:w="100"/>
            </w:tcMar>
          </w:tcPr>
          <w:p>
            <w:r>
              <w:rPr>
                <w:sz w:val="18"/>
                <w:szCs w:val="18"/>
              </w:rPr>
              <w:t xml:space="preserve">identify the central theme and mood of a prescribed poem;</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describe common poetic devices used in Sindhi poetry, e.g. metaphor, simile and refrain;</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2.2 Critical Appreciation</w:t>
            </w:r>
          </w:p>
        </w:tc>
        <w:tc>
          <w:tcPr>
            <w:tcW w:type="dxa" w:w="5580"/>
            <w:tcMar>
              <w:top w:type="dxa" w:w="60"/>
              <w:left w:type="dxa" w:w="100"/>
              <w:bottom w:type="dxa" w:w="60"/>
              <w:right w:type="dxa" w:w="100"/>
            </w:tcMar>
          </w:tcPr>
          <w:p>
            <w:r>
              <w:rPr>
                <w:sz w:val="18"/>
                <w:szCs w:val="18"/>
              </w:rPr>
              <w:t xml:space="preserve">explain the meaning and significance of a given verse or stanza in its context;</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evaluate how a poet's use of language conveys a particular theme or emotion;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3. Grammar and Sentence Structure</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3.1 Parts of Speech and Sentence Formation</w:t>
            </w:r>
          </w:p>
        </w:tc>
        <w:tc>
          <w:tcPr>
            <w:tcW w:type="dxa" w:w="5580"/>
            <w:tcMar>
              <w:top w:type="dxa" w:w="60"/>
              <w:left w:type="dxa" w:w="100"/>
              <w:bottom w:type="dxa" w:w="60"/>
              <w:right w:type="dxa" w:w="100"/>
            </w:tcMar>
          </w:tcPr>
          <w:p>
            <w:r>
              <w:rPr>
                <w:sz w:val="18"/>
                <w:szCs w:val="18"/>
              </w:rPr>
              <w:t xml:space="preserve">identify the parts of speech used in a Sindhi sentence;</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construct grammatically correct simple and compound sentences in Sindhi;</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3.2 Correction and Usage</w:t>
            </w:r>
          </w:p>
        </w:tc>
        <w:tc>
          <w:tcPr>
            <w:tcW w:type="dxa" w:w="5580"/>
            <w:tcMar>
              <w:top w:type="dxa" w:w="60"/>
              <w:left w:type="dxa" w:w="100"/>
              <w:bottom w:type="dxa" w:w="60"/>
              <w:right w:type="dxa" w:w="100"/>
            </w:tcMar>
          </w:tcPr>
          <w:p>
            <w:r>
              <w:rPr>
                <w:sz w:val="18"/>
                <w:szCs w:val="18"/>
              </w:rPr>
              <w:t xml:space="preserve">correct a grammatically incorrect Sindhi sentence and explain the error;</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use idiomatic expressions and proverbs correctly in a sentence;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4. Composition: Essay and Letter Writing</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4.1 Essay Writing</w:t>
            </w:r>
          </w:p>
        </w:tc>
        <w:tc>
          <w:tcPr>
            <w:tcW w:type="dxa" w:w="5580"/>
            <w:tcMar>
              <w:top w:type="dxa" w:w="60"/>
              <w:left w:type="dxa" w:w="100"/>
              <w:bottom w:type="dxa" w:w="60"/>
              <w:right w:type="dxa" w:w="100"/>
            </w:tcMar>
          </w:tcPr>
          <w:p>
            <w:r>
              <w:rPr>
                <w:sz w:val="18"/>
                <w:szCs w:val="18"/>
              </w:rPr>
              <w:t xml:space="preserve">write a well-organised essay on a given topic with a clear introduction, body and conclusion;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4.2 Letter and Application Writing</w:t>
            </w:r>
          </w:p>
        </w:tc>
        <w:tc>
          <w:tcPr>
            <w:tcW w:type="dxa" w:w="5580"/>
            <w:tcMar>
              <w:top w:type="dxa" w:w="60"/>
              <w:left w:type="dxa" w:w="100"/>
              <w:bottom w:type="dxa" w:w="60"/>
              <w:right w:type="dxa" w:w="100"/>
            </w:tcMar>
          </w:tcPr>
          <w:p>
            <w:r>
              <w:rPr>
                <w:sz w:val="18"/>
                <w:szCs w:val="18"/>
              </w:rPr>
              <w:t xml:space="preserve">write a formal letter or application following the conventions of Sindhi correspondence;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write an informal letter to a friend or family member on a given situation;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5. Translation and Applied Writing</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5.1 Translation</w:t>
            </w:r>
          </w:p>
        </w:tc>
        <w:tc>
          <w:tcPr>
            <w:tcW w:type="dxa" w:w="5580"/>
            <w:tcMar>
              <w:top w:type="dxa" w:w="60"/>
              <w:left w:type="dxa" w:w="100"/>
              <w:bottom w:type="dxa" w:w="60"/>
              <w:right w:type="dxa" w:w="100"/>
            </w:tcMar>
          </w:tcPr>
          <w:p>
            <w:r>
              <w:rPr>
                <w:sz w:val="18"/>
                <w:szCs w:val="18"/>
              </w:rPr>
              <w:t xml:space="preserve">translate a short passage from Urdu or English into Sindhi, preserving its meaning and tone;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5.2 Applied Writing</w:t>
            </w:r>
          </w:p>
        </w:tc>
        <w:tc>
          <w:tcPr>
            <w:tcW w:type="dxa" w:w="5580"/>
            <w:tcMar>
              <w:top w:type="dxa" w:w="60"/>
              <w:left w:type="dxa" w:w="100"/>
              <w:bottom w:type="dxa" w:w="60"/>
              <w:right w:type="dxa" w:w="100"/>
            </w:tcMar>
          </w:tcPr>
          <w:p>
            <w:r>
              <w:rPr>
                <w:sz w:val="18"/>
                <w:szCs w:val="18"/>
              </w:rPr>
              <w:t xml:space="preserve">write a short report, notice, or dialogue appropriate to a given everyday situation in Sindhi;</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r>
        <w:br w:type="page"/>
      </w:r>
    </w:p>
    <w:p>
      <w:pPr>
        <w:pStyle w:val="Heading1"/>
        <w:pBdr>
          <w:bottom w:val="single" w:color="6E2C3A" w:sz="6" w:space="4"/>
        </w:pBdr>
        <w:spacing w:after="200" w:before="300"/>
      </w:pPr>
      <w:r>
        <w:rPr>
          <w:b/>
          <w:bCs/>
          <w:color w:val="6E2C3A"/>
          <w:sz w:val="30"/>
          <w:szCs w:val="30"/>
        </w:rPr>
        <w:t xml:space="preserve">Scheme of Assessment</w:t>
      </w:r>
    </w:p>
    <w:p>
      <w:pPr>
        <w:spacing w:after="160" w:line="276"/>
      </w:pPr>
      <w:r>
        <w:rPr>
          <w:color w:val="1A1A1A"/>
          <w:sz w:val="21"/>
          <w:szCs w:val="21"/>
        </w:rPr>
        <w:t xml:space="preserve">Sindhi is examined through a single Theory (written) paper carrying 100 marks, matching the maximum marks shown against ‘Sindhi’ on the BISE Larkano Marks Certificate. There is no separate Practical component for this subject.</w:t>
      </w:r>
    </w:p>
    <w:p>
      <w:pPr>
        <w:spacing w:after="160" w:line="276"/>
      </w:pPr>
      <w:r>
        <w:rPr>
          <w:b/>
          <w:bCs/>
          <w:color w:val="1A1A1A"/>
          <w:sz w:val="21"/>
          <w:szCs w:val="21"/>
        </w:rPr>
        <w:t xml:space="preserve">Table 1: Number of Student Learning Outcomes by Cognitive Level</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200"/>
        <w:gridCol w:w="1600"/>
        <w:gridCol w:w="900"/>
        <w:gridCol w:w="900"/>
        <w:gridCol w:w="900"/>
        <w:gridCol w:w="11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2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1600"/>
            <w:shd w:fill="6E2C3A" w:val="clear"/>
            <w:tcMar>
              <w:top w:type="dxa" w:w="80"/>
              <w:left w:type="dxa" w:w="100"/>
              <w:bottom w:type="dxa" w:w="80"/>
              <w:right w:type="dxa" w:w="100"/>
            </w:tcMar>
            <w:vAlign w:val="center"/>
          </w:tcPr>
          <w:p>
            <w:pPr>
              <w:jc w:val="center"/>
            </w:pPr>
            <w:r>
              <w:rPr>
                <w:b/>
                <w:bCs/>
                <w:color w:val="FFFFFF"/>
                <w:sz w:val="18"/>
                <w:szCs w:val="18"/>
              </w:rPr>
              <w:t xml:space="preserve">No. of Sub-topics</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K</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U</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A</w:t>
            </w:r>
          </w:p>
        </w:tc>
        <w:tc>
          <w:tcPr>
            <w:tcW w:type="dxa" w:w="1160"/>
            <w:shd w:fill="6E2C3A" w:val="clear"/>
            <w:tcMar>
              <w:top w:type="dxa" w:w="80"/>
              <w:left w:type="dxa" w:w="100"/>
              <w:bottom w:type="dxa" w:w="80"/>
              <w:right w:type="dxa" w:w="100"/>
            </w:tcMar>
            <w:vAlign w:val="center"/>
          </w:tcPr>
          <w:p>
            <w:pPr>
              <w:jc w:val="center"/>
            </w:pPr>
            <w:r>
              <w:rPr>
                <w:b/>
                <w:bCs/>
                <w:color w:val="FFFFFF"/>
                <w:sz w:val="18"/>
                <w:szCs w:val="18"/>
              </w:rPr>
              <w:t xml:space="preserve">Total</w:t>
            </w:r>
          </w:p>
        </w:tc>
      </w:tr>
      <w:tr>
        <w:tc>
          <w:tcPr>
            <w:tcW w:type="dxa" w:w="1100"/>
            <w:tcMar>
              <w:top w:type="dxa" w:w="70"/>
              <w:left w:type="dxa" w:w="100"/>
              <w:bottom w:type="dxa" w:w="70"/>
              <w:right w:type="dxa" w:w="100"/>
            </w:tcMar>
            <w:vAlign w:val="center"/>
          </w:tcPr>
          <w:p>
            <w:pPr>
              <w:jc w:val="left"/>
            </w:pPr>
            <w:r>
              <w:rPr>
                <w:sz w:val="18"/>
                <w:szCs w:val="18"/>
              </w:rPr>
              <w:t xml:space="preserve">1</w:t>
            </w:r>
          </w:p>
        </w:tc>
        <w:tc>
          <w:tcPr>
            <w:tcW w:type="dxa" w:w="4200"/>
            <w:tcMar>
              <w:top w:type="dxa" w:w="70"/>
              <w:left w:type="dxa" w:w="100"/>
              <w:bottom w:type="dxa" w:w="70"/>
              <w:right w:type="dxa" w:w="100"/>
            </w:tcMar>
            <w:vAlign w:val="center"/>
          </w:tcPr>
          <w:p>
            <w:pPr>
              <w:jc w:val="center"/>
            </w:pPr>
            <w:r>
              <w:rPr>
                <w:sz w:val="18"/>
                <w:szCs w:val="18"/>
              </w:rPr>
              <w:t xml:space="preserve">Prose Comprehension and Appreciation (Nasr)</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1160"/>
            <w:tcMar>
              <w:top w:type="dxa" w:w="70"/>
              <w:left w:type="dxa" w:w="100"/>
              <w:bottom w:type="dxa" w:w="70"/>
              <w:right w:type="dxa" w:w="100"/>
            </w:tcMar>
            <w:vAlign w:val="center"/>
          </w:tcPr>
          <w:p>
            <w:pPr>
              <w:jc w:val="center"/>
            </w:pPr>
            <w:r>
              <w:rPr>
                <w:sz w:val="18"/>
                <w:szCs w:val="18"/>
              </w:rPr>
              <w:t xml:space="preserve">4</w:t>
            </w:r>
          </w:p>
        </w:tc>
      </w:tr>
      <w:tr>
        <w:tc>
          <w:tcPr>
            <w:tcW w:type="dxa" w:w="1100"/>
            <w:tcMar>
              <w:top w:type="dxa" w:w="70"/>
              <w:left w:type="dxa" w:w="100"/>
              <w:bottom w:type="dxa" w:w="70"/>
              <w:right w:type="dxa" w:w="100"/>
            </w:tcMar>
            <w:vAlign w:val="center"/>
          </w:tcPr>
          <w:p>
            <w:pPr>
              <w:jc w:val="left"/>
            </w:pPr>
            <w:r>
              <w:rPr>
                <w:sz w:val="18"/>
                <w:szCs w:val="18"/>
              </w:rPr>
              <w:t xml:space="preserve">2</w:t>
            </w:r>
          </w:p>
        </w:tc>
        <w:tc>
          <w:tcPr>
            <w:tcW w:type="dxa" w:w="4200"/>
            <w:tcMar>
              <w:top w:type="dxa" w:w="70"/>
              <w:left w:type="dxa" w:w="100"/>
              <w:bottom w:type="dxa" w:w="70"/>
              <w:right w:type="dxa" w:w="100"/>
            </w:tcMar>
            <w:vAlign w:val="center"/>
          </w:tcPr>
          <w:p>
            <w:pPr>
              <w:jc w:val="center"/>
            </w:pPr>
            <w:r>
              <w:rPr>
                <w:sz w:val="18"/>
                <w:szCs w:val="18"/>
              </w:rPr>
              <w:t xml:space="preserve">Poetry Appreciation (Nazm)</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1160"/>
            <w:tcMar>
              <w:top w:type="dxa" w:w="70"/>
              <w:left w:type="dxa" w:w="100"/>
              <w:bottom w:type="dxa" w:w="70"/>
              <w:right w:type="dxa" w:w="100"/>
            </w:tcMar>
            <w:vAlign w:val="center"/>
          </w:tcPr>
          <w:p>
            <w:pPr>
              <w:jc w:val="center"/>
            </w:pPr>
            <w:r>
              <w:rPr>
                <w:sz w:val="18"/>
                <w:szCs w:val="18"/>
              </w:rPr>
              <w:t xml:space="preserve">4</w:t>
            </w:r>
          </w:p>
        </w:tc>
      </w:tr>
      <w:tr>
        <w:tc>
          <w:tcPr>
            <w:tcW w:type="dxa" w:w="1100"/>
            <w:tcMar>
              <w:top w:type="dxa" w:w="70"/>
              <w:left w:type="dxa" w:w="100"/>
              <w:bottom w:type="dxa" w:w="70"/>
              <w:right w:type="dxa" w:w="100"/>
            </w:tcMar>
            <w:vAlign w:val="center"/>
          </w:tcPr>
          <w:p>
            <w:pPr>
              <w:jc w:val="left"/>
            </w:pPr>
            <w:r>
              <w:rPr>
                <w:sz w:val="18"/>
                <w:szCs w:val="18"/>
              </w:rPr>
              <w:t xml:space="preserve">3</w:t>
            </w:r>
          </w:p>
        </w:tc>
        <w:tc>
          <w:tcPr>
            <w:tcW w:type="dxa" w:w="4200"/>
            <w:tcMar>
              <w:top w:type="dxa" w:w="70"/>
              <w:left w:type="dxa" w:w="100"/>
              <w:bottom w:type="dxa" w:w="70"/>
              <w:right w:type="dxa" w:w="100"/>
            </w:tcMar>
            <w:vAlign w:val="center"/>
          </w:tcPr>
          <w:p>
            <w:pPr>
              <w:jc w:val="center"/>
            </w:pPr>
            <w:r>
              <w:rPr>
                <w:sz w:val="18"/>
                <w:szCs w:val="18"/>
              </w:rPr>
              <w:t xml:space="preserve">Grammar and Sentence Structure</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1160"/>
            <w:tcMar>
              <w:top w:type="dxa" w:w="70"/>
              <w:left w:type="dxa" w:w="100"/>
              <w:bottom w:type="dxa" w:w="70"/>
              <w:right w:type="dxa" w:w="100"/>
            </w:tcMar>
            <w:vAlign w:val="center"/>
          </w:tcPr>
          <w:p>
            <w:pPr>
              <w:jc w:val="center"/>
            </w:pPr>
            <w:r>
              <w:rPr>
                <w:sz w:val="18"/>
                <w:szCs w:val="18"/>
              </w:rPr>
              <w:t xml:space="preserve">4</w:t>
            </w:r>
          </w:p>
        </w:tc>
      </w:tr>
      <w:tr>
        <w:tc>
          <w:tcPr>
            <w:tcW w:type="dxa" w:w="1100"/>
            <w:tcMar>
              <w:top w:type="dxa" w:w="70"/>
              <w:left w:type="dxa" w:w="100"/>
              <w:bottom w:type="dxa" w:w="70"/>
              <w:right w:type="dxa" w:w="100"/>
            </w:tcMar>
            <w:vAlign w:val="center"/>
          </w:tcPr>
          <w:p>
            <w:pPr>
              <w:jc w:val="left"/>
            </w:pPr>
            <w:r>
              <w:rPr>
                <w:sz w:val="18"/>
                <w:szCs w:val="18"/>
              </w:rPr>
              <w:t xml:space="preserve">4</w:t>
            </w:r>
          </w:p>
        </w:tc>
        <w:tc>
          <w:tcPr>
            <w:tcW w:type="dxa" w:w="4200"/>
            <w:tcMar>
              <w:top w:type="dxa" w:w="70"/>
              <w:left w:type="dxa" w:w="100"/>
              <w:bottom w:type="dxa" w:w="70"/>
              <w:right w:type="dxa" w:w="100"/>
            </w:tcMar>
            <w:vAlign w:val="center"/>
          </w:tcPr>
          <w:p>
            <w:pPr>
              <w:jc w:val="center"/>
            </w:pPr>
            <w:r>
              <w:rPr>
                <w:sz w:val="18"/>
                <w:szCs w:val="18"/>
              </w:rPr>
              <w:t xml:space="preserve">Composition: Essay and Letter Writing</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1160"/>
            <w:tcMar>
              <w:top w:type="dxa" w:w="70"/>
              <w:left w:type="dxa" w:w="100"/>
              <w:bottom w:type="dxa" w:w="70"/>
              <w:right w:type="dxa" w:w="100"/>
            </w:tcMar>
            <w:vAlign w:val="center"/>
          </w:tcPr>
          <w:p>
            <w:pPr>
              <w:jc w:val="center"/>
            </w:pPr>
            <w:r>
              <w:rPr>
                <w:sz w:val="18"/>
                <w:szCs w:val="18"/>
              </w:rPr>
              <w:t xml:space="preserve">3</w:t>
            </w:r>
          </w:p>
        </w:tc>
      </w:tr>
      <w:tr>
        <w:tc>
          <w:tcPr>
            <w:tcW w:type="dxa" w:w="1100"/>
            <w:tcMar>
              <w:top w:type="dxa" w:w="70"/>
              <w:left w:type="dxa" w:w="100"/>
              <w:bottom w:type="dxa" w:w="70"/>
              <w:right w:type="dxa" w:w="100"/>
            </w:tcMar>
            <w:vAlign w:val="center"/>
          </w:tcPr>
          <w:p>
            <w:pPr>
              <w:jc w:val="left"/>
            </w:pPr>
            <w:r>
              <w:rPr>
                <w:sz w:val="18"/>
                <w:szCs w:val="18"/>
              </w:rPr>
              <w:t xml:space="preserve">5</w:t>
            </w:r>
          </w:p>
        </w:tc>
        <w:tc>
          <w:tcPr>
            <w:tcW w:type="dxa" w:w="4200"/>
            <w:tcMar>
              <w:top w:type="dxa" w:w="70"/>
              <w:left w:type="dxa" w:w="100"/>
              <w:bottom w:type="dxa" w:w="70"/>
              <w:right w:type="dxa" w:w="100"/>
            </w:tcMar>
            <w:vAlign w:val="center"/>
          </w:tcPr>
          <w:p>
            <w:pPr>
              <w:jc w:val="center"/>
            </w:pPr>
            <w:r>
              <w:rPr>
                <w:sz w:val="18"/>
                <w:szCs w:val="18"/>
              </w:rPr>
              <w:t xml:space="preserve">Translation and Applied Writing</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1160"/>
            <w:tcMar>
              <w:top w:type="dxa" w:w="70"/>
              <w:left w:type="dxa" w:w="100"/>
              <w:bottom w:type="dxa" w:w="70"/>
              <w:right w:type="dxa" w:w="100"/>
            </w:tcMar>
            <w:vAlign w:val="center"/>
          </w:tcPr>
          <w:p>
            <w:pPr>
              <w:jc w:val="center"/>
            </w:pPr>
            <w:r>
              <w:rPr>
                <w:sz w:val="18"/>
                <w:szCs w:val="18"/>
              </w:rPr>
              <w:t xml:space="preserve">2</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Total</w:t>
            </w:r>
          </w:p>
        </w:tc>
        <w:tc>
          <w:tcPr>
            <w:tcW w:type="dxa" w:w="1600"/>
            <w:tcMar>
              <w:top w:type="dxa" w:w="70"/>
              <w:left w:type="dxa" w:w="100"/>
              <w:bottom w:type="dxa" w:w="70"/>
              <w:right w:type="dxa" w:w="100"/>
            </w:tcMar>
            <w:vAlign w:val="center"/>
          </w:tcPr>
          <w:p>
            <w:pPr>
              <w:jc w:val="center"/>
            </w:pPr>
            <w:r>
              <w:rPr>
                <w:sz w:val="18"/>
                <w:szCs w:val="18"/>
              </w:rPr>
              <w:t xml:space="preserve">10</w:t>
            </w:r>
          </w:p>
        </w:tc>
        <w:tc>
          <w:tcPr>
            <w:tcW w:type="dxa" w:w="900"/>
            <w:tcMar>
              <w:top w:type="dxa" w:w="70"/>
              <w:left w:type="dxa" w:w="100"/>
              <w:bottom w:type="dxa" w:w="70"/>
              <w:right w:type="dxa" w:w="100"/>
            </w:tcMar>
            <w:vAlign w:val="center"/>
          </w:tcPr>
          <w:p>
            <w:pPr>
              <w:jc w:val="center"/>
            </w:pPr>
            <w:r>
              <w:rPr>
                <w:sz w:val="18"/>
                <w:szCs w:val="18"/>
              </w:rPr>
              <w:t xml:space="preserve">4</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11</w:t>
            </w:r>
          </w:p>
        </w:tc>
        <w:tc>
          <w:tcPr>
            <w:tcW w:type="dxa" w:w="1160"/>
            <w:tcMar>
              <w:top w:type="dxa" w:w="70"/>
              <w:left w:type="dxa" w:w="100"/>
              <w:bottom w:type="dxa" w:w="70"/>
              <w:right w:type="dxa" w:w="100"/>
            </w:tcMar>
            <w:vAlign w:val="center"/>
          </w:tcPr>
          <w:p>
            <w:pPr>
              <w:jc w:val="center"/>
            </w:pPr>
            <w:r>
              <w:rPr>
                <w:sz w:val="18"/>
                <w:szCs w:val="18"/>
              </w:rPr>
              <w:t xml:space="preserve">17</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Percentage</w:t>
            </w:r>
          </w:p>
        </w:tc>
        <w:tc>
          <w:tcPr>
            <w:tcW w:type="dxa" w:w="1600"/>
            <w:tcMar>
              <w:top w:type="dxa" w:w="70"/>
              <w:left w:type="dxa" w:w="100"/>
              <w:bottom w:type="dxa" w:w="70"/>
              <w:right w:type="dxa" w:w="100"/>
            </w:tcMar>
            <w:vAlign w:val="center"/>
          </w:tcPr>
          <w:p>
            <w:pPr>
              <w:jc w:val="center"/>
            </w:pPr>
            <w:r>
              <w:rPr>
                <w:sz w:val="18"/>
                <w:szCs w:val="18"/>
              </w:rPr>
              <w:t xml:space="preserve"/>
            </w:r>
          </w:p>
        </w:tc>
        <w:tc>
          <w:tcPr>
            <w:tcW w:type="dxa" w:w="900"/>
            <w:tcMar>
              <w:top w:type="dxa" w:w="70"/>
              <w:left w:type="dxa" w:w="100"/>
              <w:bottom w:type="dxa" w:w="70"/>
              <w:right w:type="dxa" w:w="100"/>
            </w:tcMar>
            <w:vAlign w:val="center"/>
          </w:tcPr>
          <w:p>
            <w:pPr>
              <w:jc w:val="center"/>
            </w:pPr>
            <w:r>
              <w:rPr>
                <w:sz w:val="18"/>
                <w:szCs w:val="18"/>
              </w:rPr>
              <w:t xml:space="preserve">24%</w:t>
            </w:r>
          </w:p>
        </w:tc>
        <w:tc>
          <w:tcPr>
            <w:tcW w:type="dxa" w:w="900"/>
            <w:tcMar>
              <w:top w:type="dxa" w:w="70"/>
              <w:left w:type="dxa" w:w="100"/>
              <w:bottom w:type="dxa" w:w="70"/>
              <w:right w:type="dxa" w:w="100"/>
            </w:tcMar>
            <w:vAlign w:val="center"/>
          </w:tcPr>
          <w:p>
            <w:pPr>
              <w:jc w:val="center"/>
            </w:pPr>
            <w:r>
              <w:rPr>
                <w:sz w:val="18"/>
                <w:szCs w:val="18"/>
              </w:rPr>
              <w:t xml:space="preserve">12%</w:t>
            </w:r>
          </w:p>
        </w:tc>
        <w:tc>
          <w:tcPr>
            <w:tcW w:type="dxa" w:w="900"/>
            <w:tcMar>
              <w:top w:type="dxa" w:w="70"/>
              <w:left w:type="dxa" w:w="100"/>
              <w:bottom w:type="dxa" w:w="70"/>
              <w:right w:type="dxa" w:w="100"/>
            </w:tcMar>
            <w:vAlign w:val="center"/>
          </w:tcPr>
          <w:p>
            <w:pPr>
              <w:jc w:val="center"/>
            </w:pPr>
            <w:r>
              <w:rPr>
                <w:sz w:val="18"/>
                <w:szCs w:val="18"/>
              </w:rPr>
              <w:t xml:space="preserve">65%</w:t>
            </w:r>
          </w:p>
        </w:tc>
        <w:tc>
          <w:tcPr>
            <w:tcW w:type="dxa" w:w="1160"/>
            <w:tcMar>
              <w:top w:type="dxa" w:w="70"/>
              <w:left w:type="dxa" w:w="100"/>
              <w:bottom w:type="dxa" w:w="70"/>
              <w:right w:type="dxa" w:w="100"/>
            </w:tcMar>
            <w:vAlign w:val="center"/>
          </w:tcPr>
          <w:p>
            <w:pPr>
              <w:jc w:val="center"/>
            </w:pPr>
            <w:r>
              <w:rPr>
                <w:sz w:val="18"/>
                <w:szCs w:val="18"/>
              </w:rPr>
              <w:t xml:space="preserve">100%</w:t>
            </w:r>
          </w:p>
        </w:tc>
      </w:tr>
    </w:tbl>
    <w:p>
      <w:pPr>
        <w:spacing w:after="160" w:line="276"/>
      </w:pPr>
      <w:r>
        <w:rPr>
          <w:color w:val="1A1A1A"/>
          <w:sz w:val="21"/>
          <w:szCs w:val="21"/>
        </w:rPr>
        <w:t xml:space="preserve"/>
      </w:r>
    </w:p>
    <w:p>
      <w:pPr>
        <w:spacing w:after="160" w:line="276"/>
      </w:pPr>
      <w:r>
        <w:rPr>
          <w:b/>
          <w:bCs/>
          <w:color w:val="1A1A1A"/>
          <w:sz w:val="21"/>
          <w:szCs w:val="21"/>
        </w:rPr>
        <w:t xml:space="preserve">Table 2: Exam Specification — Sindhi — 100 Marks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800"/>
        <w:gridCol w:w="2000"/>
        <w:gridCol w:w="2000"/>
        <w:gridCol w:w="18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8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Objective (Marks)</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Subjective (Marks)</w:t>
            </w:r>
          </w:p>
        </w:tc>
        <w:tc>
          <w:tcPr>
            <w:tcW w:type="dxa" w:w="1860"/>
            <w:shd w:fill="6E2C3A" w:val="clear"/>
            <w:tcMar>
              <w:top w:type="dxa" w:w="80"/>
              <w:left w:type="dxa" w:w="100"/>
              <w:bottom w:type="dxa" w:w="80"/>
              <w:right w:type="dxa" w:w="100"/>
            </w:tcMar>
            <w:vAlign w:val="center"/>
          </w:tcPr>
          <w:p>
            <w:pPr>
              <w:jc w:val="center"/>
            </w:pPr>
            <w:r>
              <w:rPr>
                <w:b/>
                <w:bCs/>
                <w:color w:val="FFFFFF"/>
                <w:sz w:val="18"/>
                <w:szCs w:val="18"/>
              </w:rPr>
              <w:t xml:space="preserve">Total Marks</w:t>
            </w:r>
          </w:p>
        </w:tc>
      </w:tr>
      <w:tr>
        <w:tc>
          <w:tcPr>
            <w:tcW w:type="dxa" w:w="1100"/>
            <w:tcMar>
              <w:top w:type="dxa" w:w="70"/>
              <w:left w:type="dxa" w:w="100"/>
              <w:bottom w:type="dxa" w:w="70"/>
              <w:right w:type="dxa" w:w="100"/>
            </w:tcMar>
            <w:vAlign w:val="center"/>
          </w:tcPr>
          <w:p>
            <w:pPr>
              <w:jc w:val="left"/>
            </w:pPr>
            <w:r>
              <w:rPr>
                <w:sz w:val="18"/>
                <w:szCs w:val="18"/>
              </w:rPr>
              <w:t xml:space="preserve">1</w:t>
            </w:r>
          </w:p>
        </w:tc>
        <w:tc>
          <w:tcPr>
            <w:tcW w:type="dxa" w:w="4800"/>
            <w:tcMar>
              <w:top w:type="dxa" w:w="70"/>
              <w:left w:type="dxa" w:w="100"/>
              <w:bottom w:type="dxa" w:w="70"/>
              <w:right w:type="dxa" w:w="100"/>
            </w:tcMar>
            <w:vAlign w:val="center"/>
          </w:tcPr>
          <w:p>
            <w:pPr>
              <w:jc w:val="center"/>
            </w:pPr>
            <w:r>
              <w:rPr>
                <w:sz w:val="18"/>
                <w:szCs w:val="18"/>
              </w:rPr>
              <w:t xml:space="preserve">Prose Comprehension and Appreciation (Nasr)</w:t>
            </w:r>
          </w:p>
        </w:tc>
        <w:tc>
          <w:tcPr>
            <w:tcW w:type="dxa" w:w="2000"/>
            <w:tcMar>
              <w:top w:type="dxa" w:w="70"/>
              <w:left w:type="dxa" w:w="100"/>
              <w:bottom w:type="dxa" w:w="70"/>
              <w:right w:type="dxa" w:w="100"/>
            </w:tcMar>
            <w:vAlign w:val="center"/>
          </w:tcPr>
          <w:p>
            <w:pPr>
              <w:jc w:val="center"/>
            </w:pPr>
            <w:r>
              <w:rPr>
                <w:sz w:val="18"/>
                <w:szCs w:val="18"/>
              </w:rPr>
              <w:t xml:space="preserve">8</w:t>
            </w:r>
          </w:p>
        </w:tc>
        <w:tc>
          <w:tcPr>
            <w:tcW w:type="dxa" w:w="2000"/>
            <w:tcMar>
              <w:top w:type="dxa" w:w="70"/>
              <w:left w:type="dxa" w:w="100"/>
              <w:bottom w:type="dxa" w:w="70"/>
              <w:right w:type="dxa" w:w="100"/>
            </w:tcMar>
            <w:vAlign w:val="center"/>
          </w:tcPr>
          <w:p>
            <w:pPr>
              <w:jc w:val="center"/>
            </w:pPr>
            <w:r>
              <w:rPr>
                <w:sz w:val="18"/>
                <w:szCs w:val="18"/>
              </w:rPr>
              <w:t xml:space="preserve">17 (1 CRQ)</w:t>
            </w:r>
          </w:p>
        </w:tc>
        <w:tc>
          <w:tcPr>
            <w:tcW w:type="dxa" w:w="1860"/>
            <w:tcMar>
              <w:top w:type="dxa" w:w="70"/>
              <w:left w:type="dxa" w:w="100"/>
              <w:bottom w:type="dxa" w:w="70"/>
              <w:right w:type="dxa" w:w="100"/>
            </w:tcMar>
            <w:vAlign w:val="center"/>
          </w:tcPr>
          <w:p>
            <w:pPr>
              <w:jc w:val="center"/>
            </w:pPr>
            <w:r>
              <w:rPr>
                <w:sz w:val="18"/>
                <w:szCs w:val="18"/>
              </w:rPr>
              <w:t xml:space="preserve">25</w:t>
            </w:r>
          </w:p>
        </w:tc>
      </w:tr>
      <w:tr>
        <w:tc>
          <w:tcPr>
            <w:tcW w:type="dxa" w:w="1100"/>
            <w:tcMar>
              <w:top w:type="dxa" w:w="70"/>
              <w:left w:type="dxa" w:w="100"/>
              <w:bottom w:type="dxa" w:w="70"/>
              <w:right w:type="dxa" w:w="100"/>
            </w:tcMar>
            <w:vAlign w:val="center"/>
          </w:tcPr>
          <w:p>
            <w:pPr>
              <w:jc w:val="left"/>
            </w:pPr>
            <w:r>
              <w:rPr>
                <w:sz w:val="18"/>
                <w:szCs w:val="18"/>
              </w:rPr>
              <w:t xml:space="preserve">2</w:t>
            </w:r>
          </w:p>
        </w:tc>
        <w:tc>
          <w:tcPr>
            <w:tcW w:type="dxa" w:w="4800"/>
            <w:tcMar>
              <w:top w:type="dxa" w:w="70"/>
              <w:left w:type="dxa" w:w="100"/>
              <w:bottom w:type="dxa" w:w="70"/>
              <w:right w:type="dxa" w:w="100"/>
            </w:tcMar>
            <w:vAlign w:val="center"/>
          </w:tcPr>
          <w:p>
            <w:pPr>
              <w:jc w:val="center"/>
            </w:pPr>
            <w:r>
              <w:rPr>
                <w:sz w:val="18"/>
                <w:szCs w:val="18"/>
              </w:rPr>
              <w:t xml:space="preserve">Poetry Appreciation (Nazm)</w:t>
            </w:r>
          </w:p>
        </w:tc>
        <w:tc>
          <w:tcPr>
            <w:tcW w:type="dxa" w:w="2000"/>
            <w:tcMar>
              <w:top w:type="dxa" w:w="70"/>
              <w:left w:type="dxa" w:w="100"/>
              <w:bottom w:type="dxa" w:w="70"/>
              <w:right w:type="dxa" w:w="100"/>
            </w:tcMar>
            <w:vAlign w:val="center"/>
          </w:tcPr>
          <w:p>
            <w:pPr>
              <w:jc w:val="center"/>
            </w:pPr>
            <w:r>
              <w:rPr>
                <w:sz w:val="18"/>
                <w:szCs w:val="18"/>
              </w:rPr>
              <w:t xml:space="preserve">4</w:t>
            </w:r>
          </w:p>
        </w:tc>
        <w:tc>
          <w:tcPr>
            <w:tcW w:type="dxa" w:w="2000"/>
            <w:tcMar>
              <w:top w:type="dxa" w:w="70"/>
              <w:left w:type="dxa" w:w="100"/>
              <w:bottom w:type="dxa" w:w="70"/>
              <w:right w:type="dxa" w:w="100"/>
            </w:tcMar>
            <w:vAlign w:val="center"/>
          </w:tcPr>
          <w:p>
            <w:pPr>
              <w:jc w:val="center"/>
            </w:pPr>
            <w:r>
              <w:rPr>
                <w:sz w:val="18"/>
                <w:szCs w:val="18"/>
              </w:rPr>
              <w:t xml:space="preserve">16 (1 CRQ)</w:t>
            </w:r>
          </w:p>
        </w:tc>
        <w:tc>
          <w:tcPr>
            <w:tcW w:type="dxa" w:w="1860"/>
            <w:tcMar>
              <w:top w:type="dxa" w:w="70"/>
              <w:left w:type="dxa" w:w="100"/>
              <w:bottom w:type="dxa" w:w="70"/>
              <w:right w:type="dxa" w:w="100"/>
            </w:tcMar>
            <w:vAlign w:val="center"/>
          </w:tcPr>
          <w:p>
            <w:pPr>
              <w:jc w:val="center"/>
            </w:pPr>
            <w:r>
              <w:rPr>
                <w:sz w:val="18"/>
                <w:szCs w:val="18"/>
              </w:rPr>
              <w:t xml:space="preserve">20</w:t>
            </w:r>
          </w:p>
        </w:tc>
      </w:tr>
      <w:tr>
        <w:tc>
          <w:tcPr>
            <w:tcW w:type="dxa" w:w="1100"/>
            <w:tcMar>
              <w:top w:type="dxa" w:w="70"/>
              <w:left w:type="dxa" w:w="100"/>
              <w:bottom w:type="dxa" w:w="70"/>
              <w:right w:type="dxa" w:w="100"/>
            </w:tcMar>
            <w:vAlign w:val="center"/>
          </w:tcPr>
          <w:p>
            <w:pPr>
              <w:jc w:val="left"/>
            </w:pPr>
            <w:r>
              <w:rPr>
                <w:sz w:val="18"/>
                <w:szCs w:val="18"/>
              </w:rPr>
              <w:t xml:space="preserve">3</w:t>
            </w:r>
          </w:p>
        </w:tc>
        <w:tc>
          <w:tcPr>
            <w:tcW w:type="dxa" w:w="4800"/>
            <w:tcMar>
              <w:top w:type="dxa" w:w="70"/>
              <w:left w:type="dxa" w:w="100"/>
              <w:bottom w:type="dxa" w:w="70"/>
              <w:right w:type="dxa" w:w="100"/>
            </w:tcMar>
            <w:vAlign w:val="center"/>
          </w:tcPr>
          <w:p>
            <w:pPr>
              <w:jc w:val="center"/>
            </w:pPr>
            <w:r>
              <w:rPr>
                <w:sz w:val="18"/>
                <w:szCs w:val="18"/>
              </w:rPr>
              <w:t xml:space="preserve">Grammar and Sentence Structure</w:t>
            </w:r>
          </w:p>
        </w:tc>
        <w:tc>
          <w:tcPr>
            <w:tcW w:type="dxa" w:w="2000"/>
            <w:tcMar>
              <w:top w:type="dxa" w:w="70"/>
              <w:left w:type="dxa" w:w="100"/>
              <w:bottom w:type="dxa" w:w="70"/>
              <w:right w:type="dxa" w:w="100"/>
            </w:tcMar>
            <w:vAlign w:val="center"/>
          </w:tcPr>
          <w:p>
            <w:pPr>
              <w:jc w:val="center"/>
            </w:pPr>
            <w:r>
              <w:rPr>
                <w:sz w:val="18"/>
                <w:szCs w:val="18"/>
              </w:rPr>
              <w:t xml:space="preserve">8</w:t>
            </w:r>
          </w:p>
        </w:tc>
        <w:tc>
          <w:tcPr>
            <w:tcW w:type="dxa" w:w="2000"/>
            <w:tcMar>
              <w:top w:type="dxa" w:w="70"/>
              <w:left w:type="dxa" w:w="100"/>
              <w:bottom w:type="dxa" w:w="70"/>
              <w:right w:type="dxa" w:w="100"/>
            </w:tcMar>
            <w:vAlign w:val="center"/>
          </w:tcPr>
          <w:p>
            <w:pPr>
              <w:jc w:val="center"/>
            </w:pPr>
            <w:r>
              <w:rPr>
                <w:sz w:val="18"/>
                <w:szCs w:val="18"/>
              </w:rPr>
              <w:t xml:space="preserve">12 (1 CRQ)</w:t>
            </w:r>
          </w:p>
        </w:tc>
        <w:tc>
          <w:tcPr>
            <w:tcW w:type="dxa" w:w="1860"/>
            <w:tcMar>
              <w:top w:type="dxa" w:w="70"/>
              <w:left w:type="dxa" w:w="100"/>
              <w:bottom w:type="dxa" w:w="70"/>
              <w:right w:type="dxa" w:w="100"/>
            </w:tcMar>
            <w:vAlign w:val="center"/>
          </w:tcPr>
          <w:p>
            <w:pPr>
              <w:jc w:val="center"/>
            </w:pPr>
            <w:r>
              <w:rPr>
                <w:sz w:val="18"/>
                <w:szCs w:val="18"/>
              </w:rPr>
              <w:t xml:space="preserve">20</w:t>
            </w:r>
          </w:p>
        </w:tc>
      </w:tr>
      <w:tr>
        <w:tc>
          <w:tcPr>
            <w:tcW w:type="dxa" w:w="1100"/>
            <w:tcMar>
              <w:top w:type="dxa" w:w="70"/>
              <w:left w:type="dxa" w:w="100"/>
              <w:bottom w:type="dxa" w:w="70"/>
              <w:right w:type="dxa" w:w="100"/>
            </w:tcMar>
            <w:vAlign w:val="center"/>
          </w:tcPr>
          <w:p>
            <w:pPr>
              <w:jc w:val="left"/>
            </w:pPr>
            <w:r>
              <w:rPr>
                <w:sz w:val="18"/>
                <w:szCs w:val="18"/>
              </w:rPr>
              <w:t xml:space="preserve">4</w:t>
            </w:r>
          </w:p>
        </w:tc>
        <w:tc>
          <w:tcPr>
            <w:tcW w:type="dxa" w:w="4800"/>
            <w:tcMar>
              <w:top w:type="dxa" w:w="70"/>
              <w:left w:type="dxa" w:w="100"/>
              <w:bottom w:type="dxa" w:w="70"/>
              <w:right w:type="dxa" w:w="100"/>
            </w:tcMar>
            <w:vAlign w:val="center"/>
          </w:tcPr>
          <w:p>
            <w:pPr>
              <w:jc w:val="center"/>
            </w:pPr>
            <w:r>
              <w:rPr>
                <w:sz w:val="18"/>
                <w:szCs w:val="18"/>
              </w:rPr>
              <w:t xml:space="preserve">Composition: Essay and Letter Writing</w:t>
            </w:r>
          </w:p>
        </w:tc>
        <w:tc>
          <w:tcPr>
            <w:tcW w:type="dxa" w:w="2000"/>
            <w:tcMar>
              <w:top w:type="dxa" w:w="70"/>
              <w:left w:type="dxa" w:w="100"/>
              <w:bottom w:type="dxa" w:w="70"/>
              <w:right w:type="dxa" w:w="100"/>
            </w:tcMar>
            <w:vAlign w:val="center"/>
          </w:tcPr>
          <w:p>
            <w:pPr>
              <w:jc w:val="center"/>
            </w:pPr>
            <w:r>
              <w:rPr>
                <w:sz w:val="18"/>
                <w:szCs w:val="18"/>
              </w:rPr>
              <w:t xml:space="preserve">0</w:t>
            </w:r>
          </w:p>
        </w:tc>
        <w:tc>
          <w:tcPr>
            <w:tcW w:type="dxa" w:w="2000"/>
            <w:tcMar>
              <w:top w:type="dxa" w:w="70"/>
              <w:left w:type="dxa" w:w="100"/>
              <w:bottom w:type="dxa" w:w="70"/>
              <w:right w:type="dxa" w:w="100"/>
            </w:tcMar>
            <w:vAlign w:val="center"/>
          </w:tcPr>
          <w:p>
            <w:pPr>
              <w:jc w:val="center"/>
            </w:pPr>
            <w:r>
              <w:rPr>
                <w:sz w:val="18"/>
                <w:szCs w:val="18"/>
              </w:rPr>
              <w:t xml:space="preserve">20 (1 CRQ)</w:t>
            </w:r>
          </w:p>
        </w:tc>
        <w:tc>
          <w:tcPr>
            <w:tcW w:type="dxa" w:w="1860"/>
            <w:tcMar>
              <w:top w:type="dxa" w:w="70"/>
              <w:left w:type="dxa" w:w="100"/>
              <w:bottom w:type="dxa" w:w="70"/>
              <w:right w:type="dxa" w:w="100"/>
            </w:tcMar>
            <w:vAlign w:val="center"/>
          </w:tcPr>
          <w:p>
            <w:pPr>
              <w:jc w:val="center"/>
            </w:pPr>
            <w:r>
              <w:rPr>
                <w:sz w:val="18"/>
                <w:szCs w:val="18"/>
              </w:rPr>
              <w:t xml:space="preserve">20</w:t>
            </w:r>
          </w:p>
        </w:tc>
      </w:tr>
      <w:tr>
        <w:tc>
          <w:tcPr>
            <w:tcW w:type="dxa" w:w="1100"/>
            <w:tcMar>
              <w:top w:type="dxa" w:w="70"/>
              <w:left w:type="dxa" w:w="100"/>
              <w:bottom w:type="dxa" w:w="70"/>
              <w:right w:type="dxa" w:w="100"/>
            </w:tcMar>
            <w:vAlign w:val="center"/>
          </w:tcPr>
          <w:p>
            <w:pPr>
              <w:jc w:val="left"/>
            </w:pPr>
            <w:r>
              <w:rPr>
                <w:sz w:val="18"/>
                <w:szCs w:val="18"/>
              </w:rPr>
              <w:t xml:space="preserve">5</w:t>
            </w:r>
          </w:p>
        </w:tc>
        <w:tc>
          <w:tcPr>
            <w:tcW w:type="dxa" w:w="4800"/>
            <w:tcMar>
              <w:top w:type="dxa" w:w="70"/>
              <w:left w:type="dxa" w:w="100"/>
              <w:bottom w:type="dxa" w:w="70"/>
              <w:right w:type="dxa" w:w="100"/>
            </w:tcMar>
            <w:vAlign w:val="center"/>
          </w:tcPr>
          <w:p>
            <w:pPr>
              <w:jc w:val="center"/>
            </w:pPr>
            <w:r>
              <w:rPr>
                <w:sz w:val="18"/>
                <w:szCs w:val="18"/>
              </w:rPr>
              <w:t xml:space="preserve">Translation and Applied Writing</w:t>
            </w:r>
          </w:p>
        </w:tc>
        <w:tc>
          <w:tcPr>
            <w:tcW w:type="dxa" w:w="2000"/>
            <w:tcMar>
              <w:top w:type="dxa" w:w="70"/>
              <w:left w:type="dxa" w:w="100"/>
              <w:bottom w:type="dxa" w:w="70"/>
              <w:right w:type="dxa" w:w="100"/>
            </w:tcMar>
            <w:vAlign w:val="center"/>
          </w:tcPr>
          <w:p>
            <w:pPr>
              <w:jc w:val="center"/>
            </w:pPr>
            <w:r>
              <w:rPr>
                <w:sz w:val="18"/>
                <w:szCs w:val="18"/>
              </w:rPr>
              <w:t xml:space="preserve">0</w:t>
            </w:r>
          </w:p>
        </w:tc>
        <w:tc>
          <w:tcPr>
            <w:tcW w:type="dxa" w:w="2000"/>
            <w:tcMar>
              <w:top w:type="dxa" w:w="70"/>
              <w:left w:type="dxa" w:w="100"/>
              <w:bottom w:type="dxa" w:w="70"/>
              <w:right w:type="dxa" w:w="100"/>
            </w:tcMar>
            <w:vAlign w:val="center"/>
          </w:tcPr>
          <w:p>
            <w:pPr>
              <w:jc w:val="center"/>
            </w:pPr>
            <w:r>
              <w:rPr>
                <w:sz w:val="18"/>
                <w:szCs w:val="18"/>
              </w:rPr>
              <w:t xml:space="preserve">15 (1 CRQ)</w:t>
            </w:r>
          </w:p>
        </w:tc>
        <w:tc>
          <w:tcPr>
            <w:tcW w:type="dxa" w:w="1860"/>
            <w:tcMar>
              <w:top w:type="dxa" w:w="70"/>
              <w:left w:type="dxa" w:w="100"/>
              <w:bottom w:type="dxa" w:w="70"/>
              <w:right w:type="dxa" w:w="100"/>
            </w:tcMar>
            <w:vAlign w:val="center"/>
          </w:tcPr>
          <w:p>
            <w:pPr>
              <w:jc w:val="center"/>
            </w:pPr>
            <w:r>
              <w:rPr>
                <w:sz w:val="18"/>
                <w:szCs w:val="18"/>
              </w:rPr>
              <w:t xml:space="preserve">15</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800"/>
            <w:tcMar>
              <w:top w:type="dxa" w:w="70"/>
              <w:left w:type="dxa" w:w="100"/>
              <w:bottom w:type="dxa" w:w="70"/>
              <w:right w:type="dxa" w:w="100"/>
            </w:tcMar>
            <w:vAlign w:val="center"/>
          </w:tcPr>
          <w:p>
            <w:pPr>
              <w:jc w:val="center"/>
            </w:pPr>
            <w:r>
              <w:rPr>
                <w:sz w:val="18"/>
                <w:szCs w:val="18"/>
              </w:rPr>
              <w:t xml:space="preserve">Total</w:t>
            </w:r>
          </w:p>
        </w:tc>
        <w:tc>
          <w:tcPr>
            <w:tcW w:type="dxa" w:w="2000"/>
            <w:tcMar>
              <w:top w:type="dxa" w:w="70"/>
              <w:left w:type="dxa" w:w="100"/>
              <w:bottom w:type="dxa" w:w="70"/>
              <w:right w:type="dxa" w:w="100"/>
            </w:tcMar>
            <w:vAlign w:val="center"/>
          </w:tcPr>
          <w:p>
            <w:pPr>
              <w:jc w:val="center"/>
            </w:pPr>
            <w:r>
              <w:rPr>
                <w:sz w:val="18"/>
                <w:szCs w:val="18"/>
              </w:rPr>
              <w:t xml:space="preserve">20</w:t>
            </w:r>
          </w:p>
        </w:tc>
        <w:tc>
          <w:tcPr>
            <w:tcW w:type="dxa" w:w="2000"/>
            <w:tcMar>
              <w:top w:type="dxa" w:w="70"/>
              <w:left w:type="dxa" w:w="100"/>
              <w:bottom w:type="dxa" w:w="70"/>
              <w:right w:type="dxa" w:w="100"/>
            </w:tcMar>
            <w:vAlign w:val="center"/>
          </w:tcPr>
          <w:p>
            <w:pPr>
              <w:jc w:val="center"/>
            </w:pPr>
            <w:r>
              <w:rPr>
                <w:sz w:val="18"/>
                <w:szCs w:val="18"/>
              </w:rPr>
              <w:t xml:space="preserve">80</w:t>
            </w:r>
          </w:p>
        </w:tc>
        <w:tc>
          <w:tcPr>
            <w:tcW w:type="dxa" w:w="1860"/>
            <w:tcMar>
              <w:top w:type="dxa" w:w="70"/>
              <w:left w:type="dxa" w:w="100"/>
              <w:bottom w:type="dxa" w:w="70"/>
              <w:right w:type="dxa" w:w="100"/>
            </w:tcMar>
            <w:vAlign w:val="center"/>
          </w:tcPr>
          <w:p>
            <w:pPr>
              <w:jc w:val="center"/>
            </w:pPr>
            <w:r>
              <w:rPr>
                <w:sz w:val="18"/>
                <w:szCs w:val="18"/>
              </w:rPr>
              <w:t xml:space="preserve">100</w:t>
            </w:r>
          </w:p>
        </w:tc>
      </w:tr>
    </w:tbl>
    <w:p>
      <w:pPr>
        <w:spacing w:after="160" w:line="276"/>
      </w:pPr>
      <w:r>
        <w:rPr>
          <w:color w:val="1A1A1A"/>
          <w:sz w:val="21"/>
          <w:szCs w:val="21"/>
        </w:rPr>
        <w:t xml:space="preserve"/>
      </w:r>
    </w:p>
    <w:p>
      <w:pPr>
        <w:spacing w:after="160" w:line="276"/>
      </w:pPr>
      <w:r>
        <w:rPr>
          <w:b/>
          <w:bCs/>
          <w:color w:val="1A1A1A"/>
          <w:sz w:val="21"/>
          <w:szCs w:val="21"/>
        </w:rPr>
        <w:t xml:space="preserve">Table 2A: Overall Marks Distribution</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3200"/>
        <w:gridCol w:w="4400"/>
        <w:gridCol w:w="2360"/>
      </w:tblGrid>
      <w:tr>
        <w:trPr>
          <w:tblHeader/>
        </w:trPr>
        <w:tc>
          <w:tcPr>
            <w:tcW w:type="dxa" w:w="3200"/>
            <w:shd w:fill="6E2C3A" w:val="clear"/>
            <w:tcMar>
              <w:top w:type="dxa" w:w="80"/>
              <w:left w:type="dxa" w:w="100"/>
              <w:bottom w:type="dxa" w:w="80"/>
              <w:right w:type="dxa" w:w="100"/>
            </w:tcMar>
            <w:vAlign w:val="center"/>
          </w:tcPr>
          <w:p>
            <w:pPr>
              <w:jc w:val="center"/>
            </w:pPr>
            <w:r>
              <w:rPr>
                <w:b/>
                <w:bCs/>
                <w:color w:val="FFFFFF"/>
                <w:sz w:val="18"/>
                <w:szCs w:val="18"/>
              </w:rPr>
              <w:t xml:space="preserve">Component</w:t>
            </w:r>
          </w:p>
        </w:tc>
        <w:tc>
          <w:tcPr>
            <w:tcW w:type="dxa" w:w="4400"/>
            <w:shd w:fill="6E2C3A" w:val="clear"/>
            <w:tcMar>
              <w:top w:type="dxa" w:w="80"/>
              <w:left w:type="dxa" w:w="100"/>
              <w:bottom w:type="dxa" w:w="80"/>
              <w:right w:type="dxa" w:w="100"/>
            </w:tcMar>
            <w:vAlign w:val="center"/>
          </w:tcPr>
          <w:p>
            <w:pPr>
              <w:jc w:val="center"/>
            </w:pPr>
            <w:r>
              <w:rPr>
                <w:b/>
                <w:bCs/>
                <w:color w:val="FFFFFF"/>
                <w:sz w:val="18"/>
                <w:szCs w:val="18"/>
              </w:rPr>
              <w:t xml:space="preserve">Certificate Entry</w:t>
            </w:r>
          </w:p>
        </w:tc>
        <w:tc>
          <w:tcPr>
            <w:tcW w:type="dxa" w:w="2360"/>
            <w:shd w:fill="6E2C3A" w:val="clear"/>
            <w:tcMar>
              <w:top w:type="dxa" w:w="80"/>
              <w:left w:type="dxa" w:w="100"/>
              <w:bottom w:type="dxa" w:w="80"/>
              <w:right w:type="dxa" w:w="100"/>
            </w:tcMar>
            <w:vAlign w:val="center"/>
          </w:tcPr>
          <w:p>
            <w:pPr>
              <w:jc w:val="center"/>
            </w:pPr>
            <w:r>
              <w:rPr>
                <w:b/>
                <w:bCs/>
                <w:color w:val="FFFFFF"/>
                <w:sz w:val="18"/>
                <w:szCs w:val="18"/>
              </w:rPr>
              <w:t xml:space="preserve">Marks</w:t>
            </w:r>
          </w:p>
        </w:tc>
      </w:tr>
      <w:tr>
        <w:tc>
          <w:tcPr>
            <w:tcW w:type="dxa" w:w="3200"/>
            <w:tcMar>
              <w:top w:type="dxa" w:w="70"/>
              <w:left w:type="dxa" w:w="100"/>
              <w:bottom w:type="dxa" w:w="70"/>
              <w:right w:type="dxa" w:w="100"/>
            </w:tcMar>
            <w:vAlign w:val="center"/>
          </w:tcPr>
          <w:p>
            <w:pPr>
              <w:jc w:val="left"/>
            </w:pPr>
            <w:r>
              <w:rPr>
                <w:sz w:val="18"/>
                <w:szCs w:val="18"/>
              </w:rPr>
              <w:t xml:space="preserve">Theory Examination</w:t>
            </w:r>
          </w:p>
        </w:tc>
        <w:tc>
          <w:tcPr>
            <w:tcW w:type="dxa" w:w="4400"/>
            <w:tcMar>
              <w:top w:type="dxa" w:w="70"/>
              <w:left w:type="dxa" w:w="100"/>
              <w:bottom w:type="dxa" w:w="70"/>
              <w:right w:type="dxa" w:w="100"/>
            </w:tcMar>
            <w:vAlign w:val="center"/>
          </w:tcPr>
          <w:p>
            <w:pPr>
              <w:jc w:val="center"/>
            </w:pPr>
            <w:r>
              <w:rPr>
                <w:sz w:val="18"/>
                <w:szCs w:val="18"/>
              </w:rPr>
              <w:t xml:space="preserve">Sindhi</w:t>
            </w:r>
          </w:p>
        </w:tc>
        <w:tc>
          <w:tcPr>
            <w:tcW w:type="dxa" w:w="2360"/>
            <w:tcMar>
              <w:top w:type="dxa" w:w="70"/>
              <w:left w:type="dxa" w:w="100"/>
              <w:bottom w:type="dxa" w:w="70"/>
              <w:right w:type="dxa" w:w="100"/>
            </w:tcMar>
            <w:vAlign w:val="center"/>
          </w:tcPr>
          <w:p>
            <w:pPr>
              <w:jc w:val="center"/>
            </w:pPr>
            <w:r>
              <w:rPr>
                <w:sz w:val="18"/>
                <w:szCs w:val="18"/>
              </w:rPr>
              <w:t xml:space="preserve">100</w:t>
            </w:r>
          </w:p>
        </w:tc>
      </w:tr>
      <w:tr>
        <w:tc>
          <w:tcPr>
            <w:tcW w:type="dxa" w:w="3200"/>
            <w:tcMar>
              <w:top w:type="dxa" w:w="70"/>
              <w:left w:type="dxa" w:w="100"/>
              <w:bottom w:type="dxa" w:w="70"/>
              <w:right w:type="dxa" w:w="100"/>
            </w:tcMar>
            <w:vAlign w:val="center"/>
          </w:tcPr>
          <w:p>
            <w:pPr>
              <w:jc w:val="left"/>
            </w:pPr>
            <w:r>
              <w:rPr>
                <w:sz w:val="18"/>
                <w:szCs w:val="18"/>
              </w:rPr>
              <w:t xml:space="preserve">Total</w:t>
            </w:r>
          </w:p>
        </w:tc>
        <w:tc>
          <w:tcPr>
            <w:tcW w:type="dxa" w:w="4400"/>
            <w:tcMar>
              <w:top w:type="dxa" w:w="70"/>
              <w:left w:type="dxa" w:w="100"/>
              <w:bottom w:type="dxa" w:w="70"/>
              <w:right w:type="dxa" w:w="100"/>
            </w:tcMar>
            <w:vAlign w:val="center"/>
          </w:tcPr>
          <w:p>
            <w:pPr>
              <w:jc w:val="center"/>
            </w:pPr>
            <w:r>
              <w:rPr>
                <w:sz w:val="18"/>
                <w:szCs w:val="18"/>
              </w:rPr>
              <w:t xml:space="preserve"/>
            </w:r>
          </w:p>
        </w:tc>
        <w:tc>
          <w:tcPr>
            <w:tcW w:type="dxa" w:w="2360"/>
            <w:tcMar>
              <w:top w:type="dxa" w:w="70"/>
              <w:left w:type="dxa" w:w="100"/>
              <w:bottom w:type="dxa" w:w="70"/>
              <w:right w:type="dxa" w:w="100"/>
            </w:tcMar>
            <w:vAlign w:val="center"/>
          </w:tcPr>
          <w:p>
            <w:pPr>
              <w:jc w:val="center"/>
            </w:pPr>
            <w:r>
              <w:rPr>
                <w:sz w:val="18"/>
                <w:szCs w:val="18"/>
              </w:rPr>
              <w:t xml:space="preserve">100</w:t>
            </w:r>
          </w:p>
        </w:tc>
      </w:tr>
    </w:tbl>
    <w:p>
      <w:pPr>
        <w:spacing w:after="160" w:line="276"/>
      </w:pPr>
      <w:r>
        <w:rPr>
          <w:color w:val="1A1A1A"/>
          <w:sz w:val="21"/>
          <w:szCs w:val="21"/>
        </w:rPr>
        <w:t xml:space="preserve"/>
      </w:r>
    </w:p>
    <w:p>
      <w:pPr>
        <w:pStyle w:val="ListParagraph"/>
        <w:numPr>
          <w:ilvl w:val="0"/>
          <w:numId w:val="1"/>
        </w:numPr>
        <w:spacing w:after="80"/>
      </w:pPr>
      <w:r>
        <w:rPr>
          <w:sz w:val="21"/>
          <w:szCs w:val="21"/>
        </w:rPr>
        <w:t xml:space="preserve">The Objective component consists of Multiple Choice Questions (MCQs), each carrying ONE mark, drawn primarily from prose comprehension, poetry appreciation and grammar.</w:t>
      </w:r>
    </w:p>
    <w:p>
      <w:pPr>
        <w:pStyle w:val="ListParagraph"/>
        <w:numPr>
          <w:ilvl w:val="0"/>
          <w:numId w:val="1"/>
        </w:numPr>
        <w:spacing w:after="80"/>
      </w:pPr>
      <w:r>
        <w:rPr>
          <w:sz w:val="21"/>
          <w:szCs w:val="21"/>
        </w:rPr>
        <w:t xml:space="preserve">The Subjective component consists of Constructed Response Questions (CRQs) requiring an extended written response, e.g. a comprehension answer, a critical appreciation, a letter, an essay, or a translation, as appropriate to the SLO being assessed.</w:t>
      </w:r>
    </w:p>
    <w:p>
      <w:pPr>
        <w:pStyle w:val="ListParagraph"/>
        <w:numPr>
          <w:ilvl w:val="0"/>
          <w:numId w:val="1"/>
        </w:numPr>
        <w:spacing w:after="80"/>
      </w:pPr>
      <w:r>
        <w:rPr>
          <w:sz w:val="21"/>
          <w:szCs w:val="21"/>
        </w:rPr>
        <w:t xml:space="preserve">The Theory examination carries 100 marks, is of 3 hours' duration, and consists of Paper I (Objective) and Paper II (Subjective).</w:t>
      </w:r>
    </w:p>
    <w:p>
      <w:pPr>
        <w:pStyle w:val="ListParagraph"/>
        <w:numPr>
          <w:ilvl w:val="0"/>
          <w:numId w:val="1"/>
        </w:numPr>
        <w:spacing w:after="80"/>
      </w:pPr>
      <w:r>
        <w:rPr>
          <w:sz w:val="21"/>
          <w:szCs w:val="21"/>
        </w:rPr>
        <w:t xml:space="preserve">Unlike the science subjects examined by the Board, Sindhi has no Practical component: the 100 marks recorded against ‘Sindhi’ on the Marks Certificate represent the Theory examination in full.</w:t>
      </w:r>
    </w:p>
    <w:p>
      <w:pPr>
        <w:pStyle w:val="ListParagraph"/>
        <w:numPr>
          <w:ilvl w:val="0"/>
          <w:numId w:val="1"/>
        </w:numPr>
        <w:spacing w:after="80"/>
      </w:pPr>
      <w:r>
        <w:rPr>
          <w:sz w:val="21"/>
          <w:szCs w:val="21"/>
        </w:rPr>
        <w:t xml:space="preserve">Table 1 indicates the number and nature of SLOs in each topic and is provided as a guide to the construction of examination papers; it does not translate directly into marks. Emphasis has deliberately been placed on Application and other higher-order skills, i.e. genuine reading, writing and translation, to discourage the reproduction of memorised model answers.</w:t>
      </w:r>
    </w:p>
    <w:p>
      <w:pPr>
        <w:pStyle w:val="ListParagraph"/>
        <w:numPr>
          <w:ilvl w:val="0"/>
          <w:numId w:val="1"/>
        </w:numPr>
        <w:spacing w:after="80"/>
      </w:pPr>
      <w:r>
        <w:rPr>
          <w:sz w:val="21"/>
          <w:szCs w:val="21"/>
        </w:rPr>
        <w:t xml:space="preserve">Marks for an extended writing task (e.g. an essay, a letter or a critical appreciation) are awarded for content, organisation, and language accuracy together; a technically correct answer that does not address the given task will not receive full credit.</w:t>
      </w:r>
    </w:p>
    <w:p>
      <w:r>
        <w:br w:type="page"/>
      </w:r>
    </w:p>
    <w:p>
      <w:pPr>
        <w:pStyle w:val="Heading1"/>
        <w:pBdr>
          <w:bottom w:val="single" w:color="6E2C3A" w:sz="6" w:space="4"/>
        </w:pBdr>
        <w:spacing w:after="200" w:before="300"/>
      </w:pPr>
      <w:r>
        <w:rPr>
          <w:b/>
          <w:bCs/>
          <w:color w:val="6E2C3A"/>
          <w:sz w:val="30"/>
          <w:szCs w:val="30"/>
        </w:rPr>
        <w:t xml:space="preserve">Academic Integrity</w:t>
      </w:r>
    </w:p>
    <w:p>
      <w:pPr>
        <w:spacing w:after="160" w:line="276"/>
      </w:pPr>
      <w:r>
        <w:rPr>
          <w:color w:val="1A1A1A"/>
          <w:sz w:val="21"/>
          <w:szCs w:val="21"/>
        </w:rPr>
        <w:t xml:space="preserve">All work submitted for assessment in Sindhi — whether a comprehension answer, a critical appreciation, a piece of original writing, or a translation — must represent the individual, honest effort of the student submitting it. Affiliated institutions are expected to uphold the BISE Larkano Academic Integrity Policy in full, and to make students aware of the following subject-specific guidance.</w:t>
      </w:r>
    </w:p>
    <w:p>
      <w:pPr>
        <w:pStyle w:val="Heading2"/>
        <w:spacing w:after="120" w:before="240"/>
      </w:pPr>
      <w:r>
        <w:rPr>
          <w:b/>
          <w:bCs/>
          <w:color w:val="2E3A59"/>
          <w:sz w:val="24"/>
          <w:szCs w:val="24"/>
        </w:rPr>
        <w:t xml:space="preserve">Original Writing</w:t>
      </w:r>
    </w:p>
    <w:p>
      <w:pPr>
        <w:spacing w:after="160" w:line="276"/>
      </w:pPr>
      <w:r>
        <w:rPr>
          <w:color w:val="1A1A1A"/>
          <w:sz w:val="21"/>
          <w:szCs w:val="21"/>
        </w:rPr>
        <w:t xml:space="preserve">Students are encouraged to discuss ideas, structure and vocabulary choices with their peers and teachers while preparing for an assessment, and to consult the prescribed textbook and other reputable resources to build their skills. However, reproducing a memorised model essay, letter or answer word-for-word in place of an original response to the specific question asked is a serious violation of academic integrity, even where the source of that model was a textbook or a teacher's own notes.</w:t>
      </w:r>
    </w:p>
    <w:p>
      <w:pPr>
        <w:pStyle w:val="Heading2"/>
        <w:spacing w:after="120" w:before="240"/>
      </w:pPr>
      <w:r>
        <w:rPr>
          <w:b/>
          <w:bCs/>
          <w:color w:val="2E3A59"/>
          <w:sz w:val="24"/>
          <w:szCs w:val="24"/>
        </w:rPr>
        <w:t xml:space="preserve">Use of Translation and Writing Tools</w:t>
      </w:r>
    </w:p>
    <w:p>
      <w:pPr>
        <w:spacing w:after="160" w:line="276"/>
      </w:pPr>
      <w:r>
        <w:rPr>
          <w:color w:val="1A1A1A"/>
          <w:sz w:val="21"/>
          <w:szCs w:val="21"/>
        </w:rPr>
        <w:t xml:space="preserve">Where a task requires a student's own translation or composition, submitting output generated by a machine-translation service or any other automated writing tool in place of the student's own work is a serious violation of academic integrity. A student should be able to explain and justify any word choice or construction in their own writing or translation if asked to do so by an examiner or teacher.</w:t>
      </w:r>
    </w:p>
    <w:p>
      <w:r>
        <w:br w:type="page"/>
      </w:r>
    </w:p>
    <w:p>
      <w:pPr>
        <w:pStyle w:val="Heading1"/>
        <w:pBdr>
          <w:bottom w:val="single" w:color="6E2C3A" w:sz="6" w:space="4"/>
        </w:pBdr>
        <w:spacing w:after="200" w:before="300"/>
      </w:pPr>
      <w:r>
        <w:rPr>
          <w:b/>
          <w:bCs/>
          <w:color w:val="6E2C3A"/>
          <w:sz w:val="30"/>
          <w:szCs w:val="30"/>
        </w:rPr>
        <w:t xml:space="preserve">Acknowledgements</w:t>
      </w:r>
    </w:p>
    <w:p>
      <w:pPr>
        <w:spacing w:after="160" w:line="276"/>
      </w:pPr>
      <w:r>
        <w:rPr>
          <w:color w:val="1A1A1A"/>
          <w:sz w:val="21"/>
          <w:szCs w:val="21"/>
        </w:rPr>
        <w:t xml:space="preserve">The Board of Intermediate &amp; Secondary Education, Larkano gratefully acknowledges the contributions of all those who took part in the development of this Sindhi syllabus, including the subject specialists, affiliated-school teachers, and reviewers who generously gave their time, expertise and feedback throughout the review process.</w:t>
      </w:r>
    </w:p>
    <w:p>
      <w:pPr>
        <w:spacing w:after="160" w:line="276"/>
      </w:pPr>
      <w:r>
        <w:rPr>
          <w:color w:val="1A1A1A"/>
          <w:sz w:val="21"/>
          <w:szCs w:val="21"/>
        </w:rPr>
        <w:t xml:space="preserve">The Board also thanks the students and teachers of affiliated institutions across the Larkano region who participated in the needs-assessment consultation that informed this syllabus, and the internal curriculum, assessment and administrative teams who supported its preparation and publication.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BISE Larkano  |  Sindhi HSSC Syllabus 2023</w:t>
    </w:r>
    <w:r>
      <w:rPr>
        <w:sz w:val="16"/>
        <w:szCs w:val="16"/>
      </w:rPr>
      <w:t xml:space="preserv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734dffe94eb3ca76e1106eda664ed1fc7dcf699.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2026-08-04T23:34:00.172Z</dcterms:created>
  <dcterms:modified xsi:type="dcterms:W3CDTF">2026-08-04T23:34:00.186Z</dcterms:modified>
</cp:coreProperties>
</file>

<file path=docProps/custom.xml><?xml version="1.0" encoding="utf-8"?>
<Properties xmlns="http://schemas.openxmlformats.org/officeDocument/2006/custom-properties" xmlns:vt="http://schemas.openxmlformats.org/officeDocument/2006/docPropsVTypes"/>
</file>