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0477BF"/>
          <w:sz w:val="20"/>
        </w:rPr>
        <w:t>PROJECT ESTIMATE &amp; FORMAL PROPOSAL</w:t>
      </w:r>
    </w:p>
    <w:p>
      <w:pPr>
        <w:spacing w:before="0" w:after="80"/>
      </w:pPr>
      <w:r>
        <w:rPr>
          <w:b/>
          <w:color w:val="024873"/>
          <w:sz w:val="44"/>
        </w:rPr>
        <w:t>Vancouver Bridge Club — Official Website Platform</w:t>
      </w:r>
    </w:p>
    <w:p>
      <w:pPr>
        <w:spacing w:before="0" w:after="360"/>
      </w:pPr>
      <w:r>
        <w:rPr>
          <w:b w:val="0"/>
          <w:color w:val="475569"/>
          <w:sz w:val="24"/>
        </w:rPr>
        <w:t>ACBL Unit 452 • Club Sanction #118489 • Southwest Washington</w:t>
      </w:r>
    </w:p>
    <w:tbl>
      <w:tblPr>
        <w:tblW w:type="auto" w:w="0"/>
        <w:jc w:val="center"/>
        <w:tblLayout w:type="fixed"/>
        <w:tblLook w:firstColumn="1" w:firstRow="1" w:lastColumn="0" w:lastRow="0" w:noHBand="0" w:noVBand="1" w:val="04A0"/>
        <w:tblBorders>
          <w:top w:val="single" w:sz="4" w:space="0" w:color="77B3D9"/>
          <w:bottom w:val="single" w:sz="6" w:space="0" w:color="77B3D9"/>
          <w:insideH w:val="single" w:sz="4" w:space="0" w:color="77B3D9"/>
          <w:insideV w:val="none"/>
          <w:left w:val="none"/>
          <w:right w:val="none"/>
        </w:tblBorders>
      </w:tblPr>
      <w:tblGrid>
        <w:gridCol w:w="4680"/>
        <w:gridCol w:w="4680"/>
      </w:tblGrid>
      <w:tr>
        <w:tc>
          <w:tcPr>
            <w:tcW w:type="dxa" w:w="4608"/>
            <w:shd w:fill="F2EDEB"/>
            <w:tcMar>
              <w:top w:w="100" w:type="dxa"/>
              <w:bottom w:w="100" w:type="dxa"/>
              <w:left w:w="140" w:type="dxa"/>
              <w:right w:w="140" w:type="dxa"/>
            </w:tcMar>
          </w:tcPr>
          <w:p>
            <w:pPr>
              <w:spacing w:before="40" w:after="40"/>
            </w:pPr>
            <w:r>
              <w:rPr>
                <w:b/>
                <w:color w:val="024873"/>
                <w:sz w:val="18"/>
              </w:rPr>
              <w:t xml:space="preserve">PREPARED FOR: </w:t>
            </w:r>
            <w:r>
              <w:rPr>
                <w:b/>
                <w:sz w:val="20"/>
              </w:rPr>
              <w:t>Vancouver Bridge Club Board of Directors</w:t>
              <w:br/>
              <w:t>ACBL Unit 452, Vancouver, WA</w:t>
            </w:r>
          </w:p>
        </w:tc>
        <w:tc>
          <w:tcPr>
            <w:tcW w:type="dxa" w:w="4752"/>
            <w:shd w:fill="F2EDEB"/>
            <w:tcMar>
              <w:top w:w="100" w:type="dxa"/>
              <w:bottom w:w="100" w:type="dxa"/>
              <w:left w:w="140" w:type="dxa"/>
              <w:right w:w="140" w:type="dxa"/>
            </w:tcMar>
          </w:tcPr>
          <w:p>
            <w:pPr>
              <w:spacing w:before="40" w:after="40"/>
            </w:pPr>
            <w:r>
              <w:rPr>
                <w:b/>
                <w:color w:val="024873"/>
                <w:sz w:val="18"/>
              </w:rPr>
              <w:t xml:space="preserve">PREPARED BY: </w:t>
            </w:r>
            <w:r>
              <w:rPr>
                <w:b/>
                <w:sz w:val="20"/>
              </w:rPr>
              <w:t>Timothy Hufler</w:t>
              <w:br/>
              <w:t>Professional Web Developer</w:t>
              <w:br/>
              <w:t>Email: support@highhandpro.com</w:t>
            </w:r>
          </w:p>
        </w:tc>
      </w:tr>
      <w:tr>
        <w:tc>
          <w:tcPr>
            <w:tcW w:type="dxa" w:w="4608"/>
            <w:shd w:fill="F2EDEB"/>
            <w:tcMar>
              <w:top w:w="100" w:type="dxa"/>
              <w:bottom w:w="100" w:type="dxa"/>
              <w:left w:w="140" w:type="dxa"/>
              <w:right w:w="140" w:type="dxa"/>
            </w:tcMar>
          </w:tcPr>
          <w:p>
            <w:pPr>
              <w:spacing w:before="40" w:after="40"/>
            </w:pPr>
            <w:r>
              <w:rPr>
                <w:b/>
                <w:color w:val="024873"/>
                <w:sz w:val="18"/>
              </w:rPr>
              <w:t xml:space="preserve">DATE ISSUED: </w:t>
            </w:r>
            <w:r>
              <w:rPr>
                <w:b w:val="0"/>
                <w:sz w:val="20"/>
              </w:rPr>
              <w:t>August 2026</w:t>
            </w:r>
          </w:p>
        </w:tc>
        <w:tc>
          <w:tcPr>
            <w:tcW w:type="dxa" w:w="4752"/>
            <w:shd w:fill="F2EDEB"/>
            <w:tcMar>
              <w:top w:w="100" w:type="dxa"/>
              <w:bottom w:w="100" w:type="dxa"/>
              <w:left w:w="140" w:type="dxa"/>
              <w:right w:w="140" w:type="dxa"/>
            </w:tcMar>
          </w:tcPr>
          <w:p>
            <w:pPr>
              <w:spacing w:before="40" w:after="40"/>
            </w:pPr>
            <w:r>
              <w:rPr>
                <w:b/>
                <w:color w:val="024873"/>
                <w:sz w:val="18"/>
              </w:rPr>
              <w:t xml:space="preserve">ESTIMATE VALIDITY: </w:t>
            </w:r>
            <w:r>
              <w:rPr>
                <w:b w:val="0"/>
                <w:sz w:val="20"/>
              </w:rPr>
              <w:t>60 Days from Date of Issue</w:t>
            </w:r>
          </w:p>
        </w:tc>
      </w:tr>
    </w:tbl>
    <w:p>
      <w:pPr>
        <w:spacing w:after="240"/>
      </w:pPr>
    </w:p>
    <w:p>
      <w:pPr>
        <w:spacing w:before="280" w:after="120"/>
      </w:pPr>
      <w:r>
        <w:rPr>
          <w:b/>
          <w:color w:val="024873"/>
          <w:sz w:val="28"/>
        </w:rPr>
        <w:t>1. Executive Summary &amp; Project Purpose</w:t>
      </w:r>
    </w:p>
    <w:p>
      <w:pPr>
        <w:spacing w:after="160" w:line="276" w:lineRule="auto"/>
      </w:pPr>
      <w:r>
        <w:t>This proposal outlines the complete design, development, accessibility engineering, and cloud deployment of a modern, responsive, and senior-friendly official website platform for the Vancouver Bridge Club (ACBL Unit 452). The new digital platform replaces outdated, fragmented information channels with an intuitive, unified web hub designed to increase table attendance, streamline player communication, celebrate member achievements, and promote bridge education throughout Southwest Washington.</w:t>
      </w:r>
    </w:p>
    <w:p>
      <w:pPr>
        <w:pStyle w:val="ListBullet"/>
        <w:spacing w:before="40" w:after="80" w:line="276" w:lineRule="auto"/>
      </w:pPr>
      <w:r>
        <w:rPr>
          <w:b/>
          <w:color w:val="024873"/>
        </w:rPr>
        <w:t xml:space="preserve">High-Accessibility Senior Experience: </w:t>
      </w:r>
      <w:r>
        <w:t>Built-in 1-click text scaling (Normal, Large, Extra Large) and seamless Dark/Light Mode with high-contrast readability.</w:t>
      </w:r>
    </w:p>
    <w:p>
      <w:pPr>
        <w:pStyle w:val="ListBullet"/>
        <w:spacing w:before="40" w:after="80" w:line="276" w:lineRule="auto"/>
      </w:pPr>
      <w:r>
        <w:rPr>
          <w:b/>
          <w:color w:val="024873"/>
        </w:rPr>
        <w:t xml:space="preserve">Dynamic 'Today at VBC' Session Engine: </w:t>
      </w:r>
      <w:r>
        <w:t>Automatically calculates the day of the week and displays current game times, table fees ($8.00), and directions.</w:t>
      </w:r>
    </w:p>
    <w:p>
      <w:pPr>
        <w:pStyle w:val="ListBullet"/>
        <w:spacing w:before="40" w:after="80" w:line="276" w:lineRule="auto"/>
      </w:pPr>
      <w:r>
        <w:rPr>
          <w:b/>
          <w:color w:val="024873"/>
        </w:rPr>
        <w:t xml:space="preserve">Interactive Game &amp; Event Calendar: </w:t>
      </w:r>
      <w:r>
        <w:t>Filterable monthly calendar highlighting Open Pairs, Limited 0-750/0-1500, Swiss Teams, Mentored play, and District 20 STaC games.</w:t>
      </w:r>
    </w:p>
    <w:p>
      <w:pPr>
        <w:pStyle w:val="ListBullet"/>
        <w:spacing w:before="40" w:after="80" w:line="276" w:lineRule="auto"/>
      </w:pPr>
      <w:r>
        <w:rPr>
          <w:b/>
          <w:color w:val="024873"/>
        </w:rPr>
        <w:t xml:space="preserve">Live Scores &amp; Masterpoint Hub: </w:t>
      </w:r>
      <w:r>
        <w:t>Direct integration with ACBL Live (Sanction #118489), The Common Game, and Unit 452 Ace of Clubs &amp; Mini-McKenney race leaderboards.</w:t>
      </w:r>
    </w:p>
    <w:p>
      <w:pPr>
        <w:pStyle w:val="ListBullet"/>
        <w:spacing w:before="40" w:after="80" w:line="276" w:lineRule="auto"/>
      </w:pPr>
      <w:r>
        <w:rPr>
          <w:b/>
          <w:color w:val="024873"/>
        </w:rPr>
        <w:t xml:space="preserve">Digital Partnership Desk: </w:t>
      </w:r>
      <w:r>
        <w:t>Self-service matchmaking board allowing players to post and browse partner requests with local persistence.</w:t>
      </w:r>
    </w:p>
    <w:p>
      <w:pPr>
        <w:pStyle w:val="ListBullet"/>
        <w:spacing w:before="40" w:after="80" w:line="276" w:lineRule="auto"/>
      </w:pPr>
      <w:r>
        <w:rPr>
          <w:b/>
          <w:color w:val="024873"/>
        </w:rPr>
        <w:t xml:space="preserve">Zero Recurring SaaS Software Fees: </w:t>
      </w:r>
      <w:r>
        <w:t>Built with high-efficiency vanilla web architecture and hosted on high-availability cloud infrastructure with $0 monthly hosting costs.</w:t>
      </w:r>
    </w:p>
    <w:p>
      <w:pPr>
        <w:spacing w:before="320" w:after="120"/>
      </w:pPr>
      <w:r>
        <w:rPr>
          <w:b/>
          <w:color w:val="024873"/>
          <w:sz w:val="28"/>
        </w:rPr>
        <w:t>2. Scope of Work &amp; Deliverables</w:t>
      </w:r>
    </w:p>
    <w:p>
      <w:pPr>
        <w:spacing w:before="160" w:after="60"/>
      </w:pPr>
      <w:r>
        <w:rPr>
          <w:b/>
          <w:color w:val="0477BF"/>
          <w:sz w:val="23"/>
        </w:rPr>
        <w:t>Phase 1: Brand Identity &amp; UI/UX Design System</w:t>
      </w:r>
    </w:p>
    <w:p>
      <w:pPr>
        <w:pStyle w:val="ListBullet"/>
        <w:spacing w:before="20" w:after="40" w:line="276" w:lineRule="auto"/>
      </w:pPr>
      <w:r>
        <w:t>Custom brand color palette implementation (Deep Navy #024873, Rich Cerulean #0477BF, Sky Blue #2995D9, Soft Blue #77B3D9, Warm Sand #F2EDEB, Pure White &amp; Black).</w:t>
      </w:r>
    </w:p>
    <w:p>
      <w:pPr>
        <w:pStyle w:val="ListBullet"/>
        <w:spacing w:before="20" w:after="40" w:line="276" w:lineRule="auto"/>
      </w:pPr>
      <w:r>
        <w:t>Integration and optimization of the official Vancouver Bridge Club bridge &amp; mountain emblem logo.</w:t>
      </w:r>
    </w:p>
    <w:p>
      <w:pPr>
        <w:pStyle w:val="ListBullet"/>
        <w:spacing w:before="20" w:after="40" w:line="276" w:lineRule="auto"/>
      </w:pPr>
      <w:r>
        <w:t>Modern structured tab-strip navigation for smooth, intuitive browsing across all screen sizes.</w:t>
      </w:r>
    </w:p>
    <w:p>
      <w:pPr>
        <w:spacing w:before="160" w:after="60"/>
      </w:pPr>
      <w:r>
        <w:rPr>
          <w:b/>
          <w:color w:val="0477BF"/>
          <w:sz w:val="23"/>
        </w:rPr>
        <w:t>Phase 2: Comprehensive Multi-Page Website Suite</w:t>
      </w:r>
    </w:p>
    <w:p>
      <w:pPr>
        <w:pStyle w:val="ListBullet"/>
        <w:spacing w:before="20" w:after="40" w:line="276" w:lineRule="auto"/>
      </w:pPr>
      <w:r>
        <w:t>Home Portal (index.html): Hero showcase, dynamic 'Today at VBC' widget, weekly schedule summary table, location map, and direct contacts.</w:t>
      </w:r>
    </w:p>
    <w:p>
      <w:pPr>
        <w:pStyle w:val="ListBullet"/>
        <w:spacing w:before="20" w:after="40" w:line="276" w:lineRule="auto"/>
      </w:pPr>
      <w:r>
        <w:t>Game Schedule &amp; Calendar (schedule.html): Interactive monthly calendar, category filters (Open, Limited, Teams, Mentoring, STaC), table fee rules, and official PDF downloads.</w:t>
      </w:r>
    </w:p>
    <w:p>
      <w:pPr>
        <w:pStyle w:val="ListBullet"/>
        <w:spacing w:before="20" w:after="40" w:line="276" w:lineRule="auto"/>
      </w:pPr>
      <w:r>
        <w:t>Scores &amp; Results Hub (results.html): ACBL Live integration, The Common Game access, Unit 452 masterpoint races, rank advancement recognitions, and masterpoint color guides.</w:t>
      </w:r>
    </w:p>
    <w:p>
      <w:pPr>
        <w:pStyle w:val="ListBullet"/>
        <w:spacing w:before="20" w:after="40" w:line="276" w:lineRule="auto"/>
      </w:pPr>
      <w:r>
        <w:t>Digital Partnership Desk (partnership.html): Interactive bulletin board, filterable player search, request submission modal, and guaranteed standby host program info.</w:t>
      </w:r>
    </w:p>
    <w:p>
      <w:pPr>
        <w:pStyle w:val="ListBullet"/>
        <w:spacing w:before="20" w:after="40" w:line="276" w:lineRule="auto"/>
      </w:pPr>
      <w:r>
        <w:t>Education Center &amp; Rules (learn.html): Lesson schedules, ACBL convention charts, alert procedures, duplicate laws, zero-tolerance conduct, and beginner tutorials.</w:t>
      </w:r>
    </w:p>
    <w:p>
      <w:pPr>
        <w:pStyle w:val="ListBullet"/>
        <w:spacing w:before="20" w:after="40" w:line="276" w:lineRule="auto"/>
      </w:pPr>
      <w:r>
        <w:t>Unit 452 Governance (governance.html): Board of Directors directory, PDF board minutes archive, Unit bylaws, and disciplinary procedures.</w:t>
      </w:r>
    </w:p>
    <w:p>
      <w:pPr>
        <w:pStyle w:val="ListBullet"/>
        <w:spacing w:before="20" w:after="40" w:line="276" w:lineRule="auto"/>
      </w:pPr>
      <w:r>
        <w:t>Community &amp; Heritage (community.html): Photo galleries, Gary Bowers bridge humor cartoons, In Memoriam memorials, and District 20 sister club directory.</w:t>
      </w:r>
    </w:p>
    <w:p>
      <w:pPr>
        <w:spacing w:before="160" w:after="60"/>
      </w:pPr>
      <w:r>
        <w:rPr>
          <w:b/>
          <w:color w:val="0477BF"/>
          <w:sz w:val="23"/>
        </w:rPr>
        <w:t>Phase 3: Accessibility Engineering &amp; Performance</w:t>
      </w:r>
    </w:p>
    <w:p>
      <w:pPr>
        <w:pStyle w:val="ListBullet"/>
        <w:spacing w:before="20" w:after="40" w:line="276" w:lineRule="auto"/>
      </w:pPr>
      <w:r>
        <w:t>Full compliance with senior web readability guidelines (AAA contrast ratios, high legibility typography).</w:t>
      </w:r>
    </w:p>
    <w:p>
      <w:pPr>
        <w:pStyle w:val="ListBullet"/>
        <w:spacing w:before="20" w:after="40" w:line="276" w:lineRule="auto"/>
      </w:pPr>
      <w:r>
        <w:t>1-Click dynamic font-size toggling with instant browser memory.</w:t>
      </w:r>
    </w:p>
    <w:p>
      <w:pPr>
        <w:pStyle w:val="ListBullet"/>
        <w:spacing w:before="20" w:after="40" w:line="276" w:lineRule="auto"/>
      </w:pPr>
      <w:r>
        <w:t>Full dark and light mode toggle system with custom color mappings.</w:t>
      </w:r>
    </w:p>
    <w:p>
      <w:pPr>
        <w:pStyle w:val="ListBullet"/>
        <w:spacing w:before="20" w:after="40" w:line="276" w:lineRule="auto"/>
      </w:pPr>
      <w:r>
        <w:t>100% mobile and tablet responsive layouts tested across iOS, Android, macOS, and Windows.</w:t>
      </w:r>
    </w:p>
    <w:p>
      <w:pPr>
        <w:spacing w:before="160" w:after="60"/>
      </w:pPr>
      <w:r>
        <w:rPr>
          <w:b/>
          <w:color w:val="0477BF"/>
          <w:sz w:val="23"/>
        </w:rPr>
        <w:t>Phase 4: Deployment, Domain Configuration &amp; Handover</w:t>
      </w:r>
    </w:p>
    <w:p>
      <w:pPr>
        <w:pStyle w:val="ListBullet"/>
        <w:spacing w:before="20" w:after="40" w:line="276" w:lineRule="auto"/>
      </w:pPr>
      <w:r>
        <w:t>Production deployment to high-availability GitHub Pages cloud infrastructure (99.99% uptime).</w:t>
      </w:r>
    </w:p>
    <w:p>
      <w:pPr>
        <w:pStyle w:val="ListBullet"/>
        <w:spacing w:before="20" w:after="40" w:line="276" w:lineRule="auto"/>
      </w:pPr>
      <w:r>
        <w:t>Custom domain connection (e.g., vancouverbridgeclub.org) with automated SSL security certificate.</w:t>
      </w:r>
    </w:p>
    <w:p>
      <w:pPr>
        <w:pStyle w:val="ListBullet"/>
        <w:spacing w:before="20" w:after="40" w:line="276" w:lineRule="auto"/>
      </w:pPr>
      <w:r>
        <w:t>Client documentation and training for board members to update calendar files and board minutes.</w:t>
      </w:r>
    </w:p>
    <w:p>
      <w:pPr>
        <w:spacing w:before="320" w:after="120"/>
      </w:pPr>
      <w:r>
        <w:rPr>
          <w:b/>
          <w:color w:val="024873"/>
          <w:sz w:val="28"/>
        </w:rPr>
        <w:t>3. Itemized Project Cost Estimate</w:t>
      </w:r>
    </w:p>
    <w:p>
      <w:pPr>
        <w:spacing w:after="160"/>
      </w:pPr>
      <w:r>
        <w:t>Below is the transparent, fixed-price breakdown for all design, engineering, content structuring, testing, and deployment phases.</w:t>
      </w:r>
    </w:p>
    <w:tbl>
      <w:tblPr>
        <w:tblW w:type="auto" w:w="0"/>
        <w:jc w:val="center"/>
        <w:tblLayout w:type="fixed"/>
        <w:tblLook w:firstColumn="1" w:firstRow="1" w:lastColumn="0" w:lastRow="0" w:noHBand="0" w:noVBand="1" w:val="04A0"/>
        <w:tblBorders>
          <w:top w:val="single" w:sz="4" w:space="0" w:color="77B3D9"/>
          <w:bottom w:val="single" w:sz="6" w:space="0" w:color="77B3D9"/>
          <w:insideH w:val="single" w:sz="4" w:space="0" w:color="77B3D9"/>
          <w:insideV w:val="none"/>
          <w:left w:val="none"/>
          <w:right w:val="none"/>
        </w:tblBorders>
      </w:tblPr>
      <w:tblGrid>
        <w:gridCol w:w="2340"/>
        <w:gridCol w:w="2340"/>
        <w:gridCol w:w="2340"/>
        <w:gridCol w:w="2340"/>
      </w:tblGrid>
      <w:tr>
        <w:tc>
          <w:tcPr>
            <w:tcW w:type="dxa" w:w="2592"/>
            <w:shd w:fill="024873"/>
            <w:tcMar>
              <w:top w:w="120" w:type="dxa"/>
              <w:bottom w:w="120" w:type="dxa"/>
              <w:left w:w="120" w:type="dxa"/>
              <w:right w:w="120" w:type="dxa"/>
            </w:tcMar>
          </w:tcPr>
          <w:p>
            <w:pPr>
              <w:jc w:val="left"/>
            </w:pPr>
            <w:r>
              <w:rPr>
                <w:b/>
                <w:color w:val="FFFFFF"/>
                <w:sz w:val="19"/>
              </w:rPr>
              <w:t>Deliverable Phase</w:t>
            </w:r>
          </w:p>
        </w:tc>
        <w:tc>
          <w:tcPr>
            <w:tcW w:type="dxa" w:w="4608"/>
            <w:shd w:fill="024873"/>
            <w:tcMar>
              <w:top w:w="120" w:type="dxa"/>
              <w:bottom w:w="120" w:type="dxa"/>
              <w:left w:w="120" w:type="dxa"/>
              <w:right w:w="120" w:type="dxa"/>
            </w:tcMar>
          </w:tcPr>
          <w:p>
            <w:pPr>
              <w:jc w:val="left"/>
            </w:pPr>
            <w:r>
              <w:rPr>
                <w:b/>
                <w:color w:val="FFFFFF"/>
                <w:sz w:val="19"/>
              </w:rPr>
              <w:t>Scope &amp; Inclusions</w:t>
            </w:r>
          </w:p>
        </w:tc>
        <w:tc>
          <w:tcPr>
            <w:tcW w:type="dxa" w:w="1152"/>
            <w:shd w:fill="024873"/>
            <w:tcMar>
              <w:top w:w="120" w:type="dxa"/>
              <w:bottom w:w="120" w:type="dxa"/>
              <w:left w:w="120" w:type="dxa"/>
              <w:right w:w="120" w:type="dxa"/>
            </w:tcMar>
          </w:tcPr>
          <w:p>
            <w:pPr>
              <w:jc w:val="right"/>
            </w:pPr>
            <w:r>
              <w:rPr>
                <w:b/>
                <w:color w:val="FFFFFF"/>
                <w:sz w:val="19"/>
              </w:rPr>
              <w:t>Est. Hours</w:t>
            </w:r>
          </w:p>
        </w:tc>
        <w:tc>
          <w:tcPr>
            <w:tcW w:type="dxa" w:w="1296"/>
            <w:shd w:fill="024873"/>
            <w:tcMar>
              <w:top w:w="120" w:type="dxa"/>
              <w:bottom w:w="120" w:type="dxa"/>
              <w:left w:w="120" w:type="dxa"/>
              <w:right w:w="120" w:type="dxa"/>
            </w:tcMar>
          </w:tcPr>
          <w:p>
            <w:pPr>
              <w:jc w:val="right"/>
            </w:pPr>
            <w:r>
              <w:rPr>
                <w:b/>
                <w:color w:val="FFFFFF"/>
                <w:sz w:val="19"/>
              </w:rPr>
              <w:t>Fixed Cost</w:t>
            </w:r>
          </w:p>
        </w:tc>
      </w:tr>
      <w:tr>
        <w:tc>
          <w:tcPr>
            <w:tcW w:type="dxa" w:w="2592"/>
            <w:shd w:fill="F2EDEB"/>
            <w:tcMar>
              <w:top w:w="100" w:type="dxa"/>
              <w:bottom w:w="100" w:type="dxa"/>
              <w:left w:w="120" w:type="dxa"/>
              <w:right w:w="120" w:type="dxa"/>
            </w:tcMar>
          </w:tcPr>
          <w:p>
            <w:pPr>
              <w:jc w:val="left"/>
            </w:pPr>
            <w:r>
              <w:rPr>
                <w:b/>
                <w:color w:val="024873"/>
                <w:sz w:val="19"/>
              </w:rPr>
              <w:t>Phase 1: Architecture &amp; Design</w:t>
            </w:r>
          </w:p>
        </w:tc>
        <w:tc>
          <w:tcPr>
            <w:tcW w:type="dxa" w:w="4608"/>
            <w:shd w:fill="F2EDEB"/>
            <w:tcMar>
              <w:top w:w="100" w:type="dxa"/>
              <w:bottom w:w="100" w:type="dxa"/>
              <w:left w:w="120" w:type="dxa"/>
              <w:right w:w="120" w:type="dxa"/>
            </w:tcMar>
          </w:tcPr>
          <w:p>
            <w:pPr>
              <w:jc w:val="left"/>
            </w:pPr>
            <w:r>
              <w:rPr>
                <w:b w:val="0"/>
                <w:color w:val="0F172A"/>
                <w:sz w:val="19"/>
              </w:rPr>
              <w:t>Custom palette design system, logo optimization, brand tab-navigation framework</w:t>
            </w:r>
          </w:p>
        </w:tc>
        <w:tc>
          <w:tcPr>
            <w:tcW w:type="dxa" w:w="1152"/>
            <w:shd w:fill="F2EDEB"/>
            <w:tcMar>
              <w:top w:w="100" w:type="dxa"/>
              <w:bottom w:w="100" w:type="dxa"/>
              <w:left w:w="120" w:type="dxa"/>
              <w:right w:w="120" w:type="dxa"/>
            </w:tcMar>
          </w:tcPr>
          <w:p>
            <w:pPr>
              <w:jc w:val="right"/>
            </w:pPr>
            <w:r>
              <w:rPr>
                <w:b w:val="0"/>
                <w:color w:val="0F172A"/>
                <w:sz w:val="19"/>
              </w:rPr>
              <w:t>10 hrs</w:t>
            </w:r>
          </w:p>
        </w:tc>
        <w:tc>
          <w:tcPr>
            <w:tcW w:type="dxa" w:w="1296"/>
            <w:shd w:fill="F2EDEB"/>
            <w:tcMar>
              <w:top w:w="100" w:type="dxa"/>
              <w:bottom w:w="100" w:type="dxa"/>
              <w:left w:w="120" w:type="dxa"/>
              <w:right w:w="120" w:type="dxa"/>
            </w:tcMar>
          </w:tcPr>
          <w:p>
            <w:pPr>
              <w:jc w:val="right"/>
            </w:pPr>
            <w:r>
              <w:rPr>
                <w:b w:val="0"/>
                <w:color w:val="0F172A"/>
                <w:sz w:val="19"/>
              </w:rPr>
              <w:t>$750.00</w:t>
            </w:r>
          </w:p>
        </w:tc>
      </w:tr>
      <w:tr>
        <w:tc>
          <w:tcPr>
            <w:tcW w:type="dxa" w:w="2592"/>
            <w:shd w:fill="FFFFFF"/>
            <w:tcMar>
              <w:top w:w="100" w:type="dxa"/>
              <w:bottom w:w="100" w:type="dxa"/>
              <w:left w:w="120" w:type="dxa"/>
              <w:right w:w="120" w:type="dxa"/>
            </w:tcMar>
          </w:tcPr>
          <w:p>
            <w:pPr>
              <w:jc w:val="left"/>
            </w:pPr>
            <w:r>
              <w:rPr>
                <w:b/>
                <w:color w:val="024873"/>
                <w:sz w:val="19"/>
              </w:rPr>
              <w:t>Phase 2: Core Web Platform Suite</w:t>
            </w:r>
          </w:p>
        </w:tc>
        <w:tc>
          <w:tcPr>
            <w:tcW w:type="dxa" w:w="4608"/>
            <w:shd w:fill="FFFFFF"/>
            <w:tcMar>
              <w:top w:w="100" w:type="dxa"/>
              <w:bottom w:w="100" w:type="dxa"/>
              <w:left w:w="120" w:type="dxa"/>
              <w:right w:w="120" w:type="dxa"/>
            </w:tcMar>
          </w:tcPr>
          <w:p>
            <w:pPr>
              <w:jc w:val="left"/>
            </w:pPr>
            <w:r>
              <w:rPr>
                <w:b w:val="0"/>
                <w:color w:val="0F172A"/>
                <w:sz w:val="19"/>
              </w:rPr>
              <w:t>7 Complete Pages: Home, Schedule, Results, Partnership, Learn, Governance, Community</w:t>
            </w:r>
          </w:p>
        </w:tc>
        <w:tc>
          <w:tcPr>
            <w:tcW w:type="dxa" w:w="1152"/>
            <w:shd w:fill="FFFFFF"/>
            <w:tcMar>
              <w:top w:w="100" w:type="dxa"/>
              <w:bottom w:w="100" w:type="dxa"/>
              <w:left w:w="120" w:type="dxa"/>
              <w:right w:w="120" w:type="dxa"/>
            </w:tcMar>
          </w:tcPr>
          <w:p>
            <w:pPr>
              <w:jc w:val="right"/>
            </w:pPr>
            <w:r>
              <w:rPr>
                <w:b w:val="0"/>
                <w:color w:val="0F172A"/>
                <w:sz w:val="19"/>
              </w:rPr>
              <w:t>22 hrs</w:t>
            </w:r>
          </w:p>
        </w:tc>
        <w:tc>
          <w:tcPr>
            <w:tcW w:type="dxa" w:w="1296"/>
            <w:shd w:fill="FFFFFF"/>
            <w:tcMar>
              <w:top w:w="100" w:type="dxa"/>
              <w:bottom w:w="100" w:type="dxa"/>
              <w:left w:w="120" w:type="dxa"/>
              <w:right w:w="120" w:type="dxa"/>
            </w:tcMar>
          </w:tcPr>
          <w:p>
            <w:pPr>
              <w:jc w:val="right"/>
            </w:pPr>
            <w:r>
              <w:rPr>
                <w:b w:val="0"/>
                <w:color w:val="0F172A"/>
                <w:sz w:val="19"/>
              </w:rPr>
              <w:t>$1,650.00</w:t>
            </w:r>
          </w:p>
        </w:tc>
      </w:tr>
      <w:tr>
        <w:tc>
          <w:tcPr>
            <w:tcW w:type="dxa" w:w="2592"/>
            <w:shd w:fill="F2EDEB"/>
            <w:tcMar>
              <w:top w:w="100" w:type="dxa"/>
              <w:bottom w:w="100" w:type="dxa"/>
              <w:left w:w="120" w:type="dxa"/>
              <w:right w:w="120" w:type="dxa"/>
            </w:tcMar>
          </w:tcPr>
          <w:p>
            <w:pPr>
              <w:jc w:val="left"/>
            </w:pPr>
            <w:r>
              <w:rPr>
                <w:b/>
                <w:color w:val="024873"/>
                <w:sz w:val="19"/>
              </w:rPr>
              <w:t>Phase 3: Dynamic Widgets &amp; Logic</w:t>
            </w:r>
          </w:p>
        </w:tc>
        <w:tc>
          <w:tcPr>
            <w:tcW w:type="dxa" w:w="4608"/>
            <w:shd w:fill="F2EDEB"/>
            <w:tcMar>
              <w:top w:w="100" w:type="dxa"/>
              <w:bottom w:w="100" w:type="dxa"/>
              <w:left w:w="120" w:type="dxa"/>
              <w:right w:w="120" w:type="dxa"/>
            </w:tcMar>
          </w:tcPr>
          <w:p>
            <w:pPr>
              <w:jc w:val="left"/>
            </w:pPr>
            <w:r>
              <w:rPr>
                <w:b w:val="0"/>
                <w:color w:val="0F172A"/>
                <w:sz w:val="19"/>
              </w:rPr>
              <w:t>Dynamic 'Today at VBC' calculator, live ACBL/Common Game feeds, interactive bulletin board</w:t>
            </w:r>
          </w:p>
        </w:tc>
        <w:tc>
          <w:tcPr>
            <w:tcW w:type="dxa" w:w="1152"/>
            <w:shd w:fill="F2EDEB"/>
            <w:tcMar>
              <w:top w:w="100" w:type="dxa"/>
              <w:bottom w:w="100" w:type="dxa"/>
              <w:left w:w="120" w:type="dxa"/>
              <w:right w:w="120" w:type="dxa"/>
            </w:tcMar>
          </w:tcPr>
          <w:p>
            <w:pPr>
              <w:jc w:val="right"/>
            </w:pPr>
            <w:r>
              <w:rPr>
                <w:b w:val="0"/>
                <w:color w:val="0F172A"/>
                <w:sz w:val="19"/>
              </w:rPr>
              <w:t>10 hrs</w:t>
            </w:r>
          </w:p>
        </w:tc>
        <w:tc>
          <w:tcPr>
            <w:tcW w:type="dxa" w:w="1296"/>
            <w:shd w:fill="F2EDEB"/>
            <w:tcMar>
              <w:top w:w="100" w:type="dxa"/>
              <w:bottom w:w="100" w:type="dxa"/>
              <w:left w:w="120" w:type="dxa"/>
              <w:right w:w="120" w:type="dxa"/>
            </w:tcMar>
          </w:tcPr>
          <w:p>
            <w:pPr>
              <w:jc w:val="right"/>
            </w:pPr>
            <w:r>
              <w:rPr>
                <w:b w:val="0"/>
                <w:color w:val="0F172A"/>
                <w:sz w:val="19"/>
              </w:rPr>
              <w:t>$750.00</w:t>
            </w:r>
          </w:p>
        </w:tc>
      </w:tr>
      <w:tr>
        <w:tc>
          <w:tcPr>
            <w:tcW w:type="dxa" w:w="2592"/>
            <w:shd w:fill="FFFFFF"/>
            <w:tcMar>
              <w:top w:w="100" w:type="dxa"/>
              <w:bottom w:w="100" w:type="dxa"/>
              <w:left w:w="120" w:type="dxa"/>
              <w:right w:w="120" w:type="dxa"/>
            </w:tcMar>
          </w:tcPr>
          <w:p>
            <w:pPr>
              <w:jc w:val="left"/>
            </w:pPr>
            <w:r>
              <w:rPr>
                <w:b/>
                <w:color w:val="024873"/>
                <w:sz w:val="19"/>
              </w:rPr>
              <w:t>Phase 4: Senior Accessibility Suite</w:t>
            </w:r>
          </w:p>
        </w:tc>
        <w:tc>
          <w:tcPr>
            <w:tcW w:type="dxa" w:w="4608"/>
            <w:shd w:fill="FFFFFF"/>
            <w:tcMar>
              <w:top w:w="100" w:type="dxa"/>
              <w:bottom w:w="100" w:type="dxa"/>
              <w:left w:w="120" w:type="dxa"/>
              <w:right w:w="120" w:type="dxa"/>
            </w:tcMar>
          </w:tcPr>
          <w:p>
            <w:pPr>
              <w:jc w:val="left"/>
            </w:pPr>
            <w:r>
              <w:rPr>
                <w:b w:val="0"/>
                <w:color w:val="0F172A"/>
                <w:sz w:val="19"/>
              </w:rPr>
              <w:t>1-Click text scaling engine (A/A+/A++), light/dark mode system, cross-device testing</w:t>
            </w:r>
          </w:p>
        </w:tc>
        <w:tc>
          <w:tcPr>
            <w:tcW w:type="dxa" w:w="1152"/>
            <w:shd w:fill="FFFFFF"/>
            <w:tcMar>
              <w:top w:w="100" w:type="dxa"/>
              <w:bottom w:w="100" w:type="dxa"/>
              <w:left w:w="120" w:type="dxa"/>
              <w:right w:w="120" w:type="dxa"/>
            </w:tcMar>
          </w:tcPr>
          <w:p>
            <w:pPr>
              <w:jc w:val="right"/>
            </w:pPr>
            <w:r>
              <w:rPr>
                <w:b w:val="0"/>
                <w:color w:val="0F172A"/>
                <w:sz w:val="19"/>
              </w:rPr>
              <w:t>6 hrs</w:t>
            </w:r>
          </w:p>
        </w:tc>
        <w:tc>
          <w:tcPr>
            <w:tcW w:type="dxa" w:w="1296"/>
            <w:shd w:fill="FFFFFF"/>
            <w:tcMar>
              <w:top w:w="100" w:type="dxa"/>
              <w:bottom w:w="100" w:type="dxa"/>
              <w:left w:w="120" w:type="dxa"/>
              <w:right w:w="120" w:type="dxa"/>
            </w:tcMar>
          </w:tcPr>
          <w:p>
            <w:pPr>
              <w:jc w:val="right"/>
            </w:pPr>
            <w:r>
              <w:rPr>
                <w:b w:val="0"/>
                <w:color w:val="0F172A"/>
                <w:sz w:val="19"/>
              </w:rPr>
              <w:t>$450.00</w:t>
            </w:r>
          </w:p>
        </w:tc>
      </w:tr>
      <w:tr>
        <w:tc>
          <w:tcPr>
            <w:tcW w:type="dxa" w:w="2592"/>
            <w:shd w:fill="F2EDEB"/>
            <w:tcMar>
              <w:top w:w="100" w:type="dxa"/>
              <w:bottom w:w="100" w:type="dxa"/>
              <w:left w:w="120" w:type="dxa"/>
              <w:right w:w="120" w:type="dxa"/>
            </w:tcMar>
          </w:tcPr>
          <w:p>
            <w:pPr>
              <w:jc w:val="left"/>
            </w:pPr>
            <w:r>
              <w:rPr>
                <w:b/>
                <w:color w:val="024873"/>
                <w:sz w:val="19"/>
              </w:rPr>
              <w:t>Phase 5: Cloud Deployment &amp; DNS</w:t>
            </w:r>
          </w:p>
        </w:tc>
        <w:tc>
          <w:tcPr>
            <w:tcW w:type="dxa" w:w="4608"/>
            <w:shd w:fill="F2EDEB"/>
            <w:tcMar>
              <w:top w:w="100" w:type="dxa"/>
              <w:bottom w:w="100" w:type="dxa"/>
              <w:left w:w="120" w:type="dxa"/>
              <w:right w:w="120" w:type="dxa"/>
            </w:tcMar>
          </w:tcPr>
          <w:p>
            <w:pPr>
              <w:jc w:val="left"/>
            </w:pPr>
            <w:r>
              <w:rPr>
                <w:b w:val="0"/>
                <w:color w:val="0F172A"/>
                <w:sz w:val="19"/>
              </w:rPr>
              <w:t>GitHub Pages deployment, custom domain &amp; SSL setup, SEO optimization, board handover</w:t>
            </w:r>
          </w:p>
        </w:tc>
        <w:tc>
          <w:tcPr>
            <w:tcW w:type="dxa" w:w="1152"/>
            <w:shd w:fill="F2EDEB"/>
            <w:tcMar>
              <w:top w:w="100" w:type="dxa"/>
              <w:bottom w:w="100" w:type="dxa"/>
              <w:left w:w="120" w:type="dxa"/>
              <w:right w:w="120" w:type="dxa"/>
            </w:tcMar>
          </w:tcPr>
          <w:p>
            <w:pPr>
              <w:jc w:val="right"/>
            </w:pPr>
            <w:r>
              <w:rPr>
                <w:b w:val="0"/>
                <w:color w:val="0F172A"/>
                <w:sz w:val="19"/>
              </w:rPr>
              <w:t>4 hrs</w:t>
            </w:r>
          </w:p>
        </w:tc>
        <w:tc>
          <w:tcPr>
            <w:tcW w:type="dxa" w:w="1296"/>
            <w:shd w:fill="F2EDEB"/>
            <w:tcMar>
              <w:top w:w="100" w:type="dxa"/>
              <w:bottom w:w="100" w:type="dxa"/>
              <w:left w:w="120" w:type="dxa"/>
              <w:right w:w="120" w:type="dxa"/>
            </w:tcMar>
          </w:tcPr>
          <w:p>
            <w:pPr>
              <w:jc w:val="right"/>
            </w:pPr>
            <w:r>
              <w:rPr>
                <w:b w:val="0"/>
                <w:color w:val="0F172A"/>
                <w:sz w:val="19"/>
              </w:rPr>
              <w:t>$300.00</w:t>
            </w:r>
          </w:p>
        </w:tc>
      </w:tr>
      <w:tr>
        <w:tc>
          <w:tcPr>
            <w:tcW w:type="dxa" w:w="2592"/>
            <w:shd w:fill="0477BF"/>
            <w:tcMar>
              <w:top w:w="100" w:type="dxa"/>
              <w:bottom w:w="100" w:type="dxa"/>
              <w:left w:w="120" w:type="dxa"/>
              <w:right w:w="120" w:type="dxa"/>
            </w:tcMar>
          </w:tcPr>
          <w:p>
            <w:pPr>
              <w:jc w:val="left"/>
            </w:pPr>
            <w:r>
              <w:rPr>
                <w:b/>
                <w:color w:val="FFFFFF"/>
                <w:sz w:val="20"/>
              </w:rPr>
              <w:t>TOTAL PROJECT ESTIMATE</w:t>
            </w:r>
          </w:p>
        </w:tc>
        <w:tc>
          <w:tcPr>
            <w:tcW w:type="dxa" w:w="4608"/>
            <w:shd w:fill="0477BF"/>
            <w:tcMar>
              <w:top w:w="100" w:type="dxa"/>
              <w:bottom w:w="100" w:type="dxa"/>
              <w:left w:w="120" w:type="dxa"/>
              <w:right w:w="120" w:type="dxa"/>
            </w:tcMar>
          </w:tcPr>
          <w:p>
            <w:pPr>
              <w:jc w:val="left"/>
            </w:pPr>
            <w:r>
              <w:rPr>
                <w:b/>
                <w:color w:val="FFFFFF"/>
                <w:sz w:val="20"/>
              </w:rPr>
              <w:t>Complete Turnkey Platform Delivery (Zero monthly software license fees)</w:t>
            </w:r>
          </w:p>
        </w:tc>
        <w:tc>
          <w:tcPr>
            <w:tcW w:type="dxa" w:w="1152"/>
            <w:shd w:fill="0477BF"/>
            <w:tcMar>
              <w:top w:w="100" w:type="dxa"/>
              <w:bottom w:w="100" w:type="dxa"/>
              <w:left w:w="120" w:type="dxa"/>
              <w:right w:w="120" w:type="dxa"/>
            </w:tcMar>
          </w:tcPr>
          <w:p>
            <w:pPr>
              <w:jc w:val="right"/>
            </w:pPr>
            <w:r>
              <w:rPr>
                <w:b/>
                <w:color w:val="FFFFFF"/>
                <w:sz w:val="20"/>
              </w:rPr>
              <w:t>52 hrs</w:t>
            </w:r>
          </w:p>
        </w:tc>
        <w:tc>
          <w:tcPr>
            <w:tcW w:type="dxa" w:w="1296"/>
            <w:shd w:fill="0477BF"/>
            <w:tcMar>
              <w:top w:w="100" w:type="dxa"/>
              <w:bottom w:w="100" w:type="dxa"/>
              <w:left w:w="120" w:type="dxa"/>
              <w:right w:w="120" w:type="dxa"/>
            </w:tcMar>
          </w:tcPr>
          <w:p>
            <w:pPr>
              <w:jc w:val="right"/>
            </w:pPr>
            <w:r>
              <w:rPr>
                <w:b/>
                <w:color w:val="FFFFFF"/>
                <w:sz w:val="20"/>
              </w:rPr>
              <w:t>$3,900.00</w:t>
            </w:r>
          </w:p>
        </w:tc>
      </w:tr>
    </w:tbl>
    <w:p>
      <w:pPr>
        <w:spacing w:after="200"/>
      </w:pPr>
    </w:p>
    <w:tbl>
      <w:tblPr>
        <w:tblW w:type="auto" w:w="0"/>
        <w:jc w:val="center"/>
        <w:tblLook w:firstColumn="1" w:firstRow="1" w:lastColumn="0" w:lastRow="0" w:noHBand="0" w:noVBand="1" w:val="04A0"/>
        <w:tblBorders>
          <w:top w:val="single" w:sz="4" w:space="0" w:color="0477BF"/>
          <w:bottom w:val="single" w:sz="6" w:space="0" w:color="0477BF"/>
          <w:insideH w:val="single" w:sz="4" w:space="0" w:color="0477BF"/>
          <w:insideV w:val="none"/>
          <w:left w:val="none"/>
          <w:right w:val="none"/>
        </w:tblBorders>
      </w:tblPr>
      <w:tblGrid>
        <w:gridCol w:w="9360"/>
      </w:tblGrid>
      <w:tr>
        <w:tc>
          <w:tcPr>
            <w:tcW w:type="dxa" w:w="9360"/>
            <w:shd w:fill="F2EDEB"/>
            <w:tcMar>
              <w:top w:w="140" w:type="dxa"/>
              <w:bottom w:w="140" w:type="dxa"/>
              <w:left w:w="160" w:type="dxa"/>
              <w:right w:w="160" w:type="dxa"/>
            </w:tcMar>
          </w:tcPr>
          <w:p>
            <w:pPr>
              <w:spacing w:line="276" w:lineRule="auto"/>
            </w:pPr>
            <w:r>
              <w:rPr>
                <w:b/>
                <w:color w:val="024873"/>
                <w:sz w:val="21"/>
              </w:rPr>
              <w:t>COST SAVINGS HIGHLIGHT: $0 Ongoing Platform Software Fees</w:t>
              <w:br/>
            </w:r>
            <w:r>
              <w:rPr>
                <w:color w:val="0F172A"/>
                <w:sz w:val="19"/>
              </w:rPr>
              <w:t>Unlike commercial website builders (Wix, Squarespace, WordPress.com) which require recurring monthly subscriptions of $20–$45/month ($240–$540/year), this codebase is custom-built with standard semantic web technology. It operates with $0 in recurring platform or hosting fees, saving the Vancouver Bridge Club thousands of dollars over its lifespan.</w:t>
            </w:r>
          </w:p>
        </w:tc>
      </w:tr>
    </w:tbl>
    <w:p>
      <w:pPr>
        <w:spacing w:before="320" w:after="120"/>
      </w:pPr>
      <w:r>
        <w:rPr>
          <w:b/>
          <w:color w:val="024873"/>
          <w:sz w:val="28"/>
        </w:rPr>
        <w:t>4. Optional Maintenance &amp; Webmaster Support</w:t>
      </w:r>
    </w:p>
    <w:p>
      <w:pPr>
        <w:spacing w:after="160" w:line="276" w:lineRule="auto"/>
      </w:pPr>
      <w:r>
        <w:t>While the board will be empowered with instructions to update content directly, the club may optionally retain Timothy Hufler for ongoing webmaster duties, monthly calendar uploads, tournament flyer publishing, and technical maintenance:</w:t>
      </w:r>
    </w:p>
    <w:p>
      <w:pPr>
        <w:pStyle w:val="ListBullet"/>
        <w:spacing w:before="40" w:after="80" w:line="276" w:lineRule="auto"/>
      </w:pPr>
      <w:r>
        <w:rPr>
          <w:b/>
          <w:color w:val="024873"/>
        </w:rPr>
        <w:t xml:space="preserve">Monthly Retainer Option ($75 / month): </w:t>
      </w:r>
      <w:r>
        <w:t>Includes up to 2 hours of monthly updates (monthly calendar PDF uploads, board meeting minutes postings, officer updates, special event announcements, and technical support).</w:t>
      </w:r>
    </w:p>
    <w:p>
      <w:pPr>
        <w:pStyle w:val="ListBullet"/>
        <w:spacing w:before="40" w:after="80" w:line="276" w:lineRule="auto"/>
      </w:pPr>
      <w:r>
        <w:rPr>
          <w:b/>
          <w:color w:val="024873"/>
        </w:rPr>
        <w:t xml:space="preserve">Annual Maintenance Package ($750 / year — Save $150): </w:t>
      </w:r>
      <w:r>
        <w:t>Full-year webmaster support and priority updates for all 12 monthly cycles plus annual board election updates.</w:t>
      </w:r>
    </w:p>
    <w:p>
      <w:pPr>
        <w:pStyle w:val="ListBullet"/>
        <w:spacing w:before="40" w:after="80" w:line="276" w:lineRule="auto"/>
      </w:pPr>
      <w:r>
        <w:rPr>
          <w:b/>
          <w:color w:val="024873"/>
        </w:rPr>
        <w:t xml:space="preserve">Ad-Hoc Hourly Support ($50 / hour): </w:t>
      </w:r>
      <w:r>
        <w:t>Available on-demand for special projects, tournament microsites, or major new features.</w:t>
      </w:r>
    </w:p>
    <w:p>
      <w:pPr>
        <w:spacing w:before="320" w:after="120"/>
      </w:pPr>
      <w:r>
        <w:rPr>
          <w:b/>
          <w:color w:val="024873"/>
          <w:sz w:val="28"/>
        </w:rPr>
        <w:t>5. Project Timeline &amp; Delivery Milestones</w:t>
      </w:r>
    </w:p>
    <w:p>
      <w:pPr>
        <w:pStyle w:val="ListBullet"/>
        <w:spacing w:before="40" w:after="80" w:line="276" w:lineRule="auto"/>
      </w:pPr>
      <w:r>
        <w:rPr>
          <w:b/>
          <w:color w:val="0477BF"/>
        </w:rPr>
        <w:t xml:space="preserve">Week 1 — Architecture &amp; Core Design: </w:t>
      </w:r>
      <w:r>
        <w:t>Finalize brand colors, emblems, navigation structure, and home portal framework.</w:t>
      </w:r>
    </w:p>
    <w:p>
      <w:pPr>
        <w:pStyle w:val="ListBullet"/>
        <w:spacing w:before="40" w:after="80" w:line="276" w:lineRule="auto"/>
      </w:pPr>
      <w:r>
        <w:rPr>
          <w:b/>
          <w:color w:val="0477BF"/>
        </w:rPr>
        <w:t xml:space="preserve">Week 2 — Feature Engineering &amp; Content: </w:t>
      </w:r>
      <w:r>
        <w:t>Build schedule calendar, ACBL results hub, digital partnership desk, education center, and governance pages.</w:t>
      </w:r>
    </w:p>
    <w:p>
      <w:pPr>
        <w:pStyle w:val="ListBullet"/>
        <w:spacing w:before="40" w:after="80" w:line="276" w:lineRule="auto"/>
      </w:pPr>
      <w:r>
        <w:rPr>
          <w:b/>
          <w:color w:val="0477BF"/>
        </w:rPr>
        <w:t xml:space="preserve">Week 3 — Board Preview &amp; Accessibility Review: </w:t>
      </w:r>
      <w:r>
        <w:t>Present interactive staging build to club leadership; conduct readability and mobile device testing.</w:t>
      </w:r>
    </w:p>
    <w:p>
      <w:pPr>
        <w:pStyle w:val="ListBullet"/>
        <w:spacing w:before="40" w:after="80" w:line="276" w:lineRule="auto"/>
      </w:pPr>
      <w:r>
        <w:rPr>
          <w:b/>
          <w:color w:val="0477BF"/>
        </w:rPr>
        <w:t xml:space="preserve">Week 4 — Final Polish &amp; Launch: </w:t>
      </w:r>
      <w:r>
        <w:t>Configure custom domain, conduct final quality assurance, and publish official website live.</w:t>
      </w:r>
    </w:p>
    <w:p>
      <w:pPr>
        <w:spacing w:before="400" w:after="120"/>
      </w:pPr>
      <w:r>
        <w:rPr>
          <w:b/>
          <w:color w:val="024873"/>
          <w:sz w:val="28"/>
        </w:rPr>
        <w:t>6. Proposal Acceptance &amp; Authorization</w:t>
      </w:r>
    </w:p>
    <w:p>
      <w:pPr>
        <w:spacing w:after="280" w:line="276" w:lineRule="auto"/>
      </w:pPr>
      <w:r>
        <w:t>To approve this estimate and authorize the website development project, please sign below and return a copy.</w:t>
      </w:r>
    </w:p>
    <w:tbl>
      <w:tblPr>
        <w:tblW w:type="auto" w:w="0"/>
        <w:jc w:val="center"/>
        <w:tblLayout w:type="fixed"/>
        <w:tblLook w:firstColumn="1" w:firstRow="1" w:lastColumn="0" w:lastRow="0" w:noHBand="0" w:noVBand="1" w:val="04A0"/>
        <w:tblBorders>
          <w:top w:val="single" w:sz="4" w:space="0" w:color="77B3D9"/>
          <w:bottom w:val="single" w:sz="6" w:space="0" w:color="77B3D9"/>
          <w:insideH w:val="single" w:sz="4" w:space="0" w:color="77B3D9"/>
          <w:insideV w:val="none"/>
          <w:left w:val="none"/>
          <w:right w:val="none"/>
        </w:tblBorders>
      </w:tblPr>
      <w:tblGrid>
        <w:gridCol w:w="4680"/>
        <w:gridCol w:w="4680"/>
      </w:tblGrid>
      <w:tr>
        <w:tc>
          <w:tcPr>
            <w:tcW w:type="dxa" w:w="4608"/>
            <w:shd w:fill="FFFFFF"/>
            <w:tcMar>
              <w:top w:w="140" w:type="dxa"/>
              <w:bottom w:w="140" w:type="dxa"/>
              <w:left w:w="140" w:type="dxa"/>
              <w:right w:w="140" w:type="dxa"/>
            </w:tcMar>
          </w:tcPr>
          <w:p>
            <w:pPr>
              <w:spacing w:line="276" w:lineRule="auto"/>
            </w:pPr>
            <w:r>
              <w:rPr>
                <w:color w:val="0F172A"/>
                <w:sz w:val="19"/>
              </w:rPr>
              <w:t>ACCEPTED FOR VANCOUVER BRIDGE CLUB:</w:t>
              <w:br/>
              <w:br/>
              <w:t>_________________________________________</w:t>
              <w:br/>
              <w:t>Signature</w:t>
              <w:br/>
              <w:br/>
              <w:t>_________________________________________</w:t>
              <w:br/>
              <w:t>Printed Name &amp; Title</w:t>
              <w:br/>
              <w:br/>
              <w:t>Date: ___________________________________</w:t>
            </w:r>
          </w:p>
        </w:tc>
        <w:tc>
          <w:tcPr>
            <w:tcW w:type="dxa" w:w="4752"/>
            <w:shd w:fill="FFFFFF"/>
            <w:tcMar>
              <w:top w:w="140" w:type="dxa"/>
              <w:bottom w:w="140" w:type="dxa"/>
              <w:left w:w="140" w:type="dxa"/>
              <w:right w:w="140" w:type="dxa"/>
            </w:tcMar>
          </w:tcPr>
          <w:p>
            <w:pPr>
              <w:spacing w:line="276" w:lineRule="auto"/>
            </w:pPr>
            <w:r>
              <w:rPr>
                <w:color w:val="0F172A"/>
                <w:sz w:val="19"/>
              </w:rPr>
              <w:t>ACCEPTED BY DEVELOPER:</w:t>
              <w:br/>
              <w:br/>
              <w:t>_________________________________________</w:t>
              <w:br/>
              <w:t>Timothy Hufler</w:t>
              <w:br/>
              <w:t>Web Developer / Consultant</w:t>
              <w:br/>
              <w:br/>
              <w:t>Date: August 10, 2026</w:t>
            </w:r>
          </w:p>
        </w:tc>
      </w:tr>
      <w:tr>
        <w:tc>
          <w:tcPr>
            <w:tcW w:type="dxa" w:w="4680"/>
          </w:tcPr>
          <w:p/>
        </w:tc>
        <w:tc>
          <w:tcPr>
            <w:tcW w:type="dxa" w:w="4680"/>
          </w:tcP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