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477BF"/>
          <w:sz w:val="20"/>
        </w:rPr>
        <w:t>PROJECT ESTIMATE &amp; FORMAL PROPOSAL</w:t>
      </w:r>
    </w:p>
    <w:p>
      <w:pPr>
        <w:spacing w:before="0" w:after="80"/>
      </w:pPr>
      <w:r>
        <w:rPr>
          <w:rFonts w:ascii="Calibri" w:hAnsi="Calibri"/>
          <w:b/>
          <w:color w:val="024873"/>
          <w:sz w:val="40"/>
        </w:rPr>
        <w:t>Vancouver Bridge Club — Website Modernization &amp; Launch</w:t>
      </w:r>
    </w:p>
    <w:p>
      <w:pPr>
        <w:spacing w:before="0" w:after="320"/>
      </w:pPr>
      <w:r>
        <w:rPr>
          <w:rFonts w:ascii="Calibri" w:hAnsi="Calibri"/>
          <w:color w:val="475569"/>
          <w:sz w:val="22"/>
        </w:rPr>
        <w:t>ACBL Unit 452 • Club Sanction #118489 • Southwest Washington</w:t>
      </w:r>
    </w:p>
    <w:tbl>
      <w:tblPr>
        <w:tblW w:type="auto" w:w="0"/>
        <w:jc w:val="center"/>
        <w:tblLayout w:type="fixed"/>
        <w:tblLook w:firstColumn="1" w:firstRow="1" w:lastColumn="0" w:lastRow="0" w:noHBand="0" w:noVBand="1" w:val="04A0"/>
        <w:tblBorders>
          <w:top w:val="single" w:sz="4" w:space="0" w:color="77B3D9"/>
          <w:bottom w:val="single" w:sz="6" w:space="0" w:color="77B3D9"/>
          <w:insideH w:val="single" w:sz="4" w:space="0" w:color="77B3D9"/>
          <w:insideV w:val="none"/>
          <w:left w:val="none"/>
          <w:right w:val="none"/>
        </w:tblBorders>
      </w:tblPr>
      <w:tblGrid>
        <w:gridCol w:w="4680"/>
        <w:gridCol w:w="4680"/>
      </w:tblGrid>
      <w:tr>
        <w:tc>
          <w:tcPr>
            <w:tcW w:type="dxa" w:w="4608"/>
            <w:shd w:fill="F2EDEB"/>
            <w:tcMar>
              <w:top w:w="80" w:type="dxa"/>
              <w:bottom w:w="80" w:type="dxa"/>
              <w:left w:w="120" w:type="dxa"/>
              <w:right w:w="120" w:type="dxa"/>
            </w:tcMar>
          </w:tcPr>
          <w:p>
            <w:pPr>
              <w:spacing w:before="20" w:after="20"/>
            </w:pPr>
            <w:r>
              <w:rPr>
                <w:rFonts w:ascii="Calibri" w:hAnsi="Calibri"/>
                <w:b/>
                <w:color w:val="024873"/>
                <w:sz w:val="18"/>
              </w:rPr>
              <w:t xml:space="preserve">PREPARED FOR: </w:t>
            </w:r>
            <w:r>
              <w:rPr>
                <w:rFonts w:ascii="Calibri" w:hAnsi="Calibri"/>
                <w:b/>
                <w:sz w:val="19"/>
              </w:rPr>
              <w:t>Vancouver Bridge Club Board of Directors</w:t>
              <w:br/>
              <w:t>ACBL Unit 452, Vancouver, WA</w:t>
            </w:r>
          </w:p>
        </w:tc>
        <w:tc>
          <w:tcPr>
            <w:tcW w:type="dxa" w:w="4752"/>
            <w:shd w:fill="F2EDEB"/>
            <w:tcMar>
              <w:top w:w="80" w:type="dxa"/>
              <w:bottom w:w="80" w:type="dxa"/>
              <w:left w:w="120" w:type="dxa"/>
              <w:right w:w="120" w:type="dxa"/>
            </w:tcMar>
          </w:tcPr>
          <w:p>
            <w:pPr>
              <w:spacing w:before="20" w:after="20"/>
            </w:pPr>
            <w:r>
              <w:rPr>
                <w:rFonts w:ascii="Calibri" w:hAnsi="Calibri"/>
                <w:b/>
                <w:color w:val="024873"/>
                <w:sz w:val="18"/>
              </w:rPr>
              <w:t xml:space="preserve">PREPARED BY: </w:t>
            </w:r>
            <w:r>
              <w:rPr>
                <w:rFonts w:ascii="Calibri" w:hAnsi="Calibri"/>
                <w:b/>
                <w:sz w:val="19"/>
              </w:rPr>
              <w:t>Timothy Hufler</w:t>
              <w:br/>
              <w:t>Professional Web Developer</w:t>
              <w:br/>
              <w:t>support@highhandpro.com</w:t>
            </w:r>
          </w:p>
        </w:tc>
      </w:tr>
      <w:tr>
        <w:tc>
          <w:tcPr>
            <w:tcW w:type="dxa" w:w="4608"/>
            <w:shd w:fill="F2EDEB"/>
            <w:tcMar>
              <w:top w:w="80" w:type="dxa"/>
              <w:bottom w:w="80" w:type="dxa"/>
              <w:left w:w="120" w:type="dxa"/>
              <w:right w:w="120" w:type="dxa"/>
            </w:tcMar>
          </w:tcPr>
          <w:p>
            <w:pPr>
              <w:spacing w:before="20" w:after="20"/>
            </w:pPr>
            <w:r>
              <w:rPr>
                <w:rFonts w:ascii="Calibri" w:hAnsi="Calibri"/>
                <w:b/>
                <w:color w:val="024873"/>
                <w:sz w:val="18"/>
              </w:rPr>
              <w:t xml:space="preserve">WORKING DEMO: </w:t>
            </w:r>
            <w:r>
              <w:rPr>
                <w:rFonts w:ascii="Calibri" w:hAnsi="Calibri"/>
                <w:b w:val="0"/>
                <w:sz w:val="19"/>
              </w:rPr>
              <w:t>https://highhandpro.github.io/Vancouver-Bridge-Club/</w:t>
            </w:r>
          </w:p>
        </w:tc>
        <w:tc>
          <w:tcPr>
            <w:tcW w:type="dxa" w:w="4752"/>
            <w:shd w:fill="F2EDEB"/>
            <w:tcMar>
              <w:top w:w="80" w:type="dxa"/>
              <w:bottom w:w="80" w:type="dxa"/>
              <w:left w:w="120" w:type="dxa"/>
              <w:right w:w="120" w:type="dxa"/>
            </w:tcMar>
          </w:tcPr>
          <w:p>
            <w:pPr>
              <w:spacing w:before="20" w:after="20"/>
            </w:pPr>
            <w:r>
              <w:rPr>
                <w:rFonts w:ascii="Calibri" w:hAnsi="Calibri"/>
                <w:b/>
                <w:color w:val="024873"/>
                <w:sz w:val="18"/>
              </w:rPr>
              <w:t xml:space="preserve">ESTIMATE DATE: </w:t>
            </w:r>
            <w:r>
              <w:rPr>
                <w:rFonts w:ascii="Calibri" w:hAnsi="Calibri"/>
                <w:b w:val="0"/>
                <w:sz w:val="19"/>
              </w:rPr>
              <w:t>August 2026 (Valid 60 Days)</w:t>
            </w:r>
          </w:p>
        </w:tc>
      </w:tr>
    </w:tbl>
    <w:p>
      <w:pPr>
        <w:spacing w:after="200"/>
      </w:pPr>
    </w:p>
    <w:p>
      <w:pPr>
        <w:spacing w:before="240" w:after="80"/>
      </w:pPr>
      <w:r>
        <w:rPr>
          <w:rFonts w:ascii="Calibri" w:hAnsi="Calibri"/>
          <w:b/>
          <w:color w:val="024873"/>
          <w:sz w:val="26"/>
        </w:rPr>
        <w:t>1. Project Overview &amp; Working Demonstration</w:t>
      </w:r>
    </w:p>
    <w:p>
      <w:pPr>
        <w:spacing w:after="120" w:line="276" w:lineRule="auto"/>
      </w:pPr>
      <w:r>
        <w:t>A full initial design overhaul and working prototype has already been built on the fly for the Vancouver Bridge Club. The board can preview the fully functional, responsive website live in their web browsers at:</w:t>
        <w:br/>
      </w:r>
      <w:r>
        <w:rPr>
          <w:b/>
          <w:color w:val="0477BF"/>
        </w:rPr>
        <w:t>https://highhandpro.github.io/Vancouver-Bridge-Club/index.html</w:t>
      </w:r>
    </w:p>
    <w:p>
      <w:pPr>
        <w:pStyle w:val="ListBullet"/>
        <w:spacing w:before="20" w:after="40" w:line="276" w:lineRule="auto"/>
      </w:pPr>
      <w:r>
        <w:rPr>
          <w:rFonts w:ascii="Calibri" w:hAnsi="Calibri"/>
          <w:b/>
          <w:color w:val="024873"/>
        </w:rPr>
        <w:t xml:space="preserve">Complete 7-Page Multi-Page Suite: </w:t>
      </w:r>
      <w:r>
        <w:rPr>
          <w:rFonts w:ascii="Calibri" w:hAnsi="Calibri"/>
        </w:rPr>
        <w:t>Home Portal, Schedule &amp; Calendar, ACBL Results Hub, Digital Partnership Desk, Lessons &amp; Rules, Governance Archive, and Community Gallery.</w:t>
      </w:r>
    </w:p>
    <w:p>
      <w:pPr>
        <w:pStyle w:val="ListBullet"/>
        <w:spacing w:before="20" w:after="40" w:line="276" w:lineRule="auto"/>
      </w:pPr>
      <w:r>
        <w:rPr>
          <w:rFonts w:ascii="Calibri" w:hAnsi="Calibri"/>
          <w:b/>
          <w:color w:val="024873"/>
        </w:rPr>
        <w:t xml:space="preserve">Senior-Friendly Accessibility: </w:t>
      </w:r>
      <w:r>
        <w:rPr>
          <w:rFonts w:ascii="Calibri" w:hAnsi="Calibri"/>
        </w:rPr>
        <w:t>Built-in 1-click text scaling (A / A+ / A++) and high-contrast dark/light mode engine.</w:t>
      </w:r>
    </w:p>
    <w:p>
      <w:pPr>
        <w:pStyle w:val="ListBullet"/>
        <w:spacing w:before="20" w:after="40" w:line="276" w:lineRule="auto"/>
      </w:pPr>
      <w:r>
        <w:rPr>
          <w:rFonts w:ascii="Calibri" w:hAnsi="Calibri"/>
          <w:b/>
          <w:color w:val="024873"/>
        </w:rPr>
        <w:t xml:space="preserve">Custom Brand Identity: </w:t>
      </w:r>
      <w:r>
        <w:rPr>
          <w:rFonts w:ascii="Calibri" w:hAnsi="Calibri"/>
        </w:rPr>
        <w:t>Integrated official Vancouver Bridge Club bridge &amp; suits logo with tailored club palette (#024873 Navy, #0477BF Blue, #2995D9 Sky, #77B3D9, #F2EDEB).</w:t>
      </w:r>
    </w:p>
    <w:p>
      <w:pPr>
        <w:pStyle w:val="ListBullet"/>
        <w:spacing w:before="20" w:after="40" w:line="276" w:lineRule="auto"/>
      </w:pPr>
      <w:r>
        <w:rPr>
          <w:rFonts w:ascii="Calibri" w:hAnsi="Calibri"/>
          <w:b/>
          <w:color w:val="024873"/>
        </w:rPr>
        <w:t xml:space="preserve">Zero Recurring Software Fees: </w:t>
      </w:r>
      <w:r>
        <w:rPr>
          <w:rFonts w:ascii="Calibri" w:hAnsi="Calibri"/>
        </w:rPr>
        <w:t>100% custom-built with semantic web architecture—eliminating monthly subscriptions like Wix ($25–$45/mo).</w:t>
      </w:r>
    </w:p>
    <w:p>
      <w:pPr>
        <w:spacing w:before="280" w:after="80"/>
      </w:pPr>
      <w:r>
        <w:rPr>
          <w:rFonts w:ascii="Calibri" w:hAnsi="Calibri"/>
          <w:b/>
          <w:color w:val="024873"/>
          <w:sz w:val="26"/>
        </w:rPr>
        <w:t>2. Cost Estimate &amp; Integration Breakdown</w:t>
      </w:r>
    </w:p>
    <w:tbl>
      <w:tblPr>
        <w:tblW w:type="auto" w:w="0"/>
        <w:jc w:val="center"/>
        <w:tblLayout w:type="fixed"/>
        <w:tblLook w:firstColumn="1" w:firstRow="1" w:lastColumn="0" w:lastRow="0" w:noHBand="0" w:noVBand="1" w:val="04A0"/>
        <w:tblBorders>
          <w:top w:val="single" w:sz="4" w:space="0" w:color="77B3D9"/>
          <w:bottom w:val="single" w:sz="6" w:space="0" w:color="77B3D9"/>
          <w:insideH w:val="single" w:sz="4" w:space="0" w:color="77B3D9"/>
          <w:insideV w:val="none"/>
          <w:left w:val="none"/>
          <w:right w:val="none"/>
        </w:tblBorders>
      </w:tblPr>
      <w:tblGrid>
        <w:gridCol w:w="3120"/>
        <w:gridCol w:w="3120"/>
        <w:gridCol w:w="3120"/>
      </w:tblGrid>
      <w:tr>
        <w:tc>
          <w:tcPr>
            <w:tcW w:type="dxa" w:w="3168"/>
            <w:shd w:fill="024873"/>
            <w:tcMar>
              <w:top w:w="100" w:type="dxa"/>
              <w:bottom w:w="100" w:type="dxa"/>
              <w:left w:w="100" w:type="dxa"/>
              <w:right w:w="100" w:type="dxa"/>
            </w:tcMar>
          </w:tcPr>
          <w:p>
            <w:pPr>
              <w:jc w:val="left"/>
            </w:pPr>
            <w:r>
              <w:rPr>
                <w:rFonts w:ascii="Calibri" w:hAnsi="Calibri"/>
                <w:b/>
                <w:color w:val="FFFFFF"/>
                <w:sz w:val="19"/>
              </w:rPr>
              <w:t>Milestone / Phase</w:t>
            </w:r>
          </w:p>
        </w:tc>
        <w:tc>
          <w:tcPr>
            <w:tcW w:type="dxa" w:w="4752"/>
            <w:shd w:fill="024873"/>
            <w:tcMar>
              <w:top w:w="100" w:type="dxa"/>
              <w:bottom w:w="100" w:type="dxa"/>
              <w:left w:w="100" w:type="dxa"/>
              <w:right w:w="100" w:type="dxa"/>
            </w:tcMar>
          </w:tcPr>
          <w:p>
            <w:pPr>
              <w:jc w:val="left"/>
            </w:pPr>
            <w:r>
              <w:rPr>
                <w:rFonts w:ascii="Calibri" w:hAnsi="Calibri"/>
                <w:b/>
                <w:color w:val="FFFFFF"/>
                <w:sz w:val="19"/>
              </w:rPr>
              <w:t>Description &amp; Inclusions</w:t>
            </w:r>
          </w:p>
        </w:tc>
        <w:tc>
          <w:tcPr>
            <w:tcW w:type="dxa" w:w="1440"/>
            <w:shd w:fill="024873"/>
            <w:tcMar>
              <w:top w:w="100" w:type="dxa"/>
              <w:bottom w:w="100" w:type="dxa"/>
              <w:left w:w="100" w:type="dxa"/>
              <w:right w:w="100" w:type="dxa"/>
            </w:tcMar>
          </w:tcPr>
          <w:p>
            <w:pPr>
              <w:jc w:val="right"/>
            </w:pPr>
            <w:r>
              <w:rPr>
                <w:rFonts w:ascii="Calibri" w:hAnsi="Calibri"/>
                <w:b/>
                <w:color w:val="FFFFFF"/>
                <w:sz w:val="19"/>
              </w:rPr>
              <w:t>Cost</w:t>
            </w:r>
          </w:p>
        </w:tc>
      </w:tr>
      <w:tr>
        <w:tc>
          <w:tcPr>
            <w:tcW w:type="dxa" w:w="3168"/>
            <w:shd w:fill="F2EDEB"/>
            <w:tcMar>
              <w:top w:w="90" w:type="dxa"/>
              <w:bottom w:w="90" w:type="dxa"/>
              <w:left w:w="100" w:type="dxa"/>
              <w:right w:w="100" w:type="dxa"/>
            </w:tcMar>
          </w:tcPr>
          <w:p>
            <w:pPr>
              <w:jc w:val="left"/>
            </w:pPr>
            <w:r>
              <w:rPr>
                <w:rFonts w:ascii="Calibri" w:hAnsi="Calibri"/>
                <w:b/>
                <w:color w:val="024873"/>
                <w:sz w:val="19"/>
              </w:rPr>
              <w:t>Phase 1: Initial Overhaul &amp; Prototype (Completed)</w:t>
            </w:r>
          </w:p>
        </w:tc>
        <w:tc>
          <w:tcPr>
            <w:tcW w:type="dxa" w:w="4752"/>
            <w:shd w:fill="F2EDEB"/>
            <w:tcMar>
              <w:top w:w="90" w:type="dxa"/>
              <w:bottom w:w="90" w:type="dxa"/>
              <w:left w:w="100" w:type="dxa"/>
              <w:right w:w="100" w:type="dxa"/>
            </w:tcMar>
          </w:tcPr>
          <w:p>
            <w:pPr>
              <w:jc w:val="left"/>
            </w:pPr>
            <w:r>
              <w:rPr>
                <w:rFonts w:ascii="Calibri" w:hAnsi="Calibri"/>
                <w:b w:val="0"/>
                <w:color w:val="0F172A"/>
                <w:sz w:val="19"/>
              </w:rPr>
              <w:t>Full architectural overhaul, 7-page suite, navigation tab strip, accessibility engine, logo &amp; palette integration.</w:t>
            </w:r>
          </w:p>
        </w:tc>
        <w:tc>
          <w:tcPr>
            <w:tcW w:type="dxa" w:w="1440"/>
            <w:shd w:fill="F2EDEB"/>
            <w:tcMar>
              <w:top w:w="90" w:type="dxa"/>
              <w:bottom w:w="90" w:type="dxa"/>
              <w:left w:w="100" w:type="dxa"/>
              <w:right w:w="100" w:type="dxa"/>
            </w:tcMar>
          </w:tcPr>
          <w:p>
            <w:pPr>
              <w:jc w:val="right"/>
            </w:pPr>
            <w:r>
              <w:rPr>
                <w:rFonts w:ascii="Calibri" w:hAnsi="Calibri"/>
                <w:b w:val="0"/>
                <w:color w:val="0F172A"/>
                <w:sz w:val="19"/>
              </w:rPr>
              <w:t>$300.00</w:t>
            </w:r>
          </w:p>
        </w:tc>
      </w:tr>
      <w:tr>
        <w:tc>
          <w:tcPr>
            <w:tcW w:type="dxa" w:w="3168"/>
            <w:shd w:fill="FFFFFF"/>
            <w:tcMar>
              <w:top w:w="90" w:type="dxa"/>
              <w:bottom w:w="90" w:type="dxa"/>
              <w:left w:w="100" w:type="dxa"/>
              <w:right w:w="100" w:type="dxa"/>
            </w:tcMar>
          </w:tcPr>
          <w:p>
            <w:pPr>
              <w:jc w:val="left"/>
            </w:pPr>
            <w:r>
              <w:rPr>
                <w:rFonts w:ascii="Calibri" w:hAnsi="Calibri"/>
                <w:b/>
                <w:color w:val="024873"/>
                <w:sz w:val="19"/>
              </w:rPr>
              <w:t>Phase 2: Total Integration &amp; Launch (Scope)</w:t>
            </w:r>
          </w:p>
        </w:tc>
        <w:tc>
          <w:tcPr>
            <w:tcW w:type="dxa" w:w="4752"/>
            <w:shd w:fill="FFFFFF"/>
            <w:tcMar>
              <w:top w:w="90" w:type="dxa"/>
              <w:bottom w:w="90" w:type="dxa"/>
              <w:left w:w="100" w:type="dxa"/>
              <w:right w:w="100" w:type="dxa"/>
            </w:tcMar>
          </w:tcPr>
          <w:p>
            <w:pPr>
              <w:jc w:val="left"/>
            </w:pPr>
            <w:r>
              <w:rPr>
                <w:rFonts w:ascii="Calibri" w:hAnsi="Calibri"/>
                <w:b w:val="0"/>
                <w:color w:val="0F172A"/>
                <w:sz w:val="19"/>
              </w:rPr>
              <w:t>Live ACBL &amp; Common Game links, board minutes archive integration, custom domain/DNS setup, SSL certificate, final content verification &amp; board handover.</w:t>
            </w:r>
          </w:p>
        </w:tc>
        <w:tc>
          <w:tcPr>
            <w:tcW w:type="dxa" w:w="1440"/>
            <w:shd w:fill="FFFFFF"/>
            <w:tcMar>
              <w:top w:w="90" w:type="dxa"/>
              <w:bottom w:w="90" w:type="dxa"/>
              <w:left w:w="100" w:type="dxa"/>
              <w:right w:w="100" w:type="dxa"/>
            </w:tcMar>
          </w:tcPr>
          <w:p>
            <w:pPr>
              <w:jc w:val="right"/>
            </w:pPr>
            <w:r>
              <w:rPr>
                <w:rFonts w:ascii="Calibri" w:hAnsi="Calibri"/>
                <w:b w:val="0"/>
                <w:color w:val="0F172A"/>
                <w:sz w:val="19"/>
              </w:rPr>
              <w:t>$400.00 – $700.00</w:t>
            </w:r>
          </w:p>
        </w:tc>
      </w:tr>
      <w:tr>
        <w:tc>
          <w:tcPr>
            <w:tcW w:type="dxa" w:w="3168"/>
            <w:shd w:fill="0477BF"/>
            <w:tcMar>
              <w:top w:w="90" w:type="dxa"/>
              <w:bottom w:w="90" w:type="dxa"/>
              <w:left w:w="100" w:type="dxa"/>
              <w:right w:w="100" w:type="dxa"/>
            </w:tcMar>
          </w:tcPr>
          <w:p>
            <w:pPr>
              <w:jc w:val="left"/>
            </w:pPr>
            <w:r>
              <w:rPr>
                <w:rFonts w:ascii="Calibri" w:hAnsi="Calibri"/>
                <w:b/>
                <w:color w:val="FFFFFF"/>
                <w:sz w:val="20"/>
              </w:rPr>
              <w:t>TOTAL PROJECT ESTIMATE</w:t>
            </w:r>
          </w:p>
        </w:tc>
        <w:tc>
          <w:tcPr>
            <w:tcW w:type="dxa" w:w="4752"/>
            <w:shd w:fill="0477BF"/>
            <w:tcMar>
              <w:top w:w="90" w:type="dxa"/>
              <w:bottom w:w="90" w:type="dxa"/>
              <w:left w:w="100" w:type="dxa"/>
              <w:right w:w="100" w:type="dxa"/>
            </w:tcMar>
          </w:tcPr>
          <w:p>
            <w:pPr>
              <w:jc w:val="left"/>
            </w:pPr>
            <w:r>
              <w:rPr>
                <w:rFonts w:ascii="Calibri" w:hAnsi="Calibri"/>
                <w:b/>
                <w:color w:val="FFFFFF"/>
                <w:sz w:val="20"/>
              </w:rPr>
              <w:t>Complete Turnkey Platform Delivery (Operating with $0 monthly hosting software fees)</w:t>
            </w:r>
          </w:p>
        </w:tc>
        <w:tc>
          <w:tcPr>
            <w:tcW w:type="dxa" w:w="1440"/>
            <w:shd w:fill="0477BF"/>
            <w:tcMar>
              <w:top w:w="90" w:type="dxa"/>
              <w:bottom w:w="90" w:type="dxa"/>
              <w:left w:w="100" w:type="dxa"/>
              <w:right w:w="100" w:type="dxa"/>
            </w:tcMar>
          </w:tcPr>
          <w:p>
            <w:pPr>
              <w:jc w:val="right"/>
            </w:pPr>
            <w:r>
              <w:rPr>
                <w:rFonts w:ascii="Calibri" w:hAnsi="Calibri"/>
                <w:b/>
                <w:color w:val="FFFFFF"/>
                <w:sz w:val="20"/>
              </w:rPr>
              <w:t>$700.00 – $1,000.00</w:t>
            </w:r>
          </w:p>
        </w:tc>
      </w:tr>
    </w:tbl>
    <w:p>
      <w:pPr>
        <w:spacing w:after="160"/>
      </w:pPr>
    </w:p>
    <w:tbl>
      <w:tblPr>
        <w:tblW w:type="auto" w:w="0"/>
        <w:jc w:val="center"/>
        <w:tblLook w:firstColumn="1" w:firstRow="1" w:lastColumn="0" w:lastRow="0" w:noHBand="0" w:noVBand="1" w:val="04A0"/>
        <w:tblBorders>
          <w:top w:val="single" w:sz="4" w:space="0" w:color="0477BF"/>
          <w:bottom w:val="single" w:sz="6" w:space="0" w:color="0477BF"/>
          <w:insideH w:val="single" w:sz="4" w:space="0" w:color="0477BF"/>
          <w:insideV w:val="none"/>
          <w:left w:val="none"/>
          <w:right w:val="none"/>
        </w:tblBorders>
      </w:tblPr>
      <w:tblGrid>
        <w:gridCol w:w="9360"/>
      </w:tblGrid>
      <w:tr>
        <w:tc>
          <w:tcPr>
            <w:tcW w:type="dxa" w:w="9360"/>
            <w:shd w:fill="F2EDEB"/>
            <w:tcMar>
              <w:top w:w="100" w:type="dxa"/>
              <w:bottom w:w="100" w:type="dxa"/>
              <w:left w:w="140" w:type="dxa"/>
              <w:right w:w="140" w:type="dxa"/>
            </w:tcMar>
          </w:tcPr>
          <w:p>
            <w:pPr>
              <w:spacing w:line="276" w:lineRule="auto"/>
            </w:pPr>
            <w:r>
              <w:rPr>
                <w:rFonts w:ascii="Calibri" w:hAnsi="Calibri"/>
                <w:b/>
                <w:color w:val="024873"/>
                <w:sz w:val="20"/>
              </w:rPr>
              <w:t>ANNUAL SAVINGS BENEFIT FOR UNIT 452:</w:t>
              <w:br/>
            </w:r>
            <w:r>
              <w:rPr>
                <w:rFonts w:ascii="Calibri" w:hAnsi="Calibri"/>
                <w:color w:val="0F172A"/>
                <w:sz w:val="19"/>
              </w:rPr>
              <w:t>Commercial website builders charge ongoing fees of $240–$540 every year. Because this platform is custom-built and deployed to high-performance cloud hosting, it operates with $0 in monthly software or builder subscriptions.</w:t>
            </w:r>
          </w:p>
        </w:tc>
      </w:tr>
    </w:tbl>
    <w:p>
      <w:pPr>
        <w:spacing w:before="240" w:after="80"/>
      </w:pPr>
      <w:r>
        <w:rPr>
          <w:rFonts w:ascii="Calibri" w:hAnsi="Calibri"/>
          <w:b/>
          <w:color w:val="024873"/>
          <w:sz w:val="26"/>
        </w:rPr>
        <w:t>3. Optional Webmaster Maintenance</w:t>
      </w:r>
    </w:p>
    <w:p>
      <w:pPr>
        <w:spacing w:after="80" w:line="276" w:lineRule="auto"/>
      </w:pPr>
      <w:r>
        <w:t>Following launch, the board can update files directly, or optionally retain Timothy Hufler for ongoing webmaster updates:</w:t>
      </w:r>
    </w:p>
    <w:p>
      <w:pPr>
        <w:pStyle w:val="ListBullet"/>
        <w:spacing w:before="20" w:after="40" w:line="276" w:lineRule="auto"/>
      </w:pPr>
      <w:r>
        <w:rPr>
          <w:rFonts w:ascii="Calibri" w:hAnsi="Calibri"/>
          <w:b/>
          <w:color w:val="024873"/>
        </w:rPr>
        <w:t xml:space="preserve">Monthly Retainer ($50 - $75 / mo): </w:t>
      </w:r>
      <w:r>
        <w:rPr>
          <w:rFonts w:ascii="Calibri" w:hAnsi="Calibri"/>
        </w:rPr>
        <w:t>Includes regular monthly calendar uploads, tournament flyer postings, board minutes archiving, and technical support.</w:t>
      </w:r>
    </w:p>
    <w:p>
      <w:pPr>
        <w:pStyle w:val="ListBullet"/>
        <w:spacing w:before="20" w:after="40" w:line="276" w:lineRule="auto"/>
      </w:pPr>
      <w:r>
        <w:rPr>
          <w:rFonts w:ascii="Calibri" w:hAnsi="Calibri"/>
          <w:b/>
          <w:color w:val="024873"/>
        </w:rPr>
        <w:t xml:space="preserve">Ad-Hoc Hourly Support ($40 / hr): </w:t>
      </w:r>
      <w:r>
        <w:rPr>
          <w:rFonts w:ascii="Calibri" w:hAnsi="Calibri"/>
        </w:rPr>
        <w:t>On-demand support for occasional updates or new feature requests.</w:t>
      </w:r>
    </w:p>
    <w:p>
      <w:pPr>
        <w:spacing w:before="280" w:after="80"/>
      </w:pPr>
      <w:r>
        <w:rPr>
          <w:rFonts w:ascii="Calibri" w:hAnsi="Calibri"/>
          <w:b/>
          <w:color w:val="024873"/>
          <w:sz w:val="26"/>
        </w:rPr>
        <w:t>4. Approval &amp; Authorization</w:t>
      </w:r>
    </w:p>
    <w:p>
      <w:pPr>
        <w:spacing w:after="200"/>
      </w:pPr>
      <w:r>
        <w:t>To approve this estimate and authorize project completion, please sign below:</w:t>
      </w:r>
    </w:p>
    <w:tbl>
      <w:tblPr>
        <w:tblW w:type="auto" w:w="0"/>
        <w:jc w:val="center"/>
        <w:tblLayout w:type="fixed"/>
        <w:tblLook w:firstColumn="1" w:firstRow="1" w:lastColumn="0" w:lastRow="0" w:noHBand="0" w:noVBand="1" w:val="04A0"/>
        <w:tblBorders>
          <w:top w:val="single" w:sz="4" w:space="0" w:color="77B3D9"/>
          <w:bottom w:val="single" w:sz="6" w:space="0" w:color="77B3D9"/>
          <w:insideH w:val="single" w:sz="4" w:space="0" w:color="77B3D9"/>
          <w:insideV w:val="none"/>
          <w:left w:val="none"/>
          <w:right w:val="none"/>
        </w:tblBorders>
      </w:tblPr>
      <w:tblGrid>
        <w:gridCol w:w="4680"/>
        <w:gridCol w:w="4680"/>
      </w:tblGrid>
      <w:tr>
        <w:tc>
          <w:tcPr>
            <w:tcW w:type="dxa" w:w="4608"/>
            <w:shd w:fill="FFFFFF"/>
            <w:tcMar>
              <w:top w:w="120" w:type="dxa"/>
              <w:bottom w:w="120" w:type="dxa"/>
              <w:left w:w="120" w:type="dxa"/>
              <w:right w:w="120" w:type="dxa"/>
            </w:tcMar>
          </w:tcPr>
          <w:p>
            <w:pPr>
              <w:spacing w:line="276" w:lineRule="auto"/>
            </w:pPr>
            <w:r>
              <w:rPr>
                <w:rFonts w:ascii="Calibri" w:hAnsi="Calibri"/>
                <w:color w:val="0F172A"/>
                <w:sz w:val="19"/>
              </w:rPr>
              <w:t>ACCEPTED FOR VANCOUVER BRIDGE CLUB:</w:t>
              <w:br/>
              <w:br/>
              <w:t>_________________________________________</w:t>
              <w:br/>
              <w:t>Signature</w:t>
              <w:br/>
              <w:br/>
              <w:t>_________________________________________</w:t>
              <w:br/>
              <w:t>Printed Name &amp; Title</w:t>
              <w:br/>
              <w:br/>
              <w:t>Date: ___________________________________</w:t>
            </w:r>
          </w:p>
        </w:tc>
        <w:tc>
          <w:tcPr>
            <w:tcW w:type="dxa" w:w="4752"/>
            <w:shd w:fill="FFFFFF"/>
            <w:tcMar>
              <w:top w:w="120" w:type="dxa"/>
              <w:bottom w:w="120" w:type="dxa"/>
              <w:left w:w="120" w:type="dxa"/>
              <w:right w:w="120" w:type="dxa"/>
            </w:tcMar>
          </w:tcPr>
          <w:p>
            <w:pPr>
              <w:spacing w:line="276" w:lineRule="auto"/>
            </w:pPr>
            <w:r>
              <w:rPr>
                <w:rFonts w:ascii="Calibri" w:hAnsi="Calibri"/>
                <w:color w:val="0F172A"/>
                <w:sz w:val="19"/>
              </w:rPr>
              <w:t>DEVELOPER CONFIRMATION:</w:t>
              <w:br/>
              <w:br/>
              <w:t>_________________________________________</w:t>
              <w:br/>
              <w:t>Timothy Hufler</w:t>
              <w:br/>
              <w:t>Web Developer / Consultant</w:t>
              <w:br/>
              <w:br/>
              <w:t>Date: August 10, 2026</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