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p>
    <w:p>
      <w:pPr>
        <w:jc w:val="left"/>
      </w:pPr>
      <w:r>
        <w:rPr>
          <w:rFonts w:ascii="Arial" w:cs="Arial" w:eastAsia="Arial" w:hAnsi="Arial"/>
          <w:b/>
          <w:bCs/>
          <w:color w:val="1B2A4A"/>
          <w:sz w:val="44"/>
          <w:szCs w:val="44"/>
        </w:rPr>
        <w:t xml:space="preserve">SOCIAL COMMAND CENTER</w:t>
      </w:r>
    </w:p>
    <w:p>
      <w:pPr>
        <w:spacing w:after="0" w:before="80"/>
      </w:pPr>
      <w:r>
        <w:rPr>
          <w:rFonts w:ascii="Arial" w:cs="Arial" w:eastAsia="Arial" w:hAnsi="Arial"/>
          <w:color w:val="2E75B6"/>
          <w:sz w:val="36"/>
          <w:szCs w:val="36"/>
        </w:rPr>
        <w:t xml:space="preserve">Sprint 6 Remediation Plan</w:t>
      </w:r>
    </w:p>
    <w:p>
      <w:pPr>
        <w:pBdr>
          <w:bottom w:val="single" w:color="2E75B6" w:sz="6" w:space="1"/>
        </w:pBdr>
        <w:spacing w:after="200" w:before="200"/>
      </w:pPr>
    </w:p>
    <w:p>
      <w:pPr>
        <w:spacing w:after="40" w:before="40"/>
      </w:pPr>
      <w:r>
        <w:rPr>
          <w:rFonts w:ascii="Arial" w:cs="Arial" w:eastAsia="Arial" w:hAnsi="Arial"/>
          <w:b/>
          <w:bCs/>
          <w:color w:val="1B2A4A"/>
          <w:sz w:val="20"/>
          <w:szCs w:val="20"/>
        </w:rPr>
        <w:t xml:space="preserve">Prepared for: </w:t>
      </w:r>
      <w:r>
        <w:rPr>
          <w:rFonts w:ascii="Arial" w:cs="Arial" w:eastAsia="Arial" w:hAnsi="Arial"/>
          <w:color w:val="333333"/>
          <w:sz w:val="20"/>
          <w:szCs w:val="20"/>
        </w:rPr>
        <w:t xml:space="preserve">Miso So, VP of Marketing</w:t>
      </w:r>
    </w:p>
    <w:p>
      <w:pPr>
        <w:spacing w:after="40" w:before="40"/>
      </w:pPr>
      <w:r>
        <w:rPr>
          <w:rFonts w:ascii="Arial" w:cs="Arial" w:eastAsia="Arial" w:hAnsi="Arial"/>
          <w:b/>
          <w:bCs/>
          <w:color w:val="1B2A4A"/>
          <w:sz w:val="20"/>
          <w:szCs w:val="20"/>
        </w:rPr>
        <w:t xml:space="preserve">Date: </w:t>
      </w:r>
      <w:r>
        <w:rPr>
          <w:rFonts w:ascii="Arial" w:cs="Arial" w:eastAsia="Arial" w:hAnsi="Arial"/>
          <w:color w:val="333333"/>
          <w:sz w:val="20"/>
          <w:szCs w:val="20"/>
        </w:rPr>
        <w:t xml:space="preserve">March 13, 2026</w:t>
      </w:r>
    </w:p>
    <w:p>
      <w:pPr>
        <w:spacing w:after="40" w:before="40"/>
      </w:pPr>
      <w:r>
        <w:rPr>
          <w:rFonts w:ascii="Arial" w:cs="Arial" w:eastAsia="Arial" w:hAnsi="Arial"/>
          <w:b/>
          <w:bCs/>
          <w:color w:val="1B2A4A"/>
          <w:sz w:val="20"/>
          <w:szCs w:val="20"/>
        </w:rPr>
        <w:t xml:space="preserve">Status: </w:t>
      </w:r>
      <w:r>
        <w:rPr>
          <w:rFonts w:ascii="Arial" w:cs="Arial" w:eastAsia="Arial" w:hAnsi="Arial"/>
          <w:color w:val="333333"/>
          <w:sz w:val="20"/>
          <w:szCs w:val="20"/>
        </w:rPr>
        <w:t xml:space="preserve">10 open bugs across 4 pages (14 already fixed in commit a1c05b1)</w:t>
      </w:r>
    </w:p>
    <w:p>
      <w:pPr>
        <w:spacing w:after="40" w:before="40"/>
      </w:pPr>
      <w:r>
        <w:rPr>
          <w:rFonts w:ascii="Arial" w:cs="Arial" w:eastAsia="Arial" w:hAnsi="Arial"/>
          <w:b/>
          <w:bCs/>
          <w:color w:val="1B2A4A"/>
          <w:sz w:val="20"/>
          <w:szCs w:val="20"/>
        </w:rPr>
        <w:t xml:space="preserve">Scope: </w:t>
      </w:r>
      <w:r>
        <w:rPr>
          <w:rFonts w:ascii="Arial" w:cs="Arial" w:eastAsia="Arial" w:hAnsi="Arial"/>
          <w:color w:val="333333"/>
          <w:sz w:val="20"/>
          <w:szCs w:val="20"/>
        </w:rPr>
        <w:t xml:space="preserve">Dashboard, Social Listening, Reports, Competitor Intelligence</w:t>
      </w:r>
    </w:p>
    <w:p>
      <w:pPr>
        <w:spacing w:after="0" w:before="300"/>
      </w:pPr>
    </w:p>
    <w:p>
      <w:pPr>
        <w:pStyle w:val="Heading1"/>
        <w:spacing w:after="180" w:before="360"/>
      </w:pPr>
      <w:r>
        <w:rPr>
          <w:rFonts w:ascii="Arial" w:cs="Arial" w:eastAsia="Arial" w:hAnsi="Arial"/>
          <w:b/>
          <w:bCs/>
          <w:color w:val="1B2A4A"/>
          <w:sz w:val="32"/>
          <w:szCs w:val="32"/>
        </w:rPr>
        <w:t xml:space="preserve">Executive Summary</w:t>
      </w:r>
    </w:p>
    <w:p>
      <w:pPr>
        <w:spacing w:after="60" w:before="60"/>
      </w:pPr>
      <w:r>
        <w:rPr>
          <w:rFonts w:ascii="Arial" w:cs="Arial" w:eastAsia="Arial" w:hAnsi="Arial"/>
          <w:color w:val="333333"/>
          <w:sz w:val="20"/>
          <w:szCs w:val="20"/>
        </w:rPr>
        <w:t xml:space="preserve">Following the full QA walkthrough of the live Vercel deployment, we identified 24 total bugs. 14 are already fixed in commit a1c05b1 (awaiting push) and will resolve all KOL Tracking issues, listening filter bugs, and report field mismatches. This plan covers the remaining 10 open bugs, organized into 3 implementation phases by dependency chain and user impact.</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1200"/>
        <w:gridCol w:w="1600"/>
        <w:gridCol w:w="1960"/>
      </w:tblGrid>
      <w:tr>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Phase</w:t>
            </w:r>
          </w:p>
        </w:tc>
        <w:tc>
          <w:tcPr>
            <w:tcW w:type="dxa" w:w="2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Focus Area</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Bugs</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Effort</w:t>
            </w:r>
          </w:p>
        </w:tc>
        <w:tc>
          <w:tcPr>
            <w:tcW w:type="dxa" w:w="1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Impact</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333333"/>
                <w:sz w:val="17"/>
                <w:szCs w:val="17"/>
              </w:rPr>
              <w:t xml:space="preserve">Phase 1</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Dashboard Filters + Sentiment</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3</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2-3 hours</w:t>
            </w:r>
          </w:p>
        </w:tc>
        <w:tc>
          <w:tcPr>
            <w:tcW w:type="dxa" w:w="1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bCs/>
                <w:color w:val="2E8B57"/>
                <w:sz w:val="17"/>
                <w:szCs w:val="17"/>
              </w:rPr>
              <w:t xml:space="preserve">High</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333333"/>
                <w:sz w:val="17"/>
                <w:szCs w:val="17"/>
              </w:rPr>
              <w:t xml:space="preserve">Phase 2</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Competitor Intelligence + SOV</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4</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4-5 hours</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bCs/>
                <w:color w:val="C0392B"/>
                <w:sz w:val="17"/>
                <w:szCs w:val="17"/>
              </w:rPr>
              <w:t xml:space="preserve">Critical</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333333"/>
                <w:sz w:val="17"/>
                <w:szCs w:val="17"/>
              </w:rPr>
              <w:t xml:space="preserve">Phase 3</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Reports Benchmarks + Polish</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3</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3-4 hours</w:t>
            </w:r>
          </w:p>
        </w:tc>
        <w:tc>
          <w:tcPr>
            <w:tcW w:type="dxa" w:w="1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bCs/>
                <w:color w:val="D4760A"/>
                <w:sz w:val="17"/>
                <w:szCs w:val="17"/>
              </w:rPr>
              <w:t xml:space="preserve">Medium</w:t>
            </w:r>
          </w:p>
        </w:tc>
      </w:tr>
    </w:tbl>
    <w:p>
      <w:pPr>
        <w:spacing w:after="0" w:before="60"/>
      </w:pPr>
    </w:p>
    <w:p>
      <w:pPr>
        <w:spacing w:after="60" w:before="60"/>
      </w:pPr>
      <w:r>
        <w:rPr>
          <w:rFonts w:ascii="Arial" w:cs="Arial" w:eastAsia="Arial" w:hAnsi="Arial"/>
          <w:b/>
          <w:bCs/>
          <w:color w:val="333333"/>
          <w:sz w:val="20"/>
          <w:szCs w:val="20"/>
        </w:rPr>
        <w:t xml:space="preserve">Total estimated effort: 9-12 hours across 3 phases.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2E75B6" w:val="clear"/>
            <w:tcMar>
              <w:top w:type="dxa" w:w="160"/>
              <w:left w:type="dxa" w:w="200"/>
              <w:bottom w:type="dxa" w:w="160"/>
              <w:right w:type="dxa" w:w="200"/>
            </w:tcMar>
          </w:tcPr>
          <w:p>
            <w:r>
              <w:rPr>
                <w:rFonts w:ascii="Arial" w:cs="Arial" w:eastAsia="Arial" w:hAnsi="Arial"/>
                <w:b/>
                <w:bCs/>
                <w:color w:val="FFFFFF"/>
                <w:sz w:val="28"/>
                <w:szCs w:val="28"/>
              </w:rPr>
              <w:t xml:space="preserve">PHASE 1</w:t>
            </w:r>
            <w:r>
              <w:rPr>
                <w:rFonts w:ascii="Arial" w:cs="Arial" w:eastAsia="Arial" w:hAnsi="Arial"/>
                <w:b/>
                <w:bCs/>
                <w:color w:val="FFFFFF"/>
                <w:sz w:val="28"/>
                <w:szCs w:val="28"/>
              </w:rPr>
              <w:t xml:space="preserve">  DASHBOARD FILTERS + SENTIMENT</w:t>
            </w:r>
          </w:p>
          <w:p>
            <w:pPr>
              <w:spacing w:before="40"/>
            </w:pPr>
            <w:r>
              <w:rPr>
                <w:rFonts w:ascii="Arial" w:cs="Arial" w:eastAsia="Arial" w:hAnsi="Arial"/>
                <w:i/>
                <w:iCs/>
                <w:color w:val="FFFFFF"/>
                <w:sz w:val="18"/>
                <w:szCs w:val="18"/>
              </w:rPr>
              <w:t xml:space="preserve">Quick wins that make the dashboard fully interactive  |  Est. 2-3 hours</w:t>
            </w:r>
          </w:p>
        </w:tc>
      </w:tr>
    </w:tbl>
    <w:p>
      <w:pPr>
        <w:spacing w:after="0" w:before="120"/>
      </w:pPr>
    </w:p>
    <w:p>
      <w:pPr>
        <w:spacing w:after="60" w:before="60"/>
      </w:pPr>
      <w:r>
        <w:rPr>
          <w:rFonts w:ascii="Arial" w:cs="Arial" w:eastAsia="Arial" w:hAnsi="Arial"/>
          <w:color w:val="333333"/>
          <w:sz w:val="20"/>
          <w:szCs w:val="20"/>
        </w:rPr>
        <w:t xml:space="preserve">The dashboard is the landing page and first impression of the tool. Right now, the time range buttons are decorative and the sentiment section shows empty drivers. These are straightforward fixes that make the most-visited page feel complete.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D5E8F0" w:val="clear"/>
            <w:tcMar>
              <w:top w:type="dxa" w:w="100"/>
              <w:left w:type="dxa" w:w="160"/>
              <w:bottom w:type="dxa" w:w="100"/>
              <w:right w:type="dxa" w:w="160"/>
            </w:tcMar>
          </w:tcPr>
          <w:p>
            <w:r>
              <w:rPr>
                <w:rFonts w:ascii="Arial" w:cs="Arial" w:eastAsia="Arial" w:hAnsi="Arial"/>
                <w:b/>
                <w:bCs/>
                <w:color w:val="1B2A4A"/>
                <w:sz w:val="20"/>
                <w:szCs w:val="20"/>
              </w:rPr>
              <w:t xml:space="preserve">D1  </w:t>
            </w:r>
            <w:r>
              <w:rPr>
                <w:rFonts w:ascii="Arial" w:cs="Arial" w:eastAsia="Arial" w:hAnsi="Arial"/>
                <w:b/>
                <w:bCs/>
                <w:color w:val="1B2A4A"/>
                <w:sz w:val="20"/>
                <w:szCs w:val="20"/>
              </w:rPr>
              <w:t xml:space="preserve">Dashboard time range filter non-functional</w:t>
            </w:r>
            <w:r>
              <w:rPr>
                <w:rFonts w:ascii="Arial" w:cs="Arial" w:eastAsia="Arial" w:hAnsi="Arial"/>
                <w:b/>
                <w:bCs/>
                <w:color w:val="B8860B"/>
                <w:sz w:val="18"/>
                <w:szCs w:val="18"/>
              </w:rPr>
              <w:t xml:space="preserve">   [Medium]</w:t>
            </w:r>
          </w:p>
        </w:tc>
      </w:tr>
      <w:tr>
        <w:tc>
          <w:tcPr>
            <w:tcW w:type="dxa" w:w="9360"/>
            <w:tcBorders>
              <w:top w:val="none" w:sz="0"/>
              <w:left w:val="none" w:sz="0"/>
              <w:bottom w:val="single" w:color="CCCCCC" w:sz="1"/>
              <w:right w:val="none" w:sz="0"/>
            </w:tcBorders>
            <w:tcMar>
              <w:top w:type="dxa" w:w="80"/>
              <w:left w:type="dxa" w:w="160"/>
              <w:bottom w:type="dxa" w:w="120"/>
              <w:right w:type="dxa" w:w="160"/>
            </w:tcMar>
          </w:tcPr>
          <w:p>
            <w:pPr>
              <w:spacing w:after="60" w:before="40"/>
            </w:pPr>
            <w:r>
              <w:rPr>
                <w:rFonts w:ascii="Arial" w:cs="Arial" w:eastAsia="Arial" w:hAnsi="Arial"/>
                <w:b/>
                <w:bCs/>
                <w:color w:val="555555"/>
                <w:sz w:val="17"/>
                <w:szCs w:val="17"/>
              </w:rPr>
              <w:t xml:space="preserve">Files: </w:t>
            </w:r>
            <w:r>
              <w:rPr>
                <w:rFonts w:ascii="Arial" w:cs="Arial" w:eastAsia="Arial" w:hAnsi="Arial"/>
                <w:i/>
                <w:iCs/>
                <w:color w:val="555555"/>
                <w:sz w:val="17"/>
                <w:szCs w:val="17"/>
              </w:rPr>
              <w:t xml:space="preserve">app/(dashboard)/page.jsx, lib/routers/analytics.js</w:t>
            </w:r>
          </w:p>
          <w:p>
            <w:pPr>
              <w:spacing w:after="40" w:before="60"/>
            </w:pPr>
            <w:r>
              <w:rPr>
                <w:rFonts w:ascii="Arial" w:cs="Arial" w:eastAsia="Arial" w:hAnsi="Arial"/>
                <w:b/>
                <w:bCs/>
                <w:color w:val="333333"/>
                <w:sz w:val="18"/>
                <w:szCs w:val="18"/>
              </w:rPr>
              <w:t xml:space="preserve">Root Cause: </w:t>
            </w:r>
            <w:r>
              <w:rPr>
                <w:rFonts w:ascii="Arial" w:cs="Arial" w:eastAsia="Arial" w:hAnsi="Arial"/>
                <w:color w:val="333333"/>
                <w:sz w:val="18"/>
                <w:szCs w:val="18"/>
              </w:rPr>
              <w:t xml:space="preserve">The sentimentQ query is called without the dateRange parameter. While other queries on the page correctly pass { range: dateRange }, the brandSentiment call passes undefined. Additionally, the brandSentiment procedure in analytics.js doesn't accept any input parameters at all.</w:t>
            </w:r>
          </w:p>
          <w:p>
            <w:pPr>
              <w:spacing w:after="40" w:before="60"/>
            </w:pPr>
            <w:r>
              <w:rPr>
                <w:rFonts w:ascii="Arial" w:cs="Arial" w:eastAsia="Arial" w:hAnsi="Arial"/>
                <w:b/>
                <w:bCs/>
                <w:color w:val="2E8B57"/>
                <w:sz w:val="18"/>
                <w:szCs w:val="18"/>
              </w:rPr>
              <w:t xml:space="preserve">Implementation: </w:t>
            </w:r>
            <w:r>
              <w:rPr>
                <w:rFonts w:ascii="Arial" w:cs="Arial" w:eastAsia="Arial" w:hAnsi="Arial"/>
                <w:color w:val="333333"/>
                <w:sz w:val="18"/>
                <w:szCs w:val="18"/>
              </w:rPr>
              <w:t xml:space="preserve">1) Update brandSentiment procedure to accept an optional { range } input matching the existing DateRangeInput schema. 2) Filter the ListeningHit query by createdAt using the date range. 3) Pass { range: dateRange } from the dashboard page to the query, matching the pattern already used by aggregateMetrics, engagementTrend, etc.</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D5E8F0" w:val="clear"/>
            <w:tcMar>
              <w:top w:type="dxa" w:w="100"/>
              <w:left w:type="dxa" w:w="160"/>
              <w:bottom w:type="dxa" w:w="100"/>
              <w:right w:type="dxa" w:w="160"/>
            </w:tcMar>
          </w:tcPr>
          <w:p>
            <w:r>
              <w:rPr>
                <w:rFonts w:ascii="Arial" w:cs="Arial" w:eastAsia="Arial" w:hAnsi="Arial"/>
                <w:b/>
                <w:bCs/>
                <w:color w:val="1B2A4A"/>
                <w:sz w:val="20"/>
                <w:szCs w:val="20"/>
              </w:rPr>
              <w:t xml:space="preserve">D2/D3  </w:t>
            </w:r>
            <w:r>
              <w:rPr>
                <w:rFonts w:ascii="Arial" w:cs="Arial" w:eastAsia="Arial" w:hAnsi="Arial"/>
                <w:b/>
                <w:bCs/>
                <w:color w:val="1B2A4A"/>
                <w:sz w:val="20"/>
                <w:szCs w:val="20"/>
              </w:rPr>
              <w:t xml:space="preserve">Sentiment Drivers section always empty</w:t>
            </w:r>
            <w:r>
              <w:rPr>
                <w:rFonts w:ascii="Arial" w:cs="Arial" w:eastAsia="Arial" w:hAnsi="Arial"/>
                <w:b/>
                <w:bCs/>
                <w:color w:val="666666"/>
                <w:sz w:val="18"/>
                <w:szCs w:val="18"/>
              </w:rPr>
              <w:t xml:space="preserve">   [Low]</w:t>
            </w:r>
          </w:p>
        </w:tc>
      </w:tr>
      <w:tr>
        <w:tc>
          <w:tcPr>
            <w:tcW w:type="dxa" w:w="9360"/>
            <w:tcBorders>
              <w:top w:val="none" w:sz="0"/>
              <w:left w:val="none" w:sz="0"/>
              <w:bottom w:val="single" w:color="CCCCCC" w:sz="1"/>
              <w:right w:val="none" w:sz="0"/>
            </w:tcBorders>
            <w:tcMar>
              <w:top w:type="dxa" w:w="80"/>
              <w:left w:type="dxa" w:w="160"/>
              <w:bottom w:type="dxa" w:w="120"/>
              <w:right w:type="dxa" w:w="160"/>
            </w:tcMar>
          </w:tcPr>
          <w:p>
            <w:pPr>
              <w:spacing w:after="60" w:before="40"/>
            </w:pPr>
            <w:r>
              <w:rPr>
                <w:rFonts w:ascii="Arial" w:cs="Arial" w:eastAsia="Arial" w:hAnsi="Arial"/>
                <w:b/>
                <w:bCs/>
                <w:color w:val="555555"/>
                <w:sz w:val="17"/>
                <w:szCs w:val="17"/>
              </w:rPr>
              <w:t xml:space="preserve">Files: </w:t>
            </w:r>
            <w:r>
              <w:rPr>
                <w:rFonts w:ascii="Arial" w:cs="Arial" w:eastAsia="Arial" w:hAnsi="Arial"/>
                <w:i/>
                <w:iCs/>
                <w:color w:val="555555"/>
                <w:sz w:val="17"/>
                <w:szCs w:val="17"/>
              </w:rPr>
              <w:t xml:space="preserve">lib/routers/analytics.js (line ~610)</w:t>
            </w:r>
          </w:p>
          <w:p>
            <w:pPr>
              <w:spacing w:after="40" w:before="60"/>
            </w:pPr>
            <w:r>
              <w:rPr>
                <w:rFonts w:ascii="Arial" w:cs="Arial" w:eastAsia="Arial" w:hAnsi="Arial"/>
                <w:b/>
                <w:bCs/>
                <w:color w:val="333333"/>
                <w:sz w:val="18"/>
                <w:szCs w:val="18"/>
              </w:rPr>
              <w:t xml:space="preserve">Root Cause: </w:t>
            </w:r>
            <w:r>
              <w:rPr>
                <w:rFonts w:ascii="Arial" w:cs="Arial" w:eastAsia="Arial" w:hAnsi="Arial"/>
                <w:color w:val="333333"/>
                <w:sz w:val="18"/>
                <w:szCs w:val="18"/>
              </w:rPr>
              <w:t xml:space="preserve">The drivers field in the brandSentiment response is hardcoded to an empty array (drivers: []). The procedure fetches ListeningHit records but never groups them into themes or extracts keywords. The extractThemes mutation exists in listening.js but isn't wired to the dashboard.</w:t>
            </w:r>
          </w:p>
          <w:p>
            <w:pPr>
              <w:spacing w:after="40" w:before="60"/>
            </w:pPr>
            <w:r>
              <w:rPr>
                <w:rFonts w:ascii="Arial" w:cs="Arial" w:eastAsia="Arial" w:hAnsi="Arial"/>
                <w:b/>
                <w:bCs/>
                <w:color w:val="2E8B57"/>
                <w:sz w:val="18"/>
                <w:szCs w:val="18"/>
              </w:rPr>
              <w:t xml:space="preserve">Implementation: </w:t>
            </w:r>
            <w:r>
              <w:rPr>
                <w:rFonts w:ascii="Arial" w:cs="Arial" w:eastAsia="Arial" w:hAnsi="Arial"/>
                <w:color w:val="333333"/>
                <w:sz w:val="18"/>
                <w:szCs w:val="18"/>
              </w:rPr>
              <w:t xml:space="preserve">1) In the brandSentiment procedure, after fetching listening hits, group them by topic name. 2) For each topic, compute mention count and avg sentiment score. 3) Extract top 3-5 keywords from hit content using simple word frequency (exclude stopwords + search operators). 4) Return as drivers array: [{ theme, mentions, sentiment, keywords }]. This gives the dashboard real AI-detected themes without requiring an LLM call.</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D5E8F0" w:val="clear"/>
            <w:tcMar>
              <w:top w:type="dxa" w:w="100"/>
              <w:left w:type="dxa" w:w="160"/>
              <w:bottom w:type="dxa" w:w="100"/>
              <w:right w:type="dxa" w:w="160"/>
            </w:tcMar>
          </w:tcPr>
          <w:p>
            <w:r>
              <w:rPr>
                <w:rFonts w:ascii="Arial" w:cs="Arial" w:eastAsia="Arial" w:hAnsi="Arial"/>
                <w:b/>
                <w:bCs/>
                <w:color w:val="1B2A4A"/>
                <w:sz w:val="20"/>
                <w:szCs w:val="20"/>
              </w:rPr>
              <w:t xml:space="preserve">D4  </w:t>
            </w:r>
            <w:r>
              <w:rPr>
                <w:rFonts w:ascii="Arial" w:cs="Arial" w:eastAsia="Arial" w:hAnsi="Arial"/>
                <w:b/>
                <w:bCs/>
                <w:color w:val="1B2A4A"/>
                <w:sz w:val="20"/>
                <w:szCs w:val="20"/>
              </w:rPr>
              <w:t xml:space="preserve">Follower Growth chart shows flat line (single data point)</w:t>
            </w:r>
            <w:r>
              <w:rPr>
                <w:rFonts w:ascii="Arial" w:cs="Arial" w:eastAsia="Arial" w:hAnsi="Arial"/>
                <w:b/>
                <w:bCs/>
                <w:color w:val="666666"/>
                <w:sz w:val="18"/>
                <w:szCs w:val="18"/>
              </w:rPr>
              <w:t xml:space="preserve">   [Low]</w:t>
            </w:r>
          </w:p>
        </w:tc>
      </w:tr>
      <w:tr>
        <w:tc>
          <w:tcPr>
            <w:tcW w:type="dxa" w:w="9360"/>
            <w:tcBorders>
              <w:top w:val="none" w:sz="0"/>
              <w:left w:val="none" w:sz="0"/>
              <w:bottom w:val="single" w:color="CCCCCC" w:sz="1"/>
              <w:right w:val="none" w:sz="0"/>
            </w:tcBorders>
            <w:tcMar>
              <w:top w:type="dxa" w:w="80"/>
              <w:left w:type="dxa" w:w="160"/>
              <w:bottom w:type="dxa" w:w="120"/>
              <w:right w:type="dxa" w:w="160"/>
            </w:tcMar>
          </w:tcPr>
          <w:p>
            <w:pPr>
              <w:spacing w:after="60" w:before="40"/>
            </w:pPr>
            <w:r>
              <w:rPr>
                <w:rFonts w:ascii="Arial" w:cs="Arial" w:eastAsia="Arial" w:hAnsi="Arial"/>
                <w:b/>
                <w:bCs/>
                <w:color w:val="555555"/>
                <w:sz w:val="17"/>
                <w:szCs w:val="17"/>
              </w:rPr>
              <w:t xml:space="preserve">Files: </w:t>
            </w:r>
            <w:r>
              <w:rPr>
                <w:rFonts w:ascii="Arial" w:cs="Arial" w:eastAsia="Arial" w:hAnsi="Arial"/>
                <w:i/>
                <w:iCs/>
                <w:color w:val="555555"/>
                <w:sz w:val="17"/>
                <w:szCs w:val="17"/>
              </w:rPr>
              <w:t xml:space="preserve">lib/routers/analytics.js (followerGrowth procedure)</w:t>
            </w:r>
          </w:p>
          <w:p>
            <w:pPr>
              <w:spacing w:after="40" w:before="60"/>
            </w:pPr>
            <w:r>
              <w:rPr>
                <w:rFonts w:ascii="Arial" w:cs="Arial" w:eastAsia="Arial" w:hAnsi="Arial"/>
                <w:b/>
                <w:bCs/>
                <w:color w:val="333333"/>
                <w:sz w:val="18"/>
                <w:szCs w:val="18"/>
              </w:rPr>
              <w:t xml:space="preserve">Root Cause: </w:t>
            </w:r>
            <w:r>
              <w:rPr>
                <w:rFonts w:ascii="Arial" w:cs="Arial" w:eastAsia="Arial" w:hAnsi="Arial"/>
                <w:color w:val="333333"/>
                <w:sz w:val="18"/>
                <w:szCs w:val="18"/>
              </w:rPr>
              <w:t xml:space="preserve">The Follower Growth chart only has 1 data point because the followerGrowth query returns daily snapshots, but we only have a single snapshot date (the day polling started). The chart needs at least 2 points to show a meaningful trend line.</w:t>
            </w:r>
          </w:p>
          <w:p>
            <w:pPr>
              <w:spacing w:after="40" w:before="60"/>
            </w:pPr>
            <w:r>
              <w:rPr>
                <w:rFonts w:ascii="Arial" w:cs="Arial" w:eastAsia="Arial" w:hAnsi="Arial"/>
                <w:b/>
                <w:bCs/>
                <w:color w:val="2E8B57"/>
                <w:sz w:val="18"/>
                <w:szCs w:val="18"/>
              </w:rPr>
              <w:t xml:space="preserve">Implementation: </w:t>
            </w:r>
            <w:r>
              <w:rPr>
                <w:rFonts w:ascii="Arial" w:cs="Arial" w:eastAsia="Arial" w:hAnsi="Arial"/>
                <w:color w:val="333333"/>
                <w:sz w:val="18"/>
                <w:szCs w:val="18"/>
              </w:rPr>
              <w:t xml:space="preserve">1) Modify the followerGrowth query to backfill from the account creation date using the baselineFollowers value as the starting point. 2) Interpolate between baseline and current value if only 1-2 data points exist. This gives the chart a visible growth trajectory even with limited historical data.</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1B6B3A" w:val="clear"/>
            <w:tcMar>
              <w:top w:type="dxa" w:w="160"/>
              <w:left w:type="dxa" w:w="200"/>
              <w:bottom w:type="dxa" w:w="160"/>
              <w:right w:type="dxa" w:w="200"/>
            </w:tcMar>
          </w:tcPr>
          <w:p>
            <w:r>
              <w:rPr>
                <w:rFonts w:ascii="Arial" w:cs="Arial" w:eastAsia="Arial" w:hAnsi="Arial"/>
                <w:b/>
                <w:bCs/>
                <w:color w:val="FFFFFF"/>
                <w:sz w:val="28"/>
                <w:szCs w:val="28"/>
              </w:rPr>
              <w:t xml:space="preserve">PHASE 2</w:t>
            </w:r>
            <w:r>
              <w:rPr>
                <w:rFonts w:ascii="Arial" w:cs="Arial" w:eastAsia="Arial" w:hAnsi="Arial"/>
                <w:b/>
                <w:bCs/>
                <w:color w:val="FFFFFF"/>
                <w:sz w:val="28"/>
                <w:szCs w:val="28"/>
              </w:rPr>
              <w:t xml:space="preserve">  COMPETITOR INTELLIGENCE + SHARE OF VOICE</w:t>
            </w:r>
          </w:p>
          <w:p>
            <w:pPr>
              <w:spacing w:before="40"/>
            </w:pPr>
            <w:r>
              <w:rPr>
                <w:rFonts w:ascii="Arial" w:cs="Arial" w:eastAsia="Arial" w:hAnsi="Arial"/>
                <w:i/>
                <w:iCs/>
                <w:color w:val="FFFFFF"/>
                <w:sz w:val="18"/>
                <w:szCs w:val="18"/>
              </w:rPr>
              <w:t xml:space="preserve">The biggest feature gap — connecting listening data to competitor analysis  |  Est. 4-5 hours</w:t>
            </w:r>
          </w:p>
        </w:tc>
      </w:tr>
    </w:tbl>
    <w:p>
      <w:pPr>
        <w:spacing w:after="0" w:before="120"/>
      </w:pPr>
    </w:p>
    <w:p>
      <w:pPr>
        <w:spacing w:after="60" w:before="60"/>
      </w:pPr>
      <w:r>
        <w:rPr>
          <w:rFonts w:ascii="Arial" w:cs="Arial" w:eastAsia="Arial" w:hAnsi="Arial"/>
          <w:color w:val="333333"/>
          <w:sz w:val="20"/>
          <w:szCs w:val="20"/>
        </w:rPr>
        <w:t xml:space="preserve">This is the most impactful phase. Competitor listening topics already exist and are collecting data (Tradable: 38 hits, Goldfinch: 33, Tokeny: 36, etc.), but there's a complete disconnect between the listening pipeline and the competitor intelligence UI. The Share of Voice tab and Competitors tab both show 'no data' because of a data structure mismatch and missing SOV calculations.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D5E8F0" w:val="clear"/>
            <w:tcMar>
              <w:top w:type="dxa" w:w="100"/>
              <w:left w:type="dxa" w:w="160"/>
              <w:bottom w:type="dxa" w:w="100"/>
              <w:right w:type="dxa" w:w="160"/>
            </w:tcMar>
          </w:tcPr>
          <w:p>
            <w:r>
              <w:rPr>
                <w:rFonts w:ascii="Arial" w:cs="Arial" w:eastAsia="Arial" w:hAnsi="Arial"/>
                <w:b/>
                <w:bCs/>
                <w:color w:val="1B2A4A"/>
                <w:sz w:val="20"/>
                <w:szCs w:val="20"/>
              </w:rPr>
              <w:t xml:space="preserve">L4/L5  </w:t>
            </w:r>
            <w:r>
              <w:rPr>
                <w:rFonts w:ascii="Arial" w:cs="Arial" w:eastAsia="Arial" w:hAnsi="Arial"/>
                <w:b/>
                <w:bCs/>
                <w:color w:val="1B2A4A"/>
                <w:sz w:val="20"/>
                <w:szCs w:val="20"/>
              </w:rPr>
              <w:t xml:space="preserve">Share of Voice and Competitors tabs show no data</w:t>
            </w:r>
            <w:r>
              <w:rPr>
                <w:rFonts w:ascii="Arial" w:cs="Arial" w:eastAsia="Arial" w:hAnsi="Arial"/>
                <w:b/>
                <w:bCs/>
                <w:color w:val="B8860B"/>
                <w:sz w:val="18"/>
                <w:szCs w:val="18"/>
              </w:rPr>
              <w:t xml:space="preserve">   [Medium]</w:t>
            </w:r>
          </w:p>
        </w:tc>
      </w:tr>
      <w:tr>
        <w:tc>
          <w:tcPr>
            <w:tcW w:type="dxa" w:w="9360"/>
            <w:tcBorders>
              <w:top w:val="none" w:sz="0"/>
              <w:left w:val="none" w:sz="0"/>
              <w:bottom w:val="single" w:color="CCCCCC" w:sz="1"/>
              <w:right w:val="none" w:sz="0"/>
            </w:tcBorders>
            <w:tcMar>
              <w:top w:type="dxa" w:w="80"/>
              <w:left w:type="dxa" w:w="160"/>
              <w:bottom w:type="dxa" w:w="120"/>
              <w:right w:type="dxa" w:w="160"/>
            </w:tcMar>
          </w:tcPr>
          <w:p>
            <w:pPr>
              <w:spacing w:after="60" w:before="40"/>
            </w:pPr>
            <w:r>
              <w:rPr>
                <w:rFonts w:ascii="Arial" w:cs="Arial" w:eastAsia="Arial" w:hAnsi="Arial"/>
                <w:b/>
                <w:bCs/>
                <w:color w:val="555555"/>
                <w:sz w:val="17"/>
                <w:szCs w:val="17"/>
              </w:rPr>
              <w:t xml:space="preserve">Files: </w:t>
            </w:r>
            <w:r>
              <w:rPr>
                <w:rFonts w:ascii="Arial" w:cs="Arial" w:eastAsia="Arial" w:hAnsi="Arial"/>
                <w:i/>
                <w:iCs/>
                <w:color w:val="555555"/>
                <w:sz w:val="17"/>
                <w:szCs w:val="17"/>
              </w:rPr>
              <w:t xml:space="preserve">lib/routers/competitors.js (getSOV), app/(dashboard)/listening/page.jsx</w:t>
            </w:r>
          </w:p>
          <w:p>
            <w:pPr>
              <w:spacing w:after="40" w:before="60"/>
            </w:pPr>
            <w:r>
              <w:rPr>
                <w:rFonts w:ascii="Arial" w:cs="Arial" w:eastAsia="Arial" w:hAnsi="Arial"/>
                <w:b/>
                <w:bCs/>
                <w:color w:val="333333"/>
                <w:sz w:val="18"/>
                <w:szCs w:val="18"/>
              </w:rPr>
              <w:t xml:space="preserve">Root Cause: </w:t>
            </w:r>
            <w:r>
              <w:rPr>
                <w:rFonts w:ascii="Arial" w:cs="Arial" w:eastAsia="Arial" w:hAnsi="Arial"/>
                <w:color w:val="333333"/>
                <w:sz w:val="18"/>
                <w:szCs w:val="18"/>
              </w:rPr>
              <w:t xml:space="preserve">Critical data structure mismatch: the listening page expects sovQ.data?.current (an array of { name, value, mentions, sentiment, avgEng, color }) but getSOV returns [{ date, competitors }]. The UI destructures .current, gets undefined, falls back to [], and renders the empty state.</w:t>
            </w:r>
          </w:p>
          <w:p>
            <w:pPr>
              <w:spacing w:after="40" w:before="60"/>
            </w:pPr>
            <w:r>
              <w:rPr>
                <w:rFonts w:ascii="Arial" w:cs="Arial" w:eastAsia="Arial" w:hAnsi="Arial"/>
                <w:b/>
                <w:bCs/>
                <w:color w:val="2E8B57"/>
                <w:sz w:val="18"/>
                <w:szCs w:val="18"/>
              </w:rPr>
              <w:t xml:space="preserve">Implementation: </w:t>
            </w:r>
            <w:r>
              <w:rPr>
                <w:rFonts w:ascii="Arial" w:cs="Arial" w:eastAsia="Arial" w:hAnsi="Arial"/>
                <w:color w:val="333333"/>
                <w:sz w:val="18"/>
                <w:szCs w:val="18"/>
              </w:rPr>
              <w:t xml:space="preserve">1) Restructure the getSOV return to { current: [...], overTime: [...] }. current should aggregate the latest period into per-competitor objects with name, mentions, sentiment, and calculated SOV percentage. overTime preserves the date-grouped format for the trend chart. 2) Update the listening page to use the new structure. 3) Assign brand colors to each competitor for consistent chart rendering.</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D5E8F0" w:val="clear"/>
            <w:tcMar>
              <w:top w:type="dxa" w:w="100"/>
              <w:left w:type="dxa" w:w="160"/>
              <w:bottom w:type="dxa" w:w="100"/>
              <w:right w:type="dxa" w:w="160"/>
            </w:tcMar>
          </w:tcPr>
          <w:p>
            <w:r>
              <w:rPr>
                <w:rFonts w:ascii="Arial" w:cs="Arial" w:eastAsia="Arial" w:hAnsi="Arial"/>
                <w:b/>
                <w:bCs/>
                <w:color w:val="1B2A4A"/>
                <w:sz w:val="20"/>
                <w:szCs w:val="20"/>
              </w:rPr>
              <w:t xml:space="preserve">L-NEW  </w:t>
            </w:r>
            <w:r>
              <w:rPr>
                <w:rFonts w:ascii="Arial" w:cs="Arial" w:eastAsia="Arial" w:hAnsi="Arial"/>
                <w:b/>
                <w:bCs/>
                <w:color w:val="1B2A4A"/>
                <w:sz w:val="20"/>
                <w:szCs w:val="20"/>
              </w:rPr>
              <w:t xml:space="preserve">Share of Voice calculation not implemented</w:t>
            </w:r>
            <w:r>
              <w:rPr>
                <w:rFonts w:ascii="Arial" w:cs="Arial" w:eastAsia="Arial" w:hAnsi="Arial"/>
                <w:b/>
                <w:bCs/>
                <w:color w:val="D4760A"/>
                <w:sz w:val="18"/>
                <w:szCs w:val="18"/>
              </w:rPr>
              <w:t xml:space="preserve">   [High]</w:t>
            </w:r>
          </w:p>
        </w:tc>
      </w:tr>
      <w:tr>
        <w:tc>
          <w:tcPr>
            <w:tcW w:type="dxa" w:w="9360"/>
            <w:tcBorders>
              <w:top w:val="none" w:sz="0"/>
              <w:left w:val="none" w:sz="0"/>
              <w:bottom w:val="single" w:color="CCCCCC" w:sz="1"/>
              <w:right w:val="none" w:sz="0"/>
            </w:tcBorders>
            <w:tcMar>
              <w:top w:type="dxa" w:w="80"/>
              <w:left w:type="dxa" w:w="160"/>
              <w:bottom w:type="dxa" w:w="120"/>
              <w:right w:type="dxa" w:w="160"/>
            </w:tcMar>
          </w:tcPr>
          <w:p>
            <w:pPr>
              <w:spacing w:after="60" w:before="40"/>
            </w:pPr>
            <w:r>
              <w:rPr>
                <w:rFonts w:ascii="Arial" w:cs="Arial" w:eastAsia="Arial" w:hAnsi="Arial"/>
                <w:b/>
                <w:bCs/>
                <w:color w:val="555555"/>
                <w:sz w:val="17"/>
                <w:szCs w:val="17"/>
              </w:rPr>
              <w:t xml:space="preserve">Files: </w:t>
            </w:r>
            <w:r>
              <w:rPr>
                <w:rFonts w:ascii="Arial" w:cs="Arial" w:eastAsia="Arial" w:hAnsi="Arial"/>
                <w:i/>
                <w:iCs/>
                <w:color w:val="555555"/>
                <w:sz w:val="17"/>
                <w:szCs w:val="17"/>
              </w:rPr>
              <w:t xml:space="preserve">lib/routers/competitors.js, lib/routers/listening.js</w:t>
            </w:r>
          </w:p>
          <w:p>
            <w:pPr>
              <w:spacing w:after="40" w:before="60"/>
            </w:pPr>
            <w:r>
              <w:rPr>
                <w:rFonts w:ascii="Arial" w:cs="Arial" w:eastAsia="Arial" w:hAnsi="Arial"/>
                <w:b/>
                <w:bCs/>
                <w:color w:val="333333"/>
                <w:sz w:val="18"/>
                <w:szCs w:val="18"/>
              </w:rPr>
              <w:t xml:space="preserve">Root Cause: </w:t>
            </w:r>
            <w:r>
              <w:rPr>
                <w:rFonts w:ascii="Arial" w:cs="Arial" w:eastAsia="Arial" w:hAnsi="Arial"/>
                <w:color w:val="333333"/>
                <w:sz w:val="18"/>
                <w:szCs w:val="18"/>
              </w:rPr>
              <w:t xml:space="preserve">CompetitorMetrics stores shareOfVoicePct but nothing populates it. The getSOV procedure queries CompetitorMetrics but the values are always 0. No cron job or procedure calculates Figure's mention count vs. competitor mention counts from listening data.</w:t>
            </w:r>
          </w:p>
          <w:p>
            <w:pPr>
              <w:spacing w:after="40" w:before="60"/>
            </w:pPr>
            <w:r>
              <w:rPr>
                <w:rFonts w:ascii="Arial" w:cs="Arial" w:eastAsia="Arial" w:hAnsi="Arial"/>
                <w:b/>
                <w:bCs/>
                <w:color w:val="2E8B57"/>
                <w:sz w:val="18"/>
                <w:szCs w:val="18"/>
              </w:rPr>
              <w:t xml:space="preserve">Implementation: </w:t>
            </w:r>
            <w:r>
              <w:rPr>
                <w:rFonts w:ascii="Arial" w:cs="Arial" w:eastAsia="Arial" w:hAnsi="Arial"/>
                <w:color w:val="333333"/>
                <w:sz w:val="18"/>
                <w:szCs w:val="18"/>
              </w:rPr>
              <w:t xml:space="preserve">1) Create a calculateSOV utility that: counts Figure Brand &amp; Products listening hits in the period, counts each competitor topic's hits, computes SOV% = brand_hits / total_hits * 100. 2) Wire this into the getSOV procedure to compute SOV on-the-fly from ListeningHit counts, grouped by topic. This avoids needing a cron job since we can derive SOV from existing data. 3) Optionally update the daily-analytics cron to persist SOV snapshots for historical trending.</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D5E8F0" w:val="clear"/>
            <w:tcMar>
              <w:top w:type="dxa" w:w="100"/>
              <w:left w:type="dxa" w:w="160"/>
              <w:bottom w:type="dxa" w:w="100"/>
              <w:right w:type="dxa" w:w="160"/>
            </w:tcMar>
          </w:tcPr>
          <w:p>
            <w:r>
              <w:rPr>
                <w:rFonts w:ascii="Arial" w:cs="Arial" w:eastAsia="Arial" w:hAnsi="Arial"/>
                <w:b/>
                <w:bCs/>
                <w:color w:val="1B2A4A"/>
                <w:sz w:val="20"/>
                <w:szCs w:val="20"/>
              </w:rPr>
              <w:t xml:space="preserve">L-COMP  </w:t>
            </w:r>
            <w:r>
              <w:rPr>
                <w:rFonts w:ascii="Arial" w:cs="Arial" w:eastAsia="Arial" w:hAnsi="Arial"/>
                <w:b/>
                <w:bCs/>
                <w:color w:val="1B2A4A"/>
                <w:sz w:val="20"/>
                <w:szCs w:val="20"/>
              </w:rPr>
              <w:t xml:space="preserve">Competitor model not linked to listening topics</w:t>
            </w:r>
            <w:r>
              <w:rPr>
                <w:rFonts w:ascii="Arial" w:cs="Arial" w:eastAsia="Arial" w:hAnsi="Arial"/>
                <w:b/>
                <w:bCs/>
                <w:color w:val="B8860B"/>
                <w:sz w:val="18"/>
                <w:szCs w:val="18"/>
              </w:rPr>
              <w:t xml:space="preserve">   [Medium]</w:t>
            </w:r>
          </w:p>
        </w:tc>
      </w:tr>
      <w:tr>
        <w:tc>
          <w:tcPr>
            <w:tcW w:type="dxa" w:w="9360"/>
            <w:tcBorders>
              <w:top w:val="none" w:sz="0"/>
              <w:left w:val="none" w:sz="0"/>
              <w:bottom w:val="single" w:color="CCCCCC" w:sz="1"/>
              <w:right w:val="none" w:sz="0"/>
            </w:tcBorders>
            <w:tcMar>
              <w:top w:type="dxa" w:w="80"/>
              <w:left w:type="dxa" w:w="160"/>
              <w:bottom w:type="dxa" w:w="120"/>
              <w:right w:type="dxa" w:w="160"/>
            </w:tcMar>
          </w:tcPr>
          <w:p>
            <w:pPr>
              <w:spacing w:after="60" w:before="40"/>
            </w:pPr>
            <w:r>
              <w:rPr>
                <w:rFonts w:ascii="Arial" w:cs="Arial" w:eastAsia="Arial" w:hAnsi="Arial"/>
                <w:b/>
                <w:bCs/>
                <w:color w:val="555555"/>
                <w:sz w:val="17"/>
                <w:szCs w:val="17"/>
              </w:rPr>
              <w:t xml:space="preserve">Files: </w:t>
            </w:r>
            <w:r>
              <w:rPr>
                <w:rFonts w:ascii="Arial" w:cs="Arial" w:eastAsia="Arial" w:hAnsi="Arial"/>
                <w:i/>
                <w:iCs/>
                <w:color w:val="555555"/>
                <w:sz w:val="17"/>
                <w:szCs w:val="17"/>
              </w:rPr>
              <w:t xml:space="preserve">prisma/schema.prisma, lib/routers/competitors.js</w:t>
            </w:r>
          </w:p>
          <w:p>
            <w:pPr>
              <w:spacing w:after="40" w:before="60"/>
            </w:pPr>
            <w:r>
              <w:rPr>
                <w:rFonts w:ascii="Arial" w:cs="Arial" w:eastAsia="Arial" w:hAnsi="Arial"/>
                <w:b/>
                <w:bCs/>
                <w:color w:val="333333"/>
                <w:sz w:val="18"/>
                <w:szCs w:val="18"/>
              </w:rPr>
              <w:t xml:space="preserve">Root Cause: </w:t>
            </w:r>
            <w:r>
              <w:rPr>
                <w:rFonts w:ascii="Arial" w:cs="Arial" w:eastAsia="Arial" w:hAnsi="Arial"/>
                <w:color w:val="333333"/>
                <w:sz w:val="18"/>
                <w:szCs w:val="18"/>
              </w:rPr>
              <w:t xml:space="preserve">The Competitors tab on the listening page queries sovData which needs Competitor records, but listening topics with 'Competitor:' prefix exist without corresponding Competitor model entries. The two data models are disconnected.</w:t>
            </w:r>
          </w:p>
          <w:p>
            <w:pPr>
              <w:spacing w:after="40" w:before="60"/>
            </w:pPr>
            <w:r>
              <w:rPr>
                <w:rFonts w:ascii="Arial" w:cs="Arial" w:eastAsia="Arial" w:hAnsi="Arial"/>
                <w:b/>
                <w:bCs/>
                <w:color w:val="2E8B57"/>
                <w:sz w:val="18"/>
                <w:szCs w:val="18"/>
              </w:rPr>
              <w:t xml:space="preserve">Implementation: </w:t>
            </w:r>
            <w:r>
              <w:rPr>
                <w:rFonts w:ascii="Arial" w:cs="Arial" w:eastAsia="Arial" w:hAnsi="Arial"/>
                <w:color w:val="333333"/>
                <w:sz w:val="18"/>
                <w:szCs w:val="18"/>
              </w:rPr>
              <w:t xml:space="preserve">1) Auto-populate Competitor records from listening topics that have a 'Competitor:' name prefix. Add a seed or migration that creates a Competitor for each such topic, linking via a listeningTopicId field. 2) Update the Competitors tab to fallback to ListeningTopic data when Competitor records don't exist, showing topic name, hit count, and sentiment from listening data directly.</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D5E8F0" w:val="clear"/>
            <w:tcMar>
              <w:top w:type="dxa" w:w="100"/>
              <w:left w:type="dxa" w:w="160"/>
              <w:bottom w:type="dxa" w:w="100"/>
              <w:right w:type="dxa" w:w="160"/>
            </w:tcMar>
          </w:tcPr>
          <w:p>
            <w:r>
              <w:rPr>
                <w:rFonts w:ascii="Arial" w:cs="Arial" w:eastAsia="Arial" w:hAnsi="Arial"/>
                <w:b/>
                <w:bCs/>
                <w:color w:val="1B2A4A"/>
                <w:sz w:val="20"/>
                <w:szCs w:val="20"/>
              </w:rPr>
              <w:t xml:space="preserve">L-METRICS  </w:t>
            </w:r>
            <w:r>
              <w:rPr>
                <w:rFonts w:ascii="Arial" w:cs="Arial" w:eastAsia="Arial" w:hAnsi="Arial"/>
                <w:b/>
                <w:bCs/>
                <w:color w:val="1B2A4A"/>
                <w:sz w:val="20"/>
                <w:szCs w:val="20"/>
              </w:rPr>
              <w:t xml:space="preserve">Mention count metrics not displayed on listening page</w:t>
            </w:r>
            <w:r>
              <w:rPr>
                <w:rFonts w:ascii="Arial" w:cs="Arial" w:eastAsia="Arial" w:hAnsi="Arial"/>
                <w:b/>
                <w:bCs/>
                <w:color w:val="B8860B"/>
                <w:sz w:val="18"/>
                <w:szCs w:val="18"/>
              </w:rPr>
              <w:t xml:space="preserve">   [Medium]</w:t>
            </w:r>
          </w:p>
        </w:tc>
      </w:tr>
      <w:tr>
        <w:tc>
          <w:tcPr>
            <w:tcW w:type="dxa" w:w="9360"/>
            <w:tcBorders>
              <w:top w:val="none" w:sz="0"/>
              <w:left w:val="none" w:sz="0"/>
              <w:bottom w:val="single" w:color="CCCCCC" w:sz="1"/>
              <w:right w:val="none" w:sz="0"/>
            </w:tcBorders>
            <w:tcMar>
              <w:top w:type="dxa" w:w="80"/>
              <w:left w:type="dxa" w:w="160"/>
              <w:bottom w:type="dxa" w:w="120"/>
              <w:right w:type="dxa" w:w="160"/>
            </w:tcMar>
          </w:tcPr>
          <w:p>
            <w:pPr>
              <w:spacing w:after="60" w:before="40"/>
            </w:pPr>
            <w:r>
              <w:rPr>
                <w:rFonts w:ascii="Arial" w:cs="Arial" w:eastAsia="Arial" w:hAnsi="Arial"/>
                <w:b/>
                <w:bCs/>
                <w:color w:val="555555"/>
                <w:sz w:val="17"/>
                <w:szCs w:val="17"/>
              </w:rPr>
              <w:t xml:space="preserve">Files: </w:t>
            </w:r>
            <w:r>
              <w:rPr>
                <w:rFonts w:ascii="Arial" w:cs="Arial" w:eastAsia="Arial" w:hAnsi="Arial"/>
                <w:i/>
                <w:iCs/>
                <w:color w:val="555555"/>
                <w:sz w:val="17"/>
                <w:szCs w:val="17"/>
              </w:rPr>
              <w:t xml:space="preserve">app/(dashboard)/listening/page.jsx, lib/routers/listening.js</w:t>
            </w:r>
          </w:p>
          <w:p>
            <w:pPr>
              <w:spacing w:after="40" w:before="60"/>
            </w:pPr>
            <w:r>
              <w:rPr>
                <w:rFonts w:ascii="Arial" w:cs="Arial" w:eastAsia="Arial" w:hAnsi="Arial"/>
                <w:b/>
                <w:bCs/>
                <w:color w:val="333333"/>
                <w:sz w:val="18"/>
                <w:szCs w:val="18"/>
              </w:rPr>
              <w:t xml:space="preserve">Root Cause: </w:t>
            </w:r>
            <w:r>
              <w:rPr>
                <w:rFonts w:ascii="Arial" w:cs="Arial" w:eastAsia="Arial" w:hAnsi="Arial"/>
                <w:color w:val="333333"/>
                <w:sz w:val="18"/>
                <w:szCs w:val="18"/>
              </w:rPr>
              <w:t xml:space="preserve">The mentionMetrics procedure was added to listening.js (in commit a1c05b1) but the UI component to display mention counts, daily trend, and platform breakdown hasn't been wired in. Social media managers need to quickly see 'how many mentions this week vs. last week.'</w:t>
            </w:r>
          </w:p>
          <w:p>
            <w:pPr>
              <w:spacing w:after="40" w:before="60"/>
            </w:pPr>
            <w:r>
              <w:rPr>
                <w:rFonts w:ascii="Arial" w:cs="Arial" w:eastAsia="Arial" w:hAnsi="Arial"/>
                <w:b/>
                <w:bCs/>
                <w:color w:val="2E8B57"/>
                <w:sz w:val="18"/>
                <w:szCs w:val="18"/>
              </w:rPr>
              <w:t xml:space="preserve">Implementation: </w:t>
            </w:r>
            <w:r>
              <w:rPr>
                <w:rFonts w:ascii="Arial" w:cs="Arial" w:eastAsia="Arial" w:hAnsi="Arial"/>
                <w:color w:val="333333"/>
                <w:sz w:val="18"/>
                <w:szCs w:val="18"/>
              </w:rPr>
              <w:t xml:space="preserve">1) Add a metrics summary bar to the top of the Listening Feed tab showing: total mentions (7d), total mentions (30d), mentions by platform, and a sparkline trend. 2) Wire the mentionMetricsQ query that already exists in the page to populate these values. 3) Add a percentage change indicator comparing current 7d to previous 7d.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8B6914" w:val="clear"/>
            <w:tcMar>
              <w:top w:type="dxa" w:w="160"/>
              <w:left w:type="dxa" w:w="200"/>
              <w:bottom w:type="dxa" w:w="160"/>
              <w:right w:type="dxa" w:w="200"/>
            </w:tcMar>
          </w:tcPr>
          <w:p>
            <w:r>
              <w:rPr>
                <w:rFonts w:ascii="Arial" w:cs="Arial" w:eastAsia="Arial" w:hAnsi="Arial"/>
                <w:b/>
                <w:bCs/>
                <w:color w:val="FFFFFF"/>
                <w:sz w:val="28"/>
                <w:szCs w:val="28"/>
              </w:rPr>
              <w:t xml:space="preserve">PHASE 3</w:t>
            </w:r>
            <w:r>
              <w:rPr>
                <w:rFonts w:ascii="Arial" w:cs="Arial" w:eastAsia="Arial" w:hAnsi="Arial"/>
                <w:b/>
                <w:bCs/>
                <w:color w:val="FFFFFF"/>
                <w:sz w:val="28"/>
                <w:szCs w:val="28"/>
              </w:rPr>
              <w:t xml:space="preserve">  REPORTS BENCHMARKS + POLISH</w:t>
            </w:r>
          </w:p>
          <w:p>
            <w:pPr>
              <w:spacing w:before="40"/>
            </w:pPr>
            <w:r>
              <w:rPr>
                <w:rFonts w:ascii="Arial" w:cs="Arial" w:eastAsia="Arial" w:hAnsi="Arial"/>
                <w:i/>
                <w:iCs/>
                <w:color w:val="FFFFFF"/>
                <w:sz w:val="18"/>
                <w:szCs w:val="18"/>
              </w:rPr>
              <w:t xml:space="preserve">Replace hardcoded metrics with real computed benchmarks  |  Est. 3-4 hours</w:t>
            </w:r>
          </w:p>
        </w:tc>
      </w:tr>
    </w:tbl>
    <w:p>
      <w:pPr>
        <w:spacing w:after="0" w:before="120"/>
      </w:pPr>
    </w:p>
    <w:p>
      <w:pPr>
        <w:spacing w:after="60" w:before="60"/>
      </w:pPr>
      <w:r>
        <w:rPr>
          <w:rFonts w:ascii="Arial" w:cs="Arial" w:eastAsia="Arial" w:hAnsi="Arial"/>
          <w:color w:val="333333"/>
          <w:sz w:val="20"/>
          <w:szCs w:val="20"/>
        </w:rPr>
        <w:t xml:space="preserve">The Reports page Historical Benchmarks section displays hardcoded values that never change. The backend query (getBenchmarks) exists and returns data, but the UI ignores it and renders static strings. This phase wires real computed data to the UI and adds the missing ANTHROPIC_API_KEY for report generation.</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D5E8F0" w:val="clear"/>
            <w:tcMar>
              <w:top w:type="dxa" w:w="100"/>
              <w:left w:type="dxa" w:w="160"/>
              <w:bottom w:type="dxa" w:w="100"/>
              <w:right w:type="dxa" w:w="160"/>
            </w:tcMar>
          </w:tcPr>
          <w:p>
            <w:r>
              <w:rPr>
                <w:rFonts w:ascii="Arial" w:cs="Arial" w:eastAsia="Arial" w:hAnsi="Arial"/>
                <w:b/>
                <w:bCs/>
                <w:color w:val="1B2A4A"/>
                <w:sz w:val="20"/>
                <w:szCs w:val="20"/>
              </w:rPr>
              <w:t xml:space="preserve">R1  </w:t>
            </w:r>
            <w:r>
              <w:rPr>
                <w:rFonts w:ascii="Arial" w:cs="Arial" w:eastAsia="Arial" w:hAnsi="Arial"/>
                <w:b/>
                <w:bCs/>
                <w:color w:val="1B2A4A"/>
                <w:sz w:val="20"/>
                <w:szCs w:val="20"/>
              </w:rPr>
              <w:t xml:space="preserve">Report generation fails (missing API key)</w:t>
            </w:r>
            <w:r>
              <w:rPr>
                <w:rFonts w:ascii="Arial" w:cs="Arial" w:eastAsia="Arial" w:hAnsi="Arial"/>
                <w:b/>
                <w:bCs/>
                <w:color w:val="D4760A"/>
                <w:sz w:val="18"/>
                <w:szCs w:val="18"/>
              </w:rPr>
              <w:t xml:space="preserve">   [High]</w:t>
            </w:r>
          </w:p>
        </w:tc>
      </w:tr>
      <w:tr>
        <w:tc>
          <w:tcPr>
            <w:tcW w:type="dxa" w:w="9360"/>
            <w:tcBorders>
              <w:top w:val="none" w:sz="0"/>
              <w:left w:val="none" w:sz="0"/>
              <w:bottom w:val="single" w:color="CCCCCC" w:sz="1"/>
              <w:right w:val="none" w:sz="0"/>
            </w:tcBorders>
            <w:tcMar>
              <w:top w:type="dxa" w:w="80"/>
              <w:left w:type="dxa" w:w="160"/>
              <w:bottom w:type="dxa" w:w="120"/>
              <w:right w:type="dxa" w:w="160"/>
            </w:tcMar>
          </w:tcPr>
          <w:p>
            <w:pPr>
              <w:spacing w:after="60" w:before="40"/>
            </w:pPr>
            <w:r>
              <w:rPr>
                <w:rFonts w:ascii="Arial" w:cs="Arial" w:eastAsia="Arial" w:hAnsi="Arial"/>
                <w:b/>
                <w:bCs/>
                <w:color w:val="555555"/>
                <w:sz w:val="17"/>
                <w:szCs w:val="17"/>
              </w:rPr>
              <w:t xml:space="preserve">Files: </w:t>
            </w:r>
            <w:r>
              <w:rPr>
                <w:rFonts w:ascii="Arial" w:cs="Arial" w:eastAsia="Arial" w:hAnsi="Arial"/>
                <w:i/>
                <w:iCs/>
                <w:color w:val="555555"/>
                <w:sz w:val="17"/>
                <w:szCs w:val="17"/>
              </w:rPr>
              <w:t xml:space="preserve">Vercel Environment Variables</w:t>
            </w:r>
          </w:p>
          <w:p>
            <w:pPr>
              <w:spacing w:after="40" w:before="60"/>
            </w:pPr>
            <w:r>
              <w:rPr>
                <w:rFonts w:ascii="Arial" w:cs="Arial" w:eastAsia="Arial" w:hAnsi="Arial"/>
                <w:b/>
                <w:bCs/>
                <w:color w:val="333333"/>
                <w:sz w:val="18"/>
                <w:szCs w:val="18"/>
              </w:rPr>
              <w:t xml:space="preserve">Root Cause: </w:t>
            </w:r>
            <w:r>
              <w:rPr>
                <w:rFonts w:ascii="Arial" w:cs="Arial" w:eastAsia="Arial" w:hAnsi="Arial"/>
                <w:color w:val="333333"/>
                <w:sz w:val="18"/>
                <w:szCs w:val="18"/>
              </w:rPr>
              <w:t xml:space="preserve">Clicking 'Generate Report' returns 'Report generation failed. Please try again.' The report structure (title, sections, headings) renders but the AI content is empty. This strongly suggests the ANTHROPIC_API_KEY environment variable is not set in the Vercel project.</w:t>
            </w:r>
          </w:p>
          <w:p>
            <w:pPr>
              <w:spacing w:after="40" w:before="60"/>
            </w:pPr>
            <w:r>
              <w:rPr>
                <w:rFonts w:ascii="Arial" w:cs="Arial" w:eastAsia="Arial" w:hAnsi="Arial"/>
                <w:b/>
                <w:bCs/>
                <w:color w:val="2E8B57"/>
                <w:sz w:val="18"/>
                <w:szCs w:val="18"/>
              </w:rPr>
              <w:t xml:space="preserve">Implementation: </w:t>
            </w:r>
            <w:r>
              <w:rPr>
                <w:rFonts w:ascii="Arial" w:cs="Arial" w:eastAsia="Arial" w:hAnsi="Arial"/>
                <w:color w:val="333333"/>
                <w:sz w:val="18"/>
                <w:szCs w:val="18"/>
              </w:rPr>
              <w:t xml:space="preserve">1) Add ANTHROPIC_API_KEY to the Vercel project's environment variables (Settings &gt; Environment Variables). 2) Redeploy to pick up the new variable. 3) Verify by generating a test report. Note: this is a config change, not a code change.</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D5E8F0" w:val="clear"/>
            <w:tcMar>
              <w:top w:type="dxa" w:w="100"/>
              <w:left w:type="dxa" w:w="160"/>
              <w:bottom w:type="dxa" w:w="100"/>
              <w:right w:type="dxa" w:w="160"/>
            </w:tcMar>
          </w:tcPr>
          <w:p>
            <w:r>
              <w:rPr>
                <w:rFonts w:ascii="Arial" w:cs="Arial" w:eastAsia="Arial" w:hAnsi="Arial"/>
                <w:b/>
                <w:bCs/>
                <w:color w:val="1B2A4A"/>
                <w:sz w:val="20"/>
                <w:szCs w:val="20"/>
              </w:rPr>
              <w:t xml:space="preserve">R6  </w:t>
            </w:r>
            <w:r>
              <w:rPr>
                <w:rFonts w:ascii="Arial" w:cs="Arial" w:eastAsia="Arial" w:hAnsi="Arial"/>
                <w:b/>
                <w:bCs/>
                <w:color w:val="1B2A4A"/>
                <w:sz w:val="20"/>
                <w:szCs w:val="20"/>
              </w:rPr>
              <w:t xml:space="preserve">Historical Benchmarks shows hardcoded values</w:t>
            </w:r>
            <w:r>
              <w:rPr>
                <w:rFonts w:ascii="Arial" w:cs="Arial" w:eastAsia="Arial" w:hAnsi="Arial"/>
                <w:b/>
                <w:bCs/>
                <w:color w:val="666666"/>
                <w:sz w:val="18"/>
                <w:szCs w:val="18"/>
              </w:rPr>
              <w:t xml:space="preserve">   [Low]</w:t>
            </w:r>
          </w:p>
        </w:tc>
      </w:tr>
      <w:tr>
        <w:tc>
          <w:tcPr>
            <w:tcW w:type="dxa" w:w="9360"/>
            <w:tcBorders>
              <w:top w:val="none" w:sz="0"/>
              <w:left w:val="none" w:sz="0"/>
              <w:bottom w:val="single" w:color="CCCCCC" w:sz="1"/>
              <w:right w:val="none" w:sz="0"/>
            </w:tcBorders>
            <w:tcMar>
              <w:top w:type="dxa" w:w="80"/>
              <w:left w:type="dxa" w:w="160"/>
              <w:bottom w:type="dxa" w:w="120"/>
              <w:right w:type="dxa" w:w="160"/>
            </w:tcMar>
          </w:tcPr>
          <w:p>
            <w:pPr>
              <w:spacing w:after="60" w:before="40"/>
            </w:pPr>
            <w:r>
              <w:rPr>
                <w:rFonts w:ascii="Arial" w:cs="Arial" w:eastAsia="Arial" w:hAnsi="Arial"/>
                <w:b/>
                <w:bCs/>
                <w:color w:val="555555"/>
                <w:sz w:val="17"/>
                <w:szCs w:val="17"/>
              </w:rPr>
              <w:t xml:space="preserve">Files: </w:t>
            </w:r>
            <w:r>
              <w:rPr>
                <w:rFonts w:ascii="Arial" w:cs="Arial" w:eastAsia="Arial" w:hAnsi="Arial"/>
                <w:i/>
                <w:iCs/>
                <w:color w:val="555555"/>
                <w:sz w:val="17"/>
                <w:szCs w:val="17"/>
              </w:rPr>
              <w:t xml:space="preserve">app/(dashboard)/reports/page.jsx (lines 463-531)</w:t>
            </w:r>
          </w:p>
          <w:p>
            <w:pPr>
              <w:spacing w:after="40" w:before="60"/>
            </w:pPr>
            <w:r>
              <w:rPr>
                <w:rFonts w:ascii="Arial" w:cs="Arial" w:eastAsia="Arial" w:hAnsi="Arial"/>
                <w:b/>
                <w:bCs/>
                <w:color w:val="333333"/>
                <w:sz w:val="18"/>
                <w:szCs w:val="18"/>
              </w:rPr>
              <w:t xml:space="preserve">Root Cause: </w:t>
            </w:r>
            <w:r>
              <w:rPr>
                <w:rFonts w:ascii="Arial" w:cs="Arial" w:eastAsia="Arial" w:hAnsi="Arial"/>
                <w:color w:val="333333"/>
                <w:sz w:val="18"/>
                <w:szCs w:val="18"/>
              </w:rPr>
              <w:t xml:space="preserve">The benchmark summary cards render static values (4.2% engagement, 16.4K followers, etc.) even though benchmarksQ fetches real data from trpc.reports.getBenchmarks. The query runs, benchmarkData is populated, and the AreaChart uses it — but the summary cards below the chart are hardcoded JSX literals that ignore benchmarkData entirely.</w:t>
            </w:r>
          </w:p>
          <w:p>
            <w:pPr>
              <w:spacing w:after="40" w:before="60"/>
            </w:pPr>
            <w:r>
              <w:rPr>
                <w:rFonts w:ascii="Arial" w:cs="Arial" w:eastAsia="Arial" w:hAnsi="Arial"/>
                <w:b/>
                <w:bCs/>
                <w:color w:val="2E8B57"/>
                <w:sz w:val="18"/>
                <w:szCs w:val="18"/>
              </w:rPr>
              <w:t xml:space="preserve">Implementation: </w:t>
            </w:r>
            <w:r>
              <w:rPr>
                <w:rFonts w:ascii="Arial" w:cs="Arial" w:eastAsia="Arial" w:hAnsi="Arial"/>
                <w:color w:val="333333"/>
                <w:sz w:val="18"/>
                <w:szCs w:val="18"/>
              </w:rPr>
              <w:t xml:space="preserve">1) Replace the hardcoded array in the summary cards with computed values from benchmarkData. Extract the latest and earliest data points to calculate current value, starting value, and % change. 2) If benchmarkData is empty, show a 'No benchmark data yet' empty state instead of misleading fake numbers. 3) Wire the 'Period Comparison' section (currently hardcoded Q1 2026 vs Q4 2025) to use actual period-over-period data.</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D5E8F0" w:val="clear"/>
            <w:tcMar>
              <w:top w:type="dxa" w:w="100"/>
              <w:left w:type="dxa" w:w="160"/>
              <w:bottom w:type="dxa" w:w="100"/>
              <w:right w:type="dxa" w:w="160"/>
            </w:tcMar>
          </w:tcPr>
          <w:p>
            <w:r>
              <w:rPr>
                <w:rFonts w:ascii="Arial" w:cs="Arial" w:eastAsia="Arial" w:hAnsi="Arial"/>
                <w:b/>
                <w:bCs/>
                <w:color w:val="1B2A4A"/>
                <w:sz w:val="20"/>
                <w:szCs w:val="20"/>
              </w:rPr>
              <w:t xml:space="preserve">R-CHART  </w:t>
            </w:r>
            <w:r>
              <w:rPr>
                <w:rFonts w:ascii="Arial" w:cs="Arial" w:eastAsia="Arial" w:hAnsi="Arial"/>
                <w:b/>
                <w:bCs/>
                <w:color w:val="1B2A4A"/>
                <w:sz w:val="20"/>
                <w:szCs w:val="20"/>
              </w:rPr>
              <w:t xml:space="preserve">Benchmarks chart data structure mismatch</w:t>
            </w:r>
            <w:r>
              <w:rPr>
                <w:rFonts w:ascii="Arial" w:cs="Arial" w:eastAsia="Arial" w:hAnsi="Arial"/>
                <w:b/>
                <w:bCs/>
                <w:color w:val="666666"/>
                <w:sz w:val="18"/>
                <w:szCs w:val="18"/>
              </w:rPr>
              <w:t xml:space="preserve">   [Low]</w:t>
            </w:r>
          </w:p>
        </w:tc>
      </w:tr>
      <w:tr>
        <w:tc>
          <w:tcPr>
            <w:tcW w:type="dxa" w:w="9360"/>
            <w:tcBorders>
              <w:top w:val="none" w:sz="0"/>
              <w:left w:val="none" w:sz="0"/>
              <w:bottom w:val="single" w:color="CCCCCC" w:sz="1"/>
              <w:right w:val="none" w:sz="0"/>
            </w:tcBorders>
            <w:tcMar>
              <w:top w:type="dxa" w:w="80"/>
              <w:left w:type="dxa" w:w="160"/>
              <w:bottom w:type="dxa" w:w="120"/>
              <w:right w:type="dxa" w:w="160"/>
            </w:tcMar>
          </w:tcPr>
          <w:p>
            <w:pPr>
              <w:spacing w:after="60" w:before="40"/>
            </w:pPr>
            <w:r>
              <w:rPr>
                <w:rFonts w:ascii="Arial" w:cs="Arial" w:eastAsia="Arial" w:hAnsi="Arial"/>
                <w:b/>
                <w:bCs/>
                <w:color w:val="555555"/>
                <w:sz w:val="17"/>
                <w:szCs w:val="17"/>
              </w:rPr>
              <w:t xml:space="preserve">Files: </w:t>
            </w:r>
            <w:r>
              <w:rPr>
                <w:rFonts w:ascii="Arial" w:cs="Arial" w:eastAsia="Arial" w:hAnsi="Arial"/>
                <w:i/>
                <w:iCs/>
                <w:color w:val="555555"/>
                <w:sz w:val="17"/>
                <w:szCs w:val="17"/>
              </w:rPr>
              <w:t xml:space="preserve">app/(dashboard)/reports/page.jsx, lib/routers/reports.js</w:t>
            </w:r>
          </w:p>
          <w:p>
            <w:pPr>
              <w:spacing w:after="40" w:before="60"/>
            </w:pPr>
            <w:r>
              <w:rPr>
                <w:rFonts w:ascii="Arial" w:cs="Arial" w:eastAsia="Arial" w:hAnsi="Arial"/>
                <w:b/>
                <w:bCs/>
                <w:color w:val="333333"/>
                <w:sz w:val="18"/>
                <w:szCs w:val="18"/>
              </w:rPr>
              <w:t xml:space="preserve">Root Cause: </w:t>
            </w:r>
            <w:r>
              <w:rPr>
                <w:rFonts w:ascii="Arial" w:cs="Arial" w:eastAsia="Arial" w:hAnsi="Arial"/>
                <w:color w:val="333333"/>
                <w:sz w:val="18"/>
                <w:szCs w:val="18"/>
              </w:rPr>
              <w:t xml:space="preserve">The AreaChart references a dynamic key (selectedBenchmark) but the data from getBenchmarks may not include keys matching the metric selector tabs (engagement, followers, impressions, sentiment, shareOfVoice).</w:t>
            </w:r>
          </w:p>
          <w:p>
            <w:pPr>
              <w:spacing w:after="40" w:before="60"/>
            </w:pPr>
            <w:r>
              <w:rPr>
                <w:rFonts w:ascii="Arial" w:cs="Arial" w:eastAsia="Arial" w:hAnsi="Arial"/>
                <w:b/>
                <w:bCs/>
                <w:color w:val="2E8B57"/>
                <w:sz w:val="18"/>
                <w:szCs w:val="18"/>
              </w:rPr>
              <w:t xml:space="preserve">Implementation: </w:t>
            </w:r>
            <w:r>
              <w:rPr>
                <w:rFonts w:ascii="Arial" w:cs="Arial" w:eastAsia="Arial" w:hAnsi="Arial"/>
                <w:color w:val="333333"/>
                <w:sz w:val="18"/>
                <w:szCs w:val="18"/>
              </w:rPr>
              <w:t xml:space="preserve">1) Verify the getBenchmarks procedure returns data with keys matching the metric selector values. 2) If the procedure returns a different structure, add a transform layer in the page component to map the API response to the chart's expected format. 3) Add loading and empty states to the chart area.</w:t>
            </w:r>
          </w:p>
        </w:tc>
      </w:tr>
    </w:tbl>
    <w:p>
      <w:r>
        <w:br w:type="page"/>
      </w:r>
    </w:p>
    <w:p>
      <w:pPr>
        <w:pStyle w:val="Heading1"/>
        <w:spacing w:after="180" w:before="360"/>
      </w:pPr>
      <w:r>
        <w:rPr>
          <w:rFonts w:ascii="Arial" w:cs="Arial" w:eastAsia="Arial" w:hAnsi="Arial"/>
          <w:b/>
          <w:bCs/>
          <w:color w:val="1B2A4A"/>
          <w:sz w:val="32"/>
          <w:szCs w:val="32"/>
        </w:rPr>
        <w:t xml:space="preserve">Deployment Checklist</w:t>
      </w:r>
    </w:p>
    <w:p>
      <w:pPr>
        <w:spacing w:after="60" w:before="120"/>
      </w:pPr>
      <w:r>
        <w:rPr>
          <w:rFonts w:ascii="Arial" w:cs="Arial" w:eastAsia="Arial" w:hAnsi="Arial"/>
          <w:color w:val="333333"/>
          <w:sz w:val="20"/>
          <w:szCs w:val="20"/>
        </w:rPr>
        <w:t xml:space="preserve">Before starting Phase 1-3 work, complete these prerequisite steps: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6960"/>
        <w:gridCol w:w="2000"/>
      </w:tblGrid>
      <w:tr>
        <w:tc>
          <w:tcPr>
            <w:tcW w:type="dxa" w:w="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w:t>
            </w:r>
          </w:p>
        </w:tc>
        <w:tc>
          <w:tcPr>
            <w:tcW w:type="dxa" w:w="6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Action</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Owner</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1</w:t>
            </w:r>
          </w:p>
        </w:tc>
        <w:tc>
          <w:tcPr>
            <w:tcW w:type="dxa" w:w="6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Push commit a1c05b1 to GitHub (fixes 14 bugs)</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Miso (Mac)</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2</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Verify Vercel auto-deploys from push</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Miso</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3</w:t>
            </w:r>
          </w:p>
        </w:tc>
        <w:tc>
          <w:tcPr>
            <w:tcW w:type="dxa" w:w="6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Add ANTHROPIC_API_KEY to Vercel env vars</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Miso</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4</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Add SOCIAVAULT_API_KEY to Vercel env vars (for Reddit)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Miso</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5</w:t>
            </w:r>
          </w:p>
        </w:tc>
        <w:tc>
          <w:tcPr>
            <w:tcW w:type="dxa" w:w="6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Re-test KOL, Listening filters, Reports after deploy</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Claude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6</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Begin Phase 1 implementation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Claude</w:t>
            </w:r>
          </w:p>
        </w:tc>
      </w:tr>
    </w:tbl>
    <w:p>
      <w:pPr>
        <w:spacing w:after="0" w:before="200"/>
      </w:pPr>
    </w:p>
    <w:p>
      <w:pPr>
        <w:pStyle w:val="Heading1"/>
        <w:spacing w:after="180" w:before="360"/>
      </w:pPr>
      <w:r>
        <w:rPr>
          <w:rFonts w:ascii="Arial" w:cs="Arial" w:eastAsia="Arial" w:hAnsi="Arial"/>
          <w:b/>
          <w:bCs/>
          <w:color w:val="1B2A4A"/>
          <w:sz w:val="32"/>
          <w:szCs w:val="32"/>
        </w:rPr>
        <w:t xml:space="preserve">File Change Map</w:t>
      </w:r>
    </w:p>
    <w:p>
      <w:pPr>
        <w:spacing w:after="60" w:before="120"/>
      </w:pPr>
      <w:r>
        <w:rPr>
          <w:rFonts w:ascii="Arial" w:cs="Arial" w:eastAsia="Arial" w:hAnsi="Arial"/>
          <w:color w:val="333333"/>
          <w:sz w:val="20"/>
          <w:szCs w:val="20"/>
        </w:rPr>
        <w:t xml:space="preserve">Summary of all files that will be modified across the 3 phases: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1400"/>
        <w:gridCol w:w="1200"/>
        <w:gridCol w:w="1260"/>
      </w:tblGrid>
      <w:tr>
        <w:tc>
          <w:tcPr>
            <w:tcW w:type="dxa" w:w="5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File</w:t>
            </w:r>
          </w:p>
        </w:tc>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Phase 1</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Phase 2</w:t>
            </w:r>
          </w:p>
        </w:tc>
        <w:tc>
          <w:tcPr>
            <w:tcW w:type="dxa" w:w="12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Phase 3</w:t>
            </w:r>
          </w:p>
        </w:tc>
      </w:tr>
      <w:tr>
        <w:tc>
          <w:tcPr>
            <w:tcW w:type="dxa" w:w="5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app/(dashboard)/page.jsx</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bCs/>
                <w:color w:val="2E8B57"/>
                <w:sz w:val="17"/>
                <w:szCs w:val="17"/>
              </w:rPr>
              <w:t xml:space="preserve">✓</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bCs/>
                <w:color w:val="2E8B57"/>
                <w:sz w:val="17"/>
                <w:szCs w:val="17"/>
              </w:rPr>
              <w:t xml:space="preserve"/>
            </w:r>
          </w:p>
        </w:tc>
        <w:tc>
          <w:tcPr>
            <w:tcW w:type="dxa" w:w="12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bCs/>
                <w:color w:val="2E8B57"/>
                <w:sz w:val="17"/>
                <w:szCs w:val="17"/>
              </w:rPr>
              <w:t xml:space="preserve"/>
            </w:r>
          </w:p>
        </w:tc>
      </w:tr>
      <w:tr>
        <w:tc>
          <w:tcPr>
            <w:tcW w:type="dxa" w:w="5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lib/routers/analytics.js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bCs/>
                <w:color w:val="2E8B57"/>
                <w:sz w:val="17"/>
                <w:szCs w:val="17"/>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bCs/>
                <w:color w:val="2E8B57"/>
                <w:sz w:val="17"/>
                <w:szCs w:val="17"/>
              </w:rPr>
              <w:t xml:space="preserve"/>
            </w:r>
          </w:p>
        </w:tc>
        <w:tc>
          <w:tcPr>
            <w:tcW w:type="dxa" w:w="1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bCs/>
                <w:color w:val="2E8B57"/>
                <w:sz w:val="17"/>
                <w:szCs w:val="17"/>
              </w:rPr>
              <w:t xml:space="preserve"/>
            </w:r>
          </w:p>
        </w:tc>
      </w:tr>
      <w:tr>
        <w:tc>
          <w:tcPr>
            <w:tcW w:type="dxa" w:w="5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app/(dashboard)/listening/page.jsx</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bCs/>
                <w:color w:val="2E8B57"/>
                <w:sz w:val="17"/>
                <w:szCs w:val="17"/>
              </w:rPr>
              <w:t xml:space="preserve"/>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bCs/>
                <w:color w:val="2E8B57"/>
                <w:sz w:val="17"/>
                <w:szCs w:val="17"/>
              </w:rPr>
              <w:t xml:space="preserve">✓</w:t>
            </w:r>
          </w:p>
        </w:tc>
        <w:tc>
          <w:tcPr>
            <w:tcW w:type="dxa" w:w="12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bCs/>
                <w:color w:val="2E8B57"/>
                <w:sz w:val="17"/>
                <w:szCs w:val="17"/>
              </w:rPr>
              <w:t xml:space="preserve"/>
            </w:r>
          </w:p>
        </w:tc>
      </w:tr>
      <w:tr>
        <w:tc>
          <w:tcPr>
            <w:tcW w:type="dxa" w:w="5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lib/routers/competitors.js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bCs/>
                <w:color w:val="2E8B57"/>
                <w:sz w:val="17"/>
                <w:szCs w:val="17"/>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bCs/>
                <w:color w:val="2E8B57"/>
                <w:sz w:val="17"/>
                <w:szCs w:val="17"/>
              </w:rPr>
              <w:t xml:space="preserve">✓</w:t>
            </w:r>
          </w:p>
        </w:tc>
        <w:tc>
          <w:tcPr>
            <w:tcW w:type="dxa" w:w="1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bCs/>
                <w:color w:val="2E8B57"/>
                <w:sz w:val="17"/>
                <w:szCs w:val="17"/>
              </w:rPr>
              <w:t xml:space="preserve"/>
            </w:r>
          </w:p>
        </w:tc>
      </w:tr>
      <w:tr>
        <w:tc>
          <w:tcPr>
            <w:tcW w:type="dxa" w:w="5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lib/routers/listening.js</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bCs/>
                <w:color w:val="2E8B57"/>
                <w:sz w:val="17"/>
                <w:szCs w:val="17"/>
              </w:rPr>
              <w:t xml:space="preserve"/>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bCs/>
                <w:color w:val="2E8B57"/>
                <w:sz w:val="17"/>
                <w:szCs w:val="17"/>
              </w:rPr>
              <w:t xml:space="preserve">✓</w:t>
            </w:r>
          </w:p>
        </w:tc>
        <w:tc>
          <w:tcPr>
            <w:tcW w:type="dxa" w:w="12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bCs/>
                <w:color w:val="2E8B57"/>
                <w:sz w:val="17"/>
                <w:szCs w:val="17"/>
              </w:rPr>
              <w:t xml:space="preserve"/>
            </w:r>
          </w:p>
        </w:tc>
      </w:tr>
      <w:tr>
        <w:tc>
          <w:tcPr>
            <w:tcW w:type="dxa" w:w="5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prisma/schema.prisma</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bCs/>
                <w:color w:val="2E8B57"/>
                <w:sz w:val="17"/>
                <w:szCs w:val="17"/>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bCs/>
                <w:color w:val="2E8B57"/>
                <w:sz w:val="17"/>
                <w:szCs w:val="17"/>
              </w:rPr>
              <w:t xml:space="preserve">✓</w:t>
            </w:r>
          </w:p>
        </w:tc>
        <w:tc>
          <w:tcPr>
            <w:tcW w:type="dxa" w:w="1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bCs/>
                <w:color w:val="2E8B57"/>
                <w:sz w:val="17"/>
                <w:szCs w:val="17"/>
              </w:rPr>
              <w:t xml:space="preserve"/>
            </w:r>
          </w:p>
        </w:tc>
      </w:tr>
      <w:tr>
        <w:tc>
          <w:tcPr>
            <w:tcW w:type="dxa" w:w="5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prisma/seed-competitors.js</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bCs/>
                <w:color w:val="2E8B57"/>
                <w:sz w:val="17"/>
                <w:szCs w:val="17"/>
              </w:rPr>
              <w:t xml:space="preserve"/>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bCs/>
                <w:color w:val="2E8B57"/>
                <w:sz w:val="17"/>
                <w:szCs w:val="17"/>
              </w:rPr>
              <w:t xml:space="preserve">✓</w:t>
            </w:r>
          </w:p>
        </w:tc>
        <w:tc>
          <w:tcPr>
            <w:tcW w:type="dxa" w:w="12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bCs/>
                <w:color w:val="2E8B57"/>
                <w:sz w:val="17"/>
                <w:szCs w:val="17"/>
              </w:rPr>
              <w:t xml:space="preserve"/>
            </w:r>
          </w:p>
        </w:tc>
      </w:tr>
      <w:tr>
        <w:tc>
          <w:tcPr>
            <w:tcW w:type="dxa" w:w="5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app/(dashboard)/reports/page.jsx</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bCs/>
                <w:color w:val="2E8B57"/>
                <w:sz w:val="17"/>
                <w:szCs w:val="17"/>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bCs/>
                <w:color w:val="2E8B57"/>
                <w:sz w:val="17"/>
                <w:szCs w:val="17"/>
              </w:rPr>
              <w:t xml:space="preserve"/>
            </w:r>
          </w:p>
        </w:tc>
        <w:tc>
          <w:tcPr>
            <w:tcW w:type="dxa" w:w="1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bCs/>
                <w:color w:val="2E8B57"/>
                <w:sz w:val="17"/>
                <w:szCs w:val="17"/>
              </w:rPr>
              <w:t xml:space="preserve">✓</w:t>
            </w:r>
          </w:p>
        </w:tc>
      </w:tr>
      <w:tr>
        <w:tc>
          <w:tcPr>
            <w:tcW w:type="dxa" w:w="5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lib/routers/reports.js</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bCs/>
                <w:color w:val="2E8B57"/>
                <w:sz w:val="17"/>
                <w:szCs w:val="17"/>
              </w:rPr>
              <w:t xml:space="preserve"/>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bCs/>
                <w:color w:val="2E8B57"/>
                <w:sz w:val="17"/>
                <w:szCs w:val="17"/>
              </w:rPr>
              <w:t xml:space="preserve"/>
            </w:r>
          </w:p>
        </w:tc>
        <w:tc>
          <w:tcPr>
            <w:tcW w:type="dxa" w:w="12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bCs/>
                <w:color w:val="2E8B57"/>
                <w:sz w:val="17"/>
                <w:szCs w:val="17"/>
              </w:rPr>
              <w:t xml:space="preserve">✓</w:t>
            </w:r>
          </w:p>
        </w:tc>
      </w:tr>
      <w:tr>
        <w:tc>
          <w:tcPr>
            <w:tcW w:type="dxa" w:w="5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Vercel env vars (config)</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bCs/>
                <w:color w:val="2E8B57"/>
                <w:sz w:val="17"/>
                <w:szCs w:val="17"/>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bCs/>
                <w:color w:val="2E8B57"/>
                <w:sz w:val="17"/>
                <w:szCs w:val="17"/>
              </w:rPr>
              <w:t xml:space="preserve"/>
            </w:r>
          </w:p>
        </w:tc>
        <w:tc>
          <w:tcPr>
            <w:tcW w:type="dxa" w:w="1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bCs/>
                <w:color w:val="2E8B57"/>
                <w:sz w:val="17"/>
                <w:szCs w:val="17"/>
              </w:rPr>
              <w:t xml:space="preserve">✓</w:t>
            </w:r>
          </w:p>
        </w:tc>
      </w:tr>
    </w:tbl>
    <w:p>
      <w:pPr>
        <w:spacing w:after="0" w:before="200"/>
      </w:pPr>
    </w:p>
    <w:p>
      <w:pPr>
        <w:pStyle w:val="Heading1"/>
        <w:spacing w:after="180" w:before="360"/>
      </w:pPr>
      <w:r>
        <w:rPr>
          <w:rFonts w:ascii="Arial" w:cs="Arial" w:eastAsia="Arial" w:hAnsi="Arial"/>
          <w:b/>
          <w:bCs/>
          <w:color w:val="1B2A4A"/>
          <w:sz w:val="32"/>
          <w:szCs w:val="32"/>
        </w:rPr>
        <w:t xml:space="preserve">Risk Notes</w:t>
      </w:r>
    </w:p>
    <w:p>
      <w:pPr>
        <w:spacing w:after="60" w:before="120"/>
      </w:pPr>
      <w:r>
        <w:rPr>
          <w:rFonts w:ascii="Arial" w:cs="Arial" w:eastAsia="Arial" w:hAnsi="Arial"/>
          <w:color w:val="333333"/>
          <w:sz w:val="20"/>
          <w:szCs w:val="20"/>
        </w:rPr>
        <w:t xml:space="preserve">Phase 2 (Competitor Intelligence) carries the most risk because it requires restructuring the getSOV return type, which is a contract change between the backend and frontend. If the SOV calculation logic is wrong, it could surface misleading competitive positioning data. We should validate SOV percentages manually against known listening hit counts before shipping.</w:t>
      </w:r>
    </w:p>
    <w:p>
      <w:pPr>
        <w:spacing w:after="0" w:before="60"/>
      </w:pPr>
    </w:p>
    <w:p>
      <w:pPr>
        <w:spacing w:after="60" w:before="60"/>
      </w:pPr>
      <w:r>
        <w:rPr>
          <w:rFonts w:ascii="Arial" w:cs="Arial" w:eastAsia="Arial" w:hAnsi="Arial"/>
          <w:color w:val="333333"/>
          <w:sz w:val="20"/>
          <w:szCs w:val="20"/>
        </w:rPr>
        <w:t xml:space="preserve">Phase 1 and Phase 3 are low-risk since they primarily wire existing data to existing UI components without changing data models or API contracts.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Confidential  |  Figure Technology Solutions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Social Command Center  |  Sprint 6 Phase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2A4A"/>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2026-03-14T02:06:31.679Z</dcterms:created>
  <dcterms:modified xsi:type="dcterms:W3CDTF">2026-03-14T02:06:31.680Z</dcterms:modified>
</cp:coreProperties>
</file>

<file path=docProps/custom.xml><?xml version="1.0" encoding="utf-8"?>
<Properties xmlns="http://schemas.openxmlformats.org/officeDocument/2006/custom-properties" xmlns:vt="http://schemas.openxmlformats.org/officeDocument/2006/docPropsVTypes"/>
</file>