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__________ ]</w:t>
      </w:r>
    </w:p>
    <w:p/>
    <w:p>
      <w:r>
        <w:rPr>
          <w:b/>
        </w:rPr>
        <w:t>The Editor-in-Chief</w:t>
      </w:r>
    </w:p>
    <w:p>
      <w:r>
        <w:t>Expert Systems (Wiley)</w:t>
      </w:r>
    </w:p>
    <w:p/>
    <w:p>
      <w:r>
        <w:t>Dear Editor-in-Chief,</w:t>
      </w:r>
    </w:p>
    <w:p/>
    <w:p>
      <w:pPr>
        <w:spacing w:after="160"/>
        <w:jc w:val="both"/>
      </w:pPr>
      <w:r>
        <w:t>We are pleased to submit our manuscript entitled “TRA-SAE: A Low-Cost Retrieval-Augmented Expert Reasoning System for Mixed Physics–Logic Question Answering with a 4B Language Model” for consideration as an Original Article in Expert Systems.</w:t>
      </w:r>
    </w:p>
    <w:p>
      <w:pPr>
        <w:spacing w:after="160"/>
        <w:jc w:val="both"/>
      </w:pPr>
      <w:r>
        <w:t>Our work concerns the design of an expert reasoning system for scientific question answering that couples numerical physical reasoning with symbolic logical inference under strict resource constraints. Using a single 4B-parameter open model and a total compute budget below US$64, we develop and rigorously evaluate a curriculum training pipeline — supervised fine-tuning, a logic-focused curriculum stage, and Group Relative Policy Optimization with a composite reward — combined with retrieval-augmented inference and an optional symbolic (Z3) verification component.</w:t>
      </w:r>
    </w:p>
    <w:p>
      <w:pPr>
        <w:spacing w:after="160"/>
        <w:jc w:val="both"/>
      </w:pPr>
      <w:r>
        <w:t>We believe the manuscript fits the scope of Expert Systems, in particular its tracks on Knowledge Engineering and Expert Systems and on Large Language Models and Generative AI. First, it concerns knowledge-based and reasoning systems that integrate machine learning with symbolic verification. Second, it provides a transparent, reproducible methodology with full statistical analysis (McNemar tests, Wilson confidence intervals, and a three-seed evaluation) under a clean single-pass evaluation protocol that does not use ground-truth labels at inference time. Third, it reports actionable and honestly characterised findings — including negative results — for practitioners who build scientific-reasoning systems on a limited budget.</w:t>
      </w:r>
    </w:p>
    <w:p>
      <w:pPr>
        <w:spacing w:after="160"/>
        <w:jc w:val="both"/>
      </w:pPr>
      <w:r>
        <w:t>The principal contributions are: (i) a low-cost, reproducible pipeline for mixed-domain (physics and logic) scientific question answering on a small open model; (ii) a controlled attribution study showing that retrieval-augmented exemplars, rather than fine-tuning, account for the larger share of the accuracy gain, with controlled ablations of retrieval, SFT, logic SFT, GRPO, Dual-LoRA routing, self-consistency, and tool augmentation; (iii) a fair multi-prompt baseline re-evaluation and external transfer checks on MMLU physics and FOLIO logic; and (iv) a structured error analysis that identifies formal logical inference as the principal bottleneck at this model scale. We do not over-claim a new algorithm; the contribution is a controlled attribution of which standard components pay off at 4B scale.</w:t>
      </w:r>
    </w:p>
    <w:p>
      <w:pPr>
        <w:spacing w:after="160"/>
        <w:jc w:val="both"/>
      </w:pPr>
      <w:r>
        <w:t>To support reproducibility, the code, trained LoRA adapters, evaluation scripts, the exact 90/10 train/validation split, the prompt templates and verifier (including the leakage-audit script), the raw per-sample single-pass predictions for every configuration, and the compute/cost logs are available in an open repository https://github.com/highptest1-36/TRA_SAE, and a permanent, citable archive (Zenodo/OSF) will be deposited upon acceptance. The EXACT 2026 competition data are governed by the challenge access policy and are not redistributed.</w:t>
      </w:r>
    </w:p>
    <w:p>
      <w:pPr>
        <w:spacing w:after="160"/>
        <w:jc w:val="both"/>
      </w:pPr>
      <w:r>
        <w:t>We confirm that this manuscript is original, has not been published previously, and is not under consideration for publication elsewhere. All authors have approved the submission and declare no conflicts of interest. The authors received no specific funding for this work.</w:t>
      </w:r>
    </w:p>
    <w:p>
      <w:pPr>
        <w:spacing w:after="160"/>
        <w:jc w:val="both"/>
      </w:pPr>
      <w:r>
        <w:t>Author institutional contact details:</w:t>
      </w:r>
    </w:p>
    <w:p>
      <w:r>
        <w:t xml:space="preserve">  • Cao-Phuc Ha — Department of Artificial Intelligence, FPT University, Ho Chi Minh City, Vietnam — caophucai@gmail.com — ORCID https://orcid.org/0009-0004-7024-5166</w:t>
      </w:r>
    </w:p>
    <w:p>
      <w:r>
        <w:t xml:space="preserve">  • Phu-Nguyen Le (corresponding) — Faculty of Engineering and Technology, Nguyen Tat Thanh University, Ho Chi Minh City, Vietnam — lpnguyen@ntt.edu.vn (alt: nguyenlp9@fpt.edu.vn) — ORCID https://orcid.org/0000-0001-6773-6336</w:t>
      </w:r>
    </w:p>
    <w:p/>
    <w:p>
      <w:r>
        <w:t>Thank you for considering our submission. We look forward to your response.</w:t>
      </w:r>
    </w:p>
    <w:p/>
    <w:p>
      <w:r>
        <w:t>Sincerely,</w:t>
      </w:r>
    </w:p>
    <w:p>
      <w:r>
        <w:t>Phu-Nguyen Le (on behalf of all authors)</w:t>
      </w:r>
    </w:p>
    <w:p>
      <w:r>
        <w:t>Faculty of Engineering and Technology, Nguyen Tat Thanh University, Ho Chi Minh City, Vietnam</w:t>
      </w:r>
    </w:p>
    <w:p>
      <w:r>
        <w:t>lpnguyen@ntt.edu.vn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