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26"/>
        </w:rPr>
        <w:t>SUBMISSION METADATA — for advisor (GVHD) review &amp; portal entry</w:t>
      </w:r>
    </w:p>
    <w:p>
      <w:pPr>
        <w:spacing w:before="200" w:after="80"/>
      </w:pPr>
      <w:r>
        <w:rPr>
          <w:b/>
          <w:color w:val="1F3864"/>
          <w:sz w:val="24"/>
        </w:rPr>
        <w:t>1. Target journal</w:t>
      </w:r>
    </w:p>
    <w:p>
      <w:pPr>
        <w:spacing w:after="40"/>
      </w:pPr>
      <w:r>
        <w:rPr>
          <w:b/>
        </w:rPr>
        <w:t xml:space="preserve">Journal: </w:t>
      </w:r>
      <w:r>
        <w:t>Expert Systems (Wiley)</w:t>
      </w:r>
    </w:p>
    <w:p>
      <w:pPr>
        <w:spacing w:after="40"/>
      </w:pPr>
      <w:r>
        <w:rPr>
          <w:b/>
        </w:rPr>
        <w:t xml:space="preserve">Article type: </w:t>
      </w:r>
      <w:r>
        <w:t>Original Article</w:t>
      </w:r>
    </w:p>
    <w:p>
      <w:pPr>
        <w:spacing w:after="40"/>
      </w:pPr>
      <w:r>
        <w:rPr>
          <w:b/>
        </w:rPr>
        <w:t xml:space="preserve">Peer review: </w:t>
      </w:r>
      <w:r>
        <w:t>Single-anonymous (author names are visible to reviewers)</w:t>
      </w:r>
    </w:p>
    <w:p>
      <w:pPr>
        <w:spacing w:after="40"/>
      </w:pPr>
      <w:r>
        <w:rPr>
          <w:b/>
        </w:rPr>
        <w:t xml:space="preserve">Manuscript length: </w:t>
      </w:r>
      <w:r>
        <w:t>Within the 15,000-word guideline</w:t>
      </w:r>
    </w:p>
    <w:p>
      <w:pPr>
        <w:spacing w:before="200" w:after="80"/>
      </w:pPr>
      <w:r>
        <w:rPr>
          <w:b/>
          <w:color w:val="1F3864"/>
          <w:sz w:val="24"/>
        </w:rPr>
        <w:t>2. Title &amp; running head</w:t>
      </w:r>
    </w:p>
    <w:p>
      <w:pPr>
        <w:spacing w:after="40"/>
      </w:pPr>
      <w:r>
        <w:rPr>
          <w:b/>
        </w:rPr>
        <w:t xml:space="preserve">Title: </w:t>
      </w:r>
      <w:r>
        <w:t>TRA-SAE: A Low-Cost Retrieval-Augmented Expert Reasoning System for Mixed Physics–Logic Question Answering with a 4B Language Model</w:t>
      </w:r>
    </w:p>
    <w:p>
      <w:pPr>
        <w:spacing w:after="40"/>
      </w:pPr>
      <w:r>
        <w:rPr>
          <w:b/>
        </w:rPr>
        <w:t xml:space="preserve">Short title: </w:t>
      </w:r>
      <w:r>
        <w:t>Expert Reasoning for Physics–Logic QA</w:t>
      </w:r>
    </w:p>
    <w:p>
      <w:pPr>
        <w:spacing w:before="200" w:after="80"/>
      </w:pPr>
      <w:r>
        <w:rPr>
          <w:b/>
          <w:color w:val="1F3864"/>
          <w:sz w:val="24"/>
        </w:rPr>
        <w:t>3. Authors (in order) — portal fields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Full name</w:t>
            </w:r>
          </w:p>
        </w:tc>
        <w:tc>
          <w:tcPr>
            <w:tcW w:type="dxa" w:w="1440"/>
          </w:tcPr>
          <w:p>
            <w:r>
              <w:rPr>
                <w:b/>
              </w:rPr>
              <w:t>Affiliation</w:t>
            </w:r>
          </w:p>
        </w:tc>
        <w:tc>
          <w:tcPr>
            <w:tcW w:type="dxa" w:w="1440"/>
          </w:tcPr>
          <w:p>
            <w:r>
              <w:rPr>
                <w:b/>
              </w:rPr>
              <w:t>Email</w:t>
            </w:r>
          </w:p>
        </w:tc>
        <w:tc>
          <w:tcPr>
            <w:tcW w:type="dxa" w:w="1440"/>
          </w:tcPr>
          <w:p>
            <w:r>
              <w:rPr>
                <w:b/>
              </w:rPr>
              <w:t>ORCID</w:t>
            </w:r>
          </w:p>
        </w:tc>
        <w:tc>
          <w:tcPr>
            <w:tcW w:type="dxa" w:w="1440"/>
          </w:tcPr>
          <w:p>
            <w:r>
              <w:rPr>
                <w:b/>
              </w:rPr>
              <w:t>Country</w:t>
            </w:r>
          </w:p>
        </w:tc>
      </w:tr>
      <w:tr>
        <w:tc>
          <w:tcPr>
            <w:tcW w:type="dxa" w:w="1440"/>
          </w:tcPr>
          <w:p>
            <w:r>
              <w:t>1</w:t>
            </w:r>
          </w:p>
        </w:tc>
        <w:tc>
          <w:tcPr>
            <w:tcW w:type="dxa" w:w="1440"/>
          </w:tcPr>
          <w:p>
            <w:r>
              <w:t>Cao-Phuc Ha</w:t>
            </w:r>
          </w:p>
        </w:tc>
        <w:tc>
          <w:tcPr>
            <w:tcW w:type="dxa" w:w="1440"/>
          </w:tcPr>
          <w:p>
            <w:r>
              <w:t>Department of Artificial Intelligence, FPT University, Ho Chi Minh City, Vietnam</w:t>
            </w:r>
          </w:p>
        </w:tc>
        <w:tc>
          <w:tcPr>
            <w:tcW w:type="dxa" w:w="1440"/>
          </w:tcPr>
          <w:p>
            <w:r>
              <w:t>caophucai@gmail.com</w:t>
            </w:r>
          </w:p>
        </w:tc>
        <w:tc>
          <w:tcPr>
            <w:tcW w:type="dxa" w:w="1440"/>
          </w:tcPr>
          <w:p>
            <w:r>
              <w:t>0009-0004-7024-5166</w:t>
            </w:r>
          </w:p>
        </w:tc>
        <w:tc>
          <w:tcPr>
            <w:tcW w:type="dxa" w:w="1440"/>
          </w:tcPr>
          <w:p>
            <w:r>
              <w:t>Vietnam</w:t>
            </w:r>
          </w:p>
        </w:tc>
      </w:tr>
      <w:tr>
        <w:tc>
          <w:tcPr>
            <w:tcW w:type="dxa" w:w="1440"/>
          </w:tcPr>
          <w:p>
            <w:r>
              <w:t>2</w:t>
            </w:r>
          </w:p>
        </w:tc>
        <w:tc>
          <w:tcPr>
            <w:tcW w:type="dxa" w:w="1440"/>
          </w:tcPr>
          <w:p>
            <w:r>
              <w:t>Phu-Nguyen Le  (*corresponding)</w:t>
            </w:r>
          </w:p>
        </w:tc>
        <w:tc>
          <w:tcPr>
            <w:tcW w:type="dxa" w:w="1440"/>
          </w:tcPr>
          <w:p>
            <w:r>
              <w:t>Faculty of Engineering and Technology, Nguyen Tat Thanh University, Ho Chi Minh City, Vietnam</w:t>
            </w:r>
          </w:p>
        </w:tc>
        <w:tc>
          <w:tcPr>
            <w:tcW w:type="dxa" w:w="1440"/>
          </w:tcPr>
          <w:p>
            <w:r>
              <w:t>lpnguyen@ntt.edu.vn / nguyenlp9@fpt.edu.vn</w:t>
            </w:r>
          </w:p>
        </w:tc>
        <w:tc>
          <w:tcPr>
            <w:tcW w:type="dxa" w:w="1440"/>
          </w:tcPr>
          <w:p>
            <w:r>
              <w:t>0000-0001-6773-6336</w:t>
            </w:r>
          </w:p>
        </w:tc>
        <w:tc>
          <w:tcPr>
            <w:tcW w:type="dxa" w:w="1440"/>
          </w:tcPr>
          <w:p>
            <w:r>
              <w:t>Vietnam</w:t>
            </w:r>
          </w:p>
        </w:tc>
      </w:tr>
    </w:tbl>
    <w:p>
      <w:pPr>
        <w:spacing w:before="200" w:after="80"/>
      </w:pPr>
      <w:r>
        <w:rPr>
          <w:b/>
          <w:color w:val="1F3864"/>
          <w:sz w:val="24"/>
        </w:rPr>
        <w:t>4. Corresponding / submitting author</w:t>
      </w:r>
    </w:p>
    <w:p>
      <w:pPr>
        <w:spacing w:after="40"/>
      </w:pPr>
      <w:r>
        <w:rPr>
          <w:b/>
        </w:rPr>
        <w:t xml:space="preserve">Name: </w:t>
      </w:r>
      <w:r>
        <w:t>Phu-Nguyen Le</w:t>
      </w:r>
    </w:p>
    <w:p>
      <w:pPr>
        <w:spacing w:after="40"/>
      </w:pPr>
      <w:r>
        <w:rPr>
          <w:b/>
        </w:rPr>
        <w:t xml:space="preserve">Institutional email: </w:t>
      </w:r>
      <w:r>
        <w:t>lpnguyen@ntt.edu.vn (alt: nguyenlp9@fpt.edu.vn)</w:t>
      </w:r>
    </w:p>
    <w:p>
      <w:pPr>
        <w:spacing w:after="40"/>
      </w:pPr>
      <w:r>
        <w:rPr>
          <w:b/>
        </w:rPr>
        <w:t xml:space="preserve">ORCID: </w:t>
      </w:r>
      <w:r>
        <w:t>https://orcid.org/0000-0001-6773-6336</w:t>
      </w:r>
    </w:p>
    <w:p>
      <w:pPr>
        <w:spacing w:after="40"/>
      </w:pPr>
      <w:r>
        <w:rPr>
          <w:b/>
        </w:rPr>
        <w:t xml:space="preserve">Note: </w:t>
      </w:r>
      <w:r>
        <w:t>Both authors have a registered ORCID iD (required for the submitting author).</w:t>
      </w:r>
    </w:p>
    <w:p>
      <w:pPr>
        <w:spacing w:before="200" w:after="80"/>
      </w:pPr>
      <w:r>
        <w:rPr>
          <w:b/>
          <w:color w:val="1F3864"/>
          <w:sz w:val="24"/>
        </w:rPr>
        <w:t>5. Abstract &amp; keywords</w:t>
      </w:r>
    </w:p>
    <w:p>
      <w:pPr>
        <w:spacing w:after="40"/>
      </w:pPr>
      <w:r>
        <w:rPr>
          <w:b/>
        </w:rPr>
        <w:t xml:space="preserve">Abstract length: </w:t>
      </w:r>
      <w:r>
        <w:t>~229 words (limit 250) — OK</w:t>
      </w:r>
    </w:p>
    <w:p>
      <w:pPr>
        <w:jc w:val="both"/>
      </w:pPr>
      <w:r>
        <w:t>Scientific and educational question answering couples numerical physical reasoning with symbolic logical inference, yet resource-constrained settings often preclude large proprietary models or extensive reinforcement learning. This paper presents TRA-SAE, a low-cost, retrieval-augmented expert reasoning system that combines dense retrieval, a structured response schema, a curriculum-trained 4B open model, and a symbolic verifier (Z3 and SI-unit checking) in a single physics–logic pipeline, using the EXACT 2026 challenge as a testbed. Rather than proposing a new algorithm, it is a controlled attribution of which standard components pay off at 4B scale. The curriculum combines general supervised fine-tuning (SFT), a logic-focused stage, and Group Relative Policy Optimization (GRPO) with lightweight format, correctness, and unit-consistency rewards, at a training cost of US$18 (full pipeline below US$64) on one A100-80GB. Every system is evaluated under a single greedy decoding pass. On a 217-sample validation split, overall accuracy rises from 29.95% to 47.47% (63.12% physics, 18.42% logic). A controlled decomposition attributes +9.22 percentage points (pp) to retrieval and a further, borderline +5.07 pp to SFT, whereas GRPO reward shaping, self-consistency, and tool augmentation add no statistically separable benefit. External transfer to MMLU physics and FOLIO logic indicates the curriculum generalises rather than overfitting the testbed. The study identifies what works—retrieval over weight training—and what fails: formal logic remains the principal bottleneck at 4B scale, with most residual errors traced to answer extraction.</w:t>
      </w:r>
    </w:p>
    <w:p>
      <w:pPr>
        <w:spacing w:after="40"/>
      </w:pPr>
      <w:r>
        <w:rPr>
          <w:b/>
        </w:rPr>
        <w:t xml:space="preserve">Keywords (7): </w:t>
      </w:r>
      <w:r>
        <w:t>large language models; expert reasoning systems; knowledge engineering; scientific question answering; retrieval-augmented generation; curriculum fine-tuning; neuro-symbolic reasoning</w:t>
      </w:r>
    </w:p>
    <w:p>
      <w:pPr>
        <w:spacing w:before="200" w:after="80"/>
      </w:pPr>
      <w:r>
        <w:rPr>
          <w:b/>
          <w:color w:val="1F3864"/>
          <w:sz w:val="24"/>
        </w:rPr>
        <w:t>6. Files to upload</w:t>
      </w:r>
    </w:p>
    <w:p>
      <w:pPr>
        <w:pStyle w:val="ListBullet"/>
      </w:pPr>
      <w:r>
        <w:t>Main Document (LaTeX PDF for peer review): TRA_SAE_ExpertSystems_Main.pdf</w:t>
      </w:r>
    </w:p>
    <w:p>
      <w:pPr>
        <w:pStyle w:val="ListBullet"/>
      </w:pPr>
      <w:r>
        <w:t>LaTeX source: TRA_SAE_ExpertSystems_Main.tex + references.bib + latex_source.zip</w:t>
      </w:r>
    </w:p>
    <w:p>
      <w:pPr>
        <w:pStyle w:val="ListBullet"/>
      </w:pPr>
      <w:r>
        <w:t>Title page (with author identifying info): Title_Page_Author_Info.docx</w:t>
      </w:r>
    </w:p>
    <w:p>
      <w:pPr>
        <w:pStyle w:val="ListBullet"/>
      </w:pPr>
      <w:r>
        <w:t>Cover letter: Cover_Letter_ExpertSystems.docx</w:t>
      </w:r>
    </w:p>
    <w:p>
      <w:pPr>
        <w:pStyle w:val="ListBullet"/>
      </w:pPr>
      <w:r>
        <w:t>Figures (high resolution): Figure_1/2/3 (PDF, vector/300 dpi)</w:t>
      </w:r>
    </w:p>
    <w:p>
      <w:pPr>
        <w:pStyle w:val="ListBullet"/>
      </w:pPr>
      <w:r>
        <w:t>Declarations: Conflict of interest, Funding, Data availability, Ethics, Author contributions</w:t>
      </w:r>
    </w:p>
    <w:p>
      <w:pPr>
        <w:spacing w:before="200" w:after="80"/>
      </w:pPr>
      <w:r>
        <w:rPr>
          <w:b/>
          <w:color w:val="1F3864"/>
          <w:sz w:val="24"/>
        </w:rPr>
        <w:t>7. Declarations (portal statements)</w:t>
      </w:r>
    </w:p>
    <w:p>
      <w:pPr>
        <w:spacing w:after="40"/>
      </w:pPr>
      <w:r>
        <w:rPr>
          <w:b/>
        </w:rPr>
        <w:t xml:space="preserve">Funding: </w:t>
      </w:r>
      <w:r>
        <w:t>The authors received no specific funding for this work.</w:t>
      </w:r>
    </w:p>
    <w:p>
      <w:pPr>
        <w:spacing w:after="40"/>
      </w:pPr>
      <w:r>
        <w:rPr>
          <w:b/>
        </w:rPr>
        <w:t xml:space="preserve">Conflict of interest: </w:t>
      </w:r>
      <w:r>
        <w:t>The authors declare no conflicts of interest.</w:t>
      </w:r>
    </w:p>
    <w:p>
      <w:pPr>
        <w:spacing w:after="40"/>
      </w:pPr>
      <w:r>
        <w:rPr>
          <w:b/>
        </w:rPr>
        <w:t xml:space="preserve">Ethics approval: </w:t>
      </w:r>
      <w:r>
        <w:t>Not applicable (no human/animal subjects).</w:t>
      </w:r>
    </w:p>
    <w:p>
      <w:pPr>
        <w:spacing w:after="40"/>
      </w:pPr>
      <w:r>
        <w:rPr>
          <w:b/>
        </w:rPr>
        <w:t xml:space="preserve">Patient consent: </w:t>
      </w:r>
      <w:r>
        <w:t>Not applicable.</w:t>
      </w:r>
    </w:p>
    <w:p>
      <w:pPr>
        <w:spacing w:after="40"/>
      </w:pPr>
      <w:r>
        <w:rPr>
          <w:b/>
        </w:rPr>
        <w:t xml:space="preserve">Permission to reproduce: </w:t>
      </w:r>
      <w:r>
        <w:t>Not applicable (all figures/tables are the authors' own).</w:t>
      </w:r>
    </w:p>
    <w:p>
      <w:pPr>
        <w:spacing w:after="40"/>
      </w:pPr>
      <w:r>
        <w:rPr>
          <w:b/>
        </w:rPr>
        <w:t xml:space="preserve">Clinical trial registration: </w:t>
      </w:r>
      <w:r>
        <w:t>Not applicable.</w:t>
      </w:r>
    </w:p>
    <w:p>
      <w:pPr>
        <w:spacing w:after="40"/>
      </w:pPr>
      <w:r>
        <w:rPr>
          <w:b/>
        </w:rPr>
        <w:t>Data availability: Open repository https://github.com/highptest1-36/TRA_SAE + Zenodo/OSF DOI on acceptance.</w:t>
      </w:r>
      <w:r/>
    </w:p>
    <w:p>
      <w:pPr>
        <w:spacing w:before="200" w:after="80"/>
      </w:pPr>
      <w:r>
        <w:rPr>
          <w:b/>
          <w:color w:val="1F3864"/>
          <w:sz w:val="24"/>
        </w:rPr>
        <w:t>8. Open Access / APC decision</w:t>
      </w:r>
    </w:p>
    <w:p>
      <w:r>
        <w:t>Expert Systems is a hybrid Wiley journal. There is no submission fee. On acceptance, the corresponding author chooses standard (subscription) publication — no charge — or Open Access (APC ~US$3,600 / GBP 2,390 / EUR 3,020). Recommendation: select STANDARD publication to avoid the APC, unless an institutional/funder Wiley agreement covers the fee. To verify before submitting.</w:t>
      </w:r>
    </w:p>
    <w:p>
      <w:pPr>
        <w:spacing w:before="200" w:after="80"/>
      </w:pPr>
      <w:r>
        <w:rPr>
          <w:b/>
          <w:color w:val="1F3864"/>
          <w:sz w:val="24"/>
        </w:rPr>
        <w:t>9. Pre-submission checklist</w:t>
      </w:r>
    </w:p>
    <w:p>
      <w:pPr>
        <w:pStyle w:val="ListBullet"/>
      </w:pPr>
      <w:r>
        <w:t>Author names de-anonymized in manuscript (DONE)</w:t>
      </w:r>
    </w:p>
    <w:p>
      <w:pPr>
        <w:pStyle w:val="ListBullet"/>
      </w:pPr>
      <w:r>
        <w:t>Affiliations, emails, corresponding author set (DONE)</w:t>
      </w:r>
    </w:p>
    <w:p>
      <w:pPr>
        <w:pStyle w:val="ListBullet"/>
      </w:pPr>
      <w:r>
        <w:t>ORCID for submitting author (DONE – both authors)</w:t>
      </w:r>
    </w:p>
    <w:p>
      <w:pPr>
        <w:pStyle w:val="ListBullet"/>
      </w:pPr>
      <w:r>
        <w:t>Keywords reduced to 4–7 (DONE – 7)</w:t>
      </w:r>
    </w:p>
    <w:p>
      <w:pPr>
        <w:pStyle w:val="ListBullet"/>
      </w:pPr>
      <w:r>
        <w:t>Abstract ≤ 250 words (DONE – ~229)</w:t>
      </w:r>
    </w:p>
    <w:p>
      <w:pPr>
        <w:pStyle w:val="ListBullet"/>
      </w:pPr>
      <w:r>
        <w:t>Manuscript ≤ 15,000 words (verify)</w:t>
      </w:r>
    </w:p>
    <w:p>
      <w:pPr>
        <w:pStyle w:val="ListBullet"/>
      </w:pPr>
      <w:r>
        <w:t>Cover letter ready (DONE)</w:t>
      </w:r>
    </w:p>
    <w:p>
      <w:pPr>
        <w:pStyle w:val="ListBullet"/>
      </w:pPr>
      <w:r>
        <w:t>High-resolution figures (DONE – vector PDF)</w:t>
      </w:r>
    </w:p>
    <w:p>
      <w:pPr>
        <w:pStyle w:val="ListBullet"/>
      </w:pPr>
      <w:r>
        <w:t>Repository/code link working (ACTION: insert URL)</w:t>
      </w:r>
    </w:p>
    <w:p>
      <w:pPr>
        <w:pStyle w:val="ListBullet"/>
      </w:pPr>
      <w:r>
        <w:t>Decide standard vs Open Access with advisor (ACTION)</w:t>
      </w:r>
    </w:p>
    <w:p>
      <w:pPr>
        <w:spacing w:before="200" w:after="80"/>
      </w:pPr>
      <w:r>
        <w:rPr>
          <w:b/>
          <w:color w:val="1F3864"/>
          <w:sz w:val="24"/>
        </w:rPr>
        <w:t>10. Suggested reviewers (optional — to discuss with advisor)</w:t>
      </w:r>
    </w:p>
    <w:p>
      <w:r>
        <w:t>Optional. If requested by the portal, propose 3–5 independent experts in LLM reasoning / neuro-symbolic AI with no conflict of interest.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