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2C103" w14:textId="77777777" w:rsidR="008D64E3" w:rsidRDefault="008D64E3" w:rsidP="008D64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dataset is a derivative of Reinhart et. </w:t>
      </w:r>
      <w:proofErr w:type="spellStart"/>
      <w:r>
        <w:rPr>
          <w:rFonts w:ascii="Arial" w:hAnsi="Arial" w:cs="Arial"/>
          <w:sz w:val="21"/>
          <w:szCs w:val="21"/>
        </w:rPr>
        <w:t>al's</w:t>
      </w:r>
      <w:proofErr w:type="spellEnd"/>
      <w:r>
        <w:rPr>
          <w:rFonts w:ascii="Arial" w:hAnsi="Arial" w:cs="Arial"/>
          <w:sz w:val="21"/>
          <w:szCs w:val="21"/>
        </w:rPr>
        <w:t xml:space="preserve"> Global Financial Stability dataset which can be found online at: </w:t>
      </w:r>
      <w:hyperlink r:id="rId4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https://www.hbs.edu/behavioral-finance-and-financial-stability/data/Pages/global.aspx</w:t>
        </w:r>
      </w:hyperlink>
    </w:p>
    <w:p w14:paraId="754347FC" w14:textId="77777777" w:rsidR="008D64E3" w:rsidRDefault="008D64E3" w:rsidP="008D64E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 specifically focuses on the Banking, Debt, Financial, Inflation and Systemic Crises that occurred, from 1860 to 2014, in 13 African countries, including: Algeria, Angola, Central African Republic, Ivory Coast, Egypt, Kenya, Mauritius, Morocco, Nigeria, South Africa, Tunisia, Zambia and Zimbabwe.</w:t>
      </w:r>
    </w:p>
    <w:p w14:paraId="24C98078" w14:textId="38F00E59" w:rsidR="00055B2E" w:rsidRDefault="008D64E3"/>
    <w:p w14:paraId="6C633144" w14:textId="3465DBBD" w:rsidR="008D64E3" w:rsidRDefault="008D64E3"/>
    <w:p w14:paraId="1F424A68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case</w:t>
      </w:r>
    </w:p>
    <w:p w14:paraId="4D2D3D8A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A number which denotes a specific country</w:t>
      </w:r>
    </w:p>
    <w:p w14:paraId="5B9EB517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cc3</w:t>
      </w:r>
    </w:p>
    <w:p w14:paraId="72962B03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A </w:t>
      </w:r>
      <w:proofErr w:type="gramStart"/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three letter</w:t>
      </w:r>
      <w:proofErr w:type="gramEnd"/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country code</w:t>
      </w:r>
    </w:p>
    <w:p w14:paraId="05FD155E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country</w:t>
      </w:r>
    </w:p>
    <w:p w14:paraId="5929739D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The name of the country</w:t>
      </w:r>
    </w:p>
    <w:p w14:paraId="26453E48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year</w:t>
      </w:r>
    </w:p>
    <w:p w14:paraId="49730761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The year of the observation</w:t>
      </w:r>
    </w:p>
    <w:p w14:paraId="5CEEE90E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proofErr w:type="spellStart"/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systemic_crisis</w:t>
      </w:r>
      <w:proofErr w:type="spellEnd"/>
    </w:p>
    <w:p w14:paraId="546FAF9A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"0" means that no systemic crisis occurred in the year and "1" means that a systemic crisis occurred in the year.</w:t>
      </w:r>
    </w:p>
    <w:p w14:paraId="5BB087E7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proofErr w:type="spellStart"/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exch_usd</w:t>
      </w:r>
      <w:proofErr w:type="spellEnd"/>
    </w:p>
    <w:p w14:paraId="1E5A8468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The exchange rate of the country vis-a-vis the USD</w:t>
      </w:r>
    </w:p>
    <w:p w14:paraId="11965B4E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proofErr w:type="spellStart"/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domestic_debt_in_default</w:t>
      </w:r>
      <w:proofErr w:type="spellEnd"/>
    </w:p>
    <w:p w14:paraId="50398ACA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"0" means that no sovereign domestic debt default occurred in the year and "1" means that a sovereign domestic debt default occurred in the year</w:t>
      </w:r>
    </w:p>
    <w:p w14:paraId="4A8E3DDA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proofErr w:type="spellStart"/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sovereign_external_debt_default</w:t>
      </w:r>
      <w:proofErr w:type="spellEnd"/>
    </w:p>
    <w:p w14:paraId="4DE79F33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"0" means that no sovereign external debt default occurred in the year and "1" means that a sovereign external debt default occurred in the year</w:t>
      </w:r>
    </w:p>
    <w:p w14:paraId="49D33A8C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proofErr w:type="spellStart"/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gdp_weighted_default</w:t>
      </w:r>
      <w:proofErr w:type="spellEnd"/>
    </w:p>
    <w:p w14:paraId="4779F097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The total debt in default vis-a-vis the GDP</w:t>
      </w:r>
    </w:p>
    <w:p w14:paraId="2C0FA1A1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proofErr w:type="spellStart"/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inflation_annual_cpi</w:t>
      </w:r>
      <w:proofErr w:type="spellEnd"/>
    </w:p>
    <w:p w14:paraId="6EB86FFB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The annual CPI Inflation rate</w:t>
      </w:r>
    </w:p>
    <w:p w14:paraId="34ACEFDD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independence</w:t>
      </w:r>
    </w:p>
    <w:p w14:paraId="697AB88A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"0" means "no independence" and "1" means "independence"</w:t>
      </w:r>
    </w:p>
    <w:p w14:paraId="24067C5F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proofErr w:type="spellStart"/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currency_crises</w:t>
      </w:r>
      <w:proofErr w:type="spellEnd"/>
    </w:p>
    <w:p w14:paraId="27DE141E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lastRenderedPageBreak/>
        <w:t>"0" means that no currency crisis occurred in the year and "1" means that a currency crisis occurred in the year</w:t>
      </w:r>
    </w:p>
    <w:p w14:paraId="0DB680F1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proofErr w:type="spellStart"/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inflation_crises</w:t>
      </w:r>
      <w:proofErr w:type="spellEnd"/>
    </w:p>
    <w:p w14:paraId="2D7D6050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"0" means that no inflation crisis occurred in the year and "1" means that an inflation crisis occurred in the year</w:t>
      </w:r>
    </w:p>
    <w:p w14:paraId="3DE4B0D5" w14:textId="77777777" w:rsidR="008D64E3" w:rsidRPr="008D64E3" w:rsidRDefault="008D64E3" w:rsidP="008D64E3">
      <w:pPr>
        <w:shd w:val="clear" w:color="auto" w:fill="FFFFFF"/>
        <w:ind w:left="120"/>
        <w:textAlignment w:val="baseline"/>
        <w:rPr>
          <w:rFonts w:ascii="inherit" w:eastAsia="Times New Roman" w:hAnsi="inherit" w:cs="Times New Roman"/>
        </w:rPr>
      </w:pPr>
      <w:proofErr w:type="spellStart"/>
      <w:r w:rsidRPr="008D64E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banking_crisis</w:t>
      </w:r>
      <w:proofErr w:type="spellEnd"/>
    </w:p>
    <w:p w14:paraId="0960B812" w14:textId="77777777" w:rsidR="008D64E3" w:rsidRPr="008D64E3" w:rsidRDefault="008D64E3" w:rsidP="008D64E3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</w:rPr>
      </w:pPr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"</w:t>
      </w:r>
      <w:proofErr w:type="spellStart"/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no_crisis</w:t>
      </w:r>
      <w:proofErr w:type="spellEnd"/>
      <w:r w:rsidRPr="008D64E3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" means that no banking crisis occurred in the year and "crisis" means that a banking crisis</w:t>
      </w:r>
    </w:p>
    <w:p w14:paraId="42ABBA00" w14:textId="77777777" w:rsidR="008D64E3" w:rsidRDefault="008D64E3">
      <w:bookmarkStart w:id="0" w:name="_GoBack"/>
      <w:bookmarkEnd w:id="0"/>
    </w:p>
    <w:sectPr w:rsidR="008D64E3" w:rsidSect="0004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3"/>
    <w:rsid w:val="00045B9E"/>
    <w:rsid w:val="004C2DC9"/>
    <w:rsid w:val="007C01D2"/>
    <w:rsid w:val="008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D9219"/>
  <w14:defaultImageDpi w14:val="32767"/>
  <w15:chartTrackingRefBased/>
  <w15:docId w15:val="{E14E3046-5798-5742-BB1C-8ED62F08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4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D64E3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8D64E3"/>
  </w:style>
  <w:style w:type="character" w:customStyle="1" w:styleId="dataexplorercolumnscolumndescription-sc-16n86hz">
    <w:name w:val="dataexplorercolumns_columndescription-sc-16n86hz"/>
    <w:basedOn w:val="DefaultParagraphFont"/>
    <w:rsid w:val="008D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bs.edu/behavioral-finance-and-financial-stability/data/Pages/globa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devito.roberta@gmail.com</dc:creator>
  <cp:keywords/>
  <dc:description/>
  <cp:lastModifiedBy>devito.roberta@gmail.com</cp:lastModifiedBy>
  <cp:revision>1</cp:revision>
  <dcterms:created xsi:type="dcterms:W3CDTF">2020-03-06T22:03:00Z</dcterms:created>
  <dcterms:modified xsi:type="dcterms:W3CDTF">2020-03-06T22:04:00Z</dcterms:modified>
</cp:coreProperties>
</file>