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line="264" w:lineRule="auto"/>
        <w:jc w:val="center"/>
      </w:pPr>
      <w:r>
        <w:rPr>
          <w:rFonts w:ascii="Calibri" w:hAnsi="Calibri"/>
          <w:b/>
          <w:i w:val="0"/>
          <w:color w:val="2E74B5"/>
          <w:sz w:val="26"/>
        </w:rPr>
        <w:t>PPG AEN HACKATHON 2026</w:t>
      </w:r>
    </w:p>
    <w:p>
      <w:pPr>
        <w:spacing w:after="160" w:line="264" w:lineRule="auto"/>
        <w:jc w:val="center"/>
      </w:pPr>
      <w:r>
        <w:rPr>
          <w:rFonts w:ascii="Calibri" w:hAnsi="Calibri"/>
          <w:b/>
          <w:i w:val="0"/>
          <w:color w:val="0B2545"/>
          <w:sz w:val="68"/>
        </w:rPr>
        <w:t>OneFlow</w:t>
      </w:r>
    </w:p>
    <w:p>
      <w:pPr>
        <w:spacing w:after="400" w:line="264" w:lineRule="auto"/>
        <w:jc w:val="center"/>
      </w:pPr>
      <w:r>
        <w:rPr>
          <w:rFonts w:ascii="Calibri" w:hAnsi="Calibri"/>
          <w:b w:val="0"/>
          <w:i w:val="0"/>
          <w:color w:val="1F4D78"/>
          <w:sz w:val="32"/>
        </w:rPr>
        <w:t>Employee lifecycle orchestration — solution proposal and user guide</w:t>
      </w:r>
    </w:p>
    <w:tbl>
      <w:tblPr>
        <w:tblStyle w:val="TableGrid"/>
        <w:tblW w:type="auto" w:w="0"/>
        <w:jc w:val="center"/>
        <w:tblLook w:firstColumn="1" w:firstRow="1" w:lastColumn="0" w:lastRow="0" w:noHBand="0" w:noVBand="1" w:val="04A0"/>
      </w:tblPr>
      <w:tblGrid>
        <w:gridCol w:w="9648"/>
      </w:tblGrid>
      <w:tr>
        <w:tc>
          <w:tcPr>
            <w:tcW w:type="dxa" w:w="9648"/>
            <w:shd w:fill="E8EEF5"/>
            <w:tcMar>
              <w:top w:w="120" w:type="dxa"/>
              <w:start w:w="180" w:type="dxa"/>
              <w:bottom w:w="120" w:type="dxa"/>
              <w:end w:w="180" w:type="dxa"/>
            </w:tcMar>
          </w:tcPr>
          <w:p>
            <w:pPr>
              <w:spacing w:after="40"/>
            </w:pPr>
            <w:r>
              <w:rPr>
                <w:rFonts w:ascii="Calibri" w:hAnsi="Calibri"/>
                <w:b/>
                <w:i w:val="0"/>
                <w:color w:val="2E74B5"/>
                <w:sz w:val="18"/>
              </w:rPr>
              <w:t xml:space="preserve">DECISION SUMMARY  </w:t>
            </w:r>
            <w:r>
              <w:rPr>
                <w:rFonts w:ascii="Calibri" w:hAnsi="Calibri"/>
                <w:b w:val="0"/>
                <w:i w:val="0"/>
                <w:color w:val="0B2545"/>
                <w:sz w:val="20"/>
              </w:rPr>
              <w:t>OneFlow is a hackathon prototype that demonstrates a shared orchestration layer around Workday: it turns employee lifecycle events into owned tasks, forms, notifications and readiness or clearance visibility. It is not a Workday replacement and is not production-ready.</w:t>
            </w:r>
          </w:p>
        </w:tc>
      </w:tr>
    </w:tbl>
    <w:p>
      <w:pPr>
        <w:spacing w:after="80" w:line="264" w:lineRule="auto"/>
      </w:pPr>
      <w:r>
        <w:rPr>
          <w:rFonts w:ascii="Calibri" w:hAnsi="Calibri"/>
          <w:b w:val="0"/>
          <w:i w:val="0"/>
          <w:color w:val="000000"/>
          <w:sz w:val="22"/>
        </w:rPr>
      </w:r>
    </w:p>
    <w:p>
      <w:pPr>
        <w:spacing w:after="80" w:line="264" w:lineRule="auto"/>
        <w:jc w:val="center"/>
      </w:pPr>
      <w:r>
        <w:rPr>
          <w:rFonts w:ascii="Calibri" w:hAnsi="Calibri"/>
          <w:b/>
          <w:i w:val="0"/>
          <w:color w:val="0B2545"/>
          <w:sz w:val="24"/>
        </w:rPr>
        <w:t>Prepared by Team Error 404</w:t>
      </w:r>
    </w:p>
    <w:p>
      <w:pPr>
        <w:spacing w:after="240" w:line="264" w:lineRule="auto"/>
        <w:jc w:val="center"/>
      </w:pPr>
      <w:r>
        <w:rPr>
          <w:rFonts w:ascii="Calibri" w:hAnsi="Calibri"/>
          <w:b w:val="0"/>
          <w:i w:val="0"/>
          <w:color w:val="667085"/>
          <w:sz w:val="19"/>
        </w:rPr>
        <w:t>Thamotharan, Renuka Malar  |  Ramachandran, Yuganeswary  |  Hairul Afizee  |  Bashari, Noorliana</w:t>
      </w:r>
    </w:p>
    <w:p>
      <w:pPr>
        <w:spacing w:after="0" w:line="264" w:lineRule="auto"/>
        <w:jc w:val="center"/>
      </w:pPr>
      <w:r>
        <w:rPr>
          <w:rFonts w:ascii="Calibri" w:hAnsi="Calibri"/>
          <w:b w:val="0"/>
          <w:i w:val="0"/>
          <w:color w:val="667085"/>
          <w:sz w:val="18"/>
        </w:rPr>
        <w:t>Official demonstration: https://oneflow.highrulez.com  •  Synthetic data only</w:t>
      </w:r>
    </w:p>
    <w:p>
      <w:r>
        <w:br w:type="page"/>
      </w:r>
    </w:p>
    <w:p>
      <w:pPr>
        <w:pStyle w:val="Heading1"/>
        <w:keepNext/>
      </w:pPr>
      <w:r>
        <w:t>Document purpose and audience</w:t>
      </w:r>
    </w:p>
    <w:p>
      <w:pPr>
        <w:spacing w:after="120" w:line="264" w:lineRule="auto"/>
      </w:pPr>
      <w:r>
        <w:rPr>
          <w:rFonts w:ascii="Calibri" w:hAnsi="Calibri"/>
          <w:b w:val="0"/>
          <w:i w:val="0"/>
          <w:color w:val="000000"/>
          <w:sz w:val="22"/>
        </w:rPr>
        <w:t>This dossier is designed for judges, sponsors, business stakeholders, management, enterprise architects and technology decision makers who need to evaluate OneFlow without reading source code. It explains the business case, what was built, evidence from the prototype, safe demonstration steps and the recommended route to production.</w:t>
      </w:r>
    </w:p>
    <w:p>
      <w:r>
        <w:br w:type="page"/>
      </w:r>
    </w:p>
    <w:p>
      <w:pPr>
        <w:pStyle w:val="Heading1"/>
        <w:keepNext/>
      </w:pPr>
      <w:r>
        <w:t>Contents</w:t>
      </w:r>
    </w:p>
    <w:p>
      <w:pPr>
        <w:pStyle w:val="ListBullet"/>
        <w:spacing w:after="60" w:line="276" w:lineRule="auto"/>
      </w:pPr>
      <w:r>
        <w:t>Executive summary</w:t>
      </w:r>
    </w:p>
    <w:p>
      <w:pPr>
        <w:pStyle w:val="ListBullet"/>
        <w:spacing w:after="60" w:line="276" w:lineRule="auto"/>
      </w:pPr>
      <w:r>
        <w:t>Challenge and business problem</w:t>
      </w:r>
    </w:p>
    <w:p>
      <w:pPr>
        <w:pStyle w:val="ListBullet"/>
        <w:spacing w:after="60" w:line="276" w:lineRule="auto"/>
      </w:pPr>
      <w:r>
        <w:t>OneFlow concept and assessment</w:t>
      </w:r>
    </w:p>
    <w:p>
      <w:pPr>
        <w:pStyle w:val="ListBullet"/>
        <w:spacing w:after="60" w:line="276" w:lineRule="auto"/>
      </w:pPr>
      <w:r>
        <w:t>Business benefits and users</w:t>
      </w:r>
    </w:p>
    <w:p>
      <w:pPr>
        <w:pStyle w:val="ListBullet"/>
        <w:spacing w:after="60" w:line="276" w:lineRule="auto"/>
      </w:pPr>
      <w:r>
        <w:t>What we built and product walkthrough</w:t>
      </w:r>
    </w:p>
    <w:p>
      <w:pPr>
        <w:pStyle w:val="ListBullet"/>
        <w:spacing w:after="60" w:line="276" w:lineRule="auto"/>
      </w:pPr>
      <w:r>
        <w:t>User manual and test email guide</w:t>
      </w:r>
    </w:p>
    <w:p>
      <w:pPr>
        <w:pStyle w:val="ListBullet"/>
        <w:spacing w:after="60" w:line="276" w:lineRule="auto"/>
      </w:pPr>
      <w:r>
        <w:t>Prototype and proposed production architecture</w:t>
      </w:r>
    </w:p>
    <w:p>
      <w:pPr>
        <w:pStyle w:val="ListBullet"/>
        <w:spacing w:after="60" w:line="276" w:lineRule="auto"/>
      </w:pPr>
      <w:r>
        <w:t>Readiness, investment, ROI and roadmap</w:t>
      </w:r>
    </w:p>
    <w:p>
      <w:pPr>
        <w:pStyle w:val="ListBullet"/>
        <w:spacing w:after="60" w:line="276" w:lineRule="auto"/>
      </w:pPr>
      <w:r>
        <w:t>Risks, demo guide and conclusion</w:t>
      </w:r>
    </w:p>
    <w:p>
      <w:r>
        <w:br w:type="page"/>
      </w:r>
    </w:p>
    <w:p>
      <w:pPr>
        <w:pStyle w:val="Heading1"/>
        <w:keepNext/>
      </w:pPr>
      <w:r>
        <w:t>Executive summary</w:t>
      </w:r>
    </w:p>
    <w:p>
      <w:pPr>
        <w:spacing w:after="120" w:line="264" w:lineRule="auto"/>
      </w:pPr>
      <w:r>
        <w:rPr>
          <w:rFonts w:ascii="Calibri" w:hAnsi="Calibri"/>
          <w:b w:val="0"/>
          <w:i w:val="0"/>
          <w:color w:val="000000"/>
          <w:sz w:val="22"/>
        </w:rPr>
        <w:t>Employee onboarding and offboarding are cross-functional journeys. HR, managers, IT, Finance, Facilities and specialist teams each perform a portion of the work, while the employee experiences the outcome as one event. In manual operating models, responsibilities, status and escalation signals are easily dispersed across email, spreadsheets and multiple tools.</w:t>
      </w:r>
    </w:p>
    <w:p>
      <w:pPr>
        <w:spacing w:after="120" w:line="264" w:lineRule="auto"/>
      </w:pPr>
      <w:r>
        <w:rPr>
          <w:rFonts w:ascii="Calibri" w:hAnsi="Calibri"/>
          <w:b w:val="0"/>
          <w:i w:val="0"/>
          <w:color w:val="000000"/>
          <w:sz w:val="22"/>
        </w:rPr>
        <w:t>OneFlow is an employee lifecycle orchestration platform concept. Workday remains the HR source system; OneFlow is the coordination and experience layer around lifecycle events. The hackathon prototype demonstrates lifecycle cases, role-owned work queues, employee journeys, forms, notifications, Day 1 Readiness, Exit Clearance, reports and automation simulation using synthetic data.</w:t>
      </w:r>
    </w:p>
    <w:tbl>
      <w:tblPr>
        <w:tblStyle w:val="TableGrid"/>
        <w:tblW w:type="auto" w:w="0"/>
        <w:jc w:val="center"/>
        <w:tblLook w:firstColumn="1" w:firstRow="1" w:lastColumn="0" w:lastRow="0" w:noHBand="0" w:noVBand="1" w:val="04A0"/>
      </w:tblPr>
      <w:tblGrid>
        <w:gridCol w:w="9648"/>
      </w:tblGrid>
      <w:tr>
        <w:tc>
          <w:tcPr>
            <w:tcW w:type="dxa" w:w="9648"/>
            <w:shd w:fill="E8EEF5"/>
            <w:tcMar>
              <w:top w:w="120" w:type="dxa"/>
              <w:start w:w="180" w:type="dxa"/>
              <w:bottom w:w="120" w:type="dxa"/>
              <w:end w:w="180" w:type="dxa"/>
            </w:tcMar>
          </w:tcPr>
          <w:p>
            <w:pPr>
              <w:spacing w:after="40"/>
            </w:pPr>
            <w:r>
              <w:rPr>
                <w:rFonts w:ascii="Calibri" w:hAnsi="Calibri"/>
                <w:b/>
                <w:i w:val="0"/>
                <w:color w:val="2E74B5"/>
                <w:sz w:val="18"/>
              </w:rPr>
              <w:t xml:space="preserve">EXECUTIVE CONCLUSION  </w:t>
            </w:r>
            <w:r>
              <w:rPr>
                <w:rFonts w:ascii="Calibri" w:hAnsi="Calibri"/>
                <w:b w:val="0"/>
                <w:i w:val="0"/>
                <w:color w:val="0B2545"/>
                <w:sz w:val="20"/>
              </w:rPr>
              <w:t>The prototype validates the workflow and visibility concept end-to-end. Enterprise identity, real Workday integration, durable governed data, live workflow automation and production controls remain future work.</w:t>
            </w:r>
          </w:p>
        </w:tc>
      </w:tr>
    </w:tbl>
    <w:p>
      <w:pPr>
        <w:spacing w:after="80" w:line="264" w:lineRule="auto"/>
      </w:pPr>
      <w:r>
        <w:rPr>
          <w:rFonts w:ascii="Calibri" w:hAnsi="Calibri"/>
          <w:b w:val="0"/>
          <w:i w:val="0"/>
          <w:color w:val="000000"/>
          <w:sz w:val="22"/>
        </w:rPr>
      </w:r>
    </w:p>
    <w:p>
      <w:r>
        <w:br w:type="page"/>
      </w:r>
    </w:p>
    <w:p>
      <w:pPr>
        <w:pStyle w:val="Heading1"/>
        <w:keepNext/>
      </w:pPr>
      <w:r>
        <w:t>Hackathon challenge and supported business problem</w:t>
      </w:r>
    </w:p>
    <w:p>
      <w:pPr>
        <w:spacing w:after="120" w:line="264" w:lineRule="auto"/>
      </w:pPr>
      <w:r>
        <w:rPr>
          <w:rFonts w:ascii="Calibri" w:hAnsi="Calibri"/>
          <w:b w:val="0"/>
          <w:i w:val="0"/>
          <w:color w:val="000000"/>
          <w:sz w:val="22"/>
        </w:rPr>
        <w:t>The exact original hackathon question was not available in the repository. The project materials support a clear business problem: how to coordinate the employee lifecycle across multiple departments, making ownership, progress, readiness and clearance visible without positioning OneFlow as a replacement for Workday.</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2592"/>
            <w:shd w:fill="E8EEF5"/>
            <w:tcMar>
              <w:top w:w="80" w:type="dxa"/>
              <w:start w:w="120" w:type="dxa"/>
              <w:bottom w:w="80" w:type="dxa"/>
              <w:end w:w="120" w:type="dxa"/>
            </w:tcMar>
            <w:vAlign w:val="center"/>
          </w:tcPr>
          <w:p>
            <w:pPr>
              <w:spacing w:after="0"/>
            </w:pPr>
            <w:r>
              <w:rPr>
                <w:rFonts w:ascii="Calibri" w:hAnsi="Calibri"/>
                <w:b/>
                <w:i w:val="0"/>
                <w:color w:val="0B2545"/>
                <w:sz w:val="18"/>
              </w:rPr>
              <w:t>Problem</w:t>
            </w:r>
          </w:p>
        </w:tc>
        <w:tc>
          <w:tcPr>
            <w:tcW w:type="dxa" w:w="3240"/>
            <w:shd w:fill="E8EEF5"/>
            <w:tcMar>
              <w:top w:w="80" w:type="dxa"/>
              <w:start w:w="120" w:type="dxa"/>
              <w:bottom w:w="80" w:type="dxa"/>
              <w:end w:w="120" w:type="dxa"/>
            </w:tcMar>
            <w:vAlign w:val="center"/>
          </w:tcPr>
          <w:p>
            <w:pPr>
              <w:spacing w:after="0"/>
            </w:pPr>
            <w:r>
              <w:rPr>
                <w:rFonts w:ascii="Calibri" w:hAnsi="Calibri"/>
                <w:b/>
                <w:i w:val="0"/>
                <w:color w:val="0B2545"/>
                <w:sz w:val="18"/>
              </w:rPr>
              <w:t>Operational impact</w:t>
            </w:r>
          </w:p>
        </w:tc>
        <w:tc>
          <w:tcPr>
            <w:tcW w:type="dxa" w:w="3528"/>
            <w:shd w:fill="E8EEF5"/>
            <w:tcMar>
              <w:top w:w="80" w:type="dxa"/>
              <w:start w:w="120" w:type="dxa"/>
              <w:bottom w:w="80" w:type="dxa"/>
              <w:end w:w="120" w:type="dxa"/>
            </w:tcMar>
            <w:vAlign w:val="center"/>
          </w:tcPr>
          <w:p>
            <w:pPr>
              <w:spacing w:after="0"/>
            </w:pPr>
            <w:r>
              <w:rPr>
                <w:rFonts w:ascii="Calibri" w:hAnsi="Calibri"/>
                <w:b/>
                <w:i w:val="0"/>
                <w:color w:val="0B2545"/>
                <w:sz w:val="18"/>
              </w:rPr>
              <w:t>OneFlow response</w:t>
            </w:r>
          </w:p>
        </w:tc>
      </w:tr>
      <w:tr>
        <w:tc>
          <w:tcPr>
            <w:tcW w:type="dxa" w:w="2592"/>
            <w:tcMar>
              <w:top w:w="80" w:type="dxa"/>
              <w:start w:w="120" w:type="dxa"/>
              <w:bottom w:w="80" w:type="dxa"/>
              <w:end w:w="120" w:type="dxa"/>
            </w:tcMar>
            <w:vAlign w:val="center"/>
          </w:tcPr>
          <w:p>
            <w:pPr>
              <w:spacing w:after="0"/>
            </w:pPr>
            <w:r>
              <w:rPr>
                <w:rFonts w:ascii="Calibri" w:hAnsi="Calibri"/>
                <w:b w:val="0"/>
                <w:i w:val="0"/>
                <w:color w:val="222222"/>
                <w:sz w:val="17"/>
              </w:rPr>
              <w:t>Fragmented follow-up</w:t>
            </w:r>
          </w:p>
        </w:tc>
        <w:tc>
          <w:tcPr>
            <w:tcW w:type="dxa" w:w="3240"/>
            <w:tcMar>
              <w:top w:w="80" w:type="dxa"/>
              <w:start w:w="120" w:type="dxa"/>
              <w:bottom w:w="80" w:type="dxa"/>
              <w:end w:w="120" w:type="dxa"/>
            </w:tcMar>
            <w:vAlign w:val="center"/>
          </w:tcPr>
          <w:p>
            <w:pPr>
              <w:spacing w:after="0"/>
            </w:pPr>
            <w:r>
              <w:rPr>
                <w:rFonts w:ascii="Calibri" w:hAnsi="Calibri"/>
                <w:b w:val="0"/>
                <w:i w:val="0"/>
                <w:color w:val="222222"/>
                <w:sz w:val="17"/>
              </w:rPr>
              <w:t>Teams chase status across email and separate tools.</w:t>
            </w:r>
          </w:p>
        </w:tc>
        <w:tc>
          <w:tcPr>
            <w:tcW w:type="dxa" w:w="3528"/>
            <w:tcMar>
              <w:top w:w="80" w:type="dxa"/>
              <w:start w:w="120" w:type="dxa"/>
              <w:bottom w:w="80" w:type="dxa"/>
              <w:end w:w="120" w:type="dxa"/>
            </w:tcMar>
            <w:vAlign w:val="center"/>
          </w:tcPr>
          <w:p>
            <w:pPr>
              <w:spacing w:after="0"/>
            </w:pPr>
            <w:r>
              <w:rPr>
                <w:rFonts w:ascii="Calibri" w:hAnsi="Calibri"/>
                <w:b w:val="0"/>
                <w:i w:val="0"/>
                <w:color w:val="222222"/>
                <w:sz w:val="17"/>
              </w:rPr>
              <w:t>A shared lifecycle case and activity view.</w:t>
            </w:r>
          </w:p>
        </w:tc>
      </w:tr>
      <w:tr>
        <w:tc>
          <w:tcPr>
            <w:tcW w:type="dxa" w:w="2592"/>
            <w:tcMar>
              <w:top w:w="80" w:type="dxa"/>
              <w:start w:w="120" w:type="dxa"/>
              <w:bottom w:w="80" w:type="dxa"/>
              <w:end w:w="120" w:type="dxa"/>
            </w:tcMar>
            <w:vAlign w:val="center"/>
          </w:tcPr>
          <w:p>
            <w:pPr>
              <w:spacing w:after="0"/>
            </w:pPr>
            <w:r>
              <w:rPr>
                <w:rFonts w:ascii="Calibri" w:hAnsi="Calibri"/>
                <w:b w:val="0"/>
                <w:i w:val="0"/>
                <w:color w:val="222222"/>
                <w:sz w:val="17"/>
              </w:rPr>
              <w:t>Unclear ownership</w:t>
            </w:r>
          </w:p>
        </w:tc>
        <w:tc>
          <w:tcPr>
            <w:tcW w:type="dxa" w:w="3240"/>
            <w:tcMar>
              <w:top w:w="80" w:type="dxa"/>
              <w:start w:w="120" w:type="dxa"/>
              <w:bottom w:w="80" w:type="dxa"/>
              <w:end w:w="120" w:type="dxa"/>
            </w:tcMar>
            <w:vAlign w:val="center"/>
          </w:tcPr>
          <w:p>
            <w:pPr>
              <w:spacing w:after="0"/>
            </w:pPr>
            <w:r>
              <w:rPr>
                <w:rFonts w:ascii="Calibri" w:hAnsi="Calibri"/>
                <w:b w:val="0"/>
                <w:i w:val="0"/>
                <w:color w:val="222222"/>
                <w:sz w:val="17"/>
              </w:rPr>
              <w:t>Work can be late or overlooked.</w:t>
            </w:r>
          </w:p>
        </w:tc>
        <w:tc>
          <w:tcPr>
            <w:tcW w:type="dxa" w:w="3528"/>
            <w:tcMar>
              <w:top w:w="80" w:type="dxa"/>
              <w:start w:w="120" w:type="dxa"/>
              <w:bottom w:w="80" w:type="dxa"/>
              <w:end w:w="120" w:type="dxa"/>
            </w:tcMar>
            <w:vAlign w:val="center"/>
          </w:tcPr>
          <w:p>
            <w:pPr>
              <w:spacing w:after="0"/>
            </w:pPr>
            <w:r>
              <w:rPr>
                <w:rFonts w:ascii="Calibri" w:hAnsi="Calibri"/>
                <w:b w:val="0"/>
                <w:i w:val="0"/>
                <w:color w:val="222222"/>
                <w:sz w:val="17"/>
              </w:rPr>
              <w:t>Role dashboards and My Tasks queue work by responsibility.</w:t>
            </w:r>
          </w:p>
        </w:tc>
      </w:tr>
      <w:tr>
        <w:tc>
          <w:tcPr>
            <w:tcW w:type="dxa" w:w="2592"/>
            <w:tcMar>
              <w:top w:w="80" w:type="dxa"/>
              <w:start w:w="120" w:type="dxa"/>
              <w:bottom w:w="80" w:type="dxa"/>
              <w:end w:w="120" w:type="dxa"/>
            </w:tcMar>
            <w:vAlign w:val="center"/>
          </w:tcPr>
          <w:p>
            <w:pPr>
              <w:spacing w:after="0"/>
            </w:pPr>
            <w:r>
              <w:rPr>
                <w:rFonts w:ascii="Calibri" w:hAnsi="Calibri"/>
                <w:b w:val="0"/>
                <w:i w:val="0"/>
                <w:color w:val="222222"/>
                <w:sz w:val="17"/>
              </w:rPr>
              <w:t>Day 1 uncertainty</w:t>
            </w:r>
          </w:p>
        </w:tc>
        <w:tc>
          <w:tcPr>
            <w:tcW w:type="dxa" w:w="3240"/>
            <w:tcMar>
              <w:top w:w="80" w:type="dxa"/>
              <w:start w:w="120" w:type="dxa"/>
              <w:bottom w:w="80" w:type="dxa"/>
              <w:end w:w="120" w:type="dxa"/>
            </w:tcMar>
            <w:vAlign w:val="center"/>
          </w:tcPr>
          <w:p>
            <w:pPr>
              <w:spacing w:after="0"/>
            </w:pPr>
            <w:r>
              <w:rPr>
                <w:rFonts w:ascii="Calibri" w:hAnsi="Calibri"/>
                <w:b w:val="0"/>
                <w:i w:val="0"/>
                <w:color w:val="222222"/>
                <w:sz w:val="17"/>
              </w:rPr>
              <w:t>Employees may arrive before key arrangements are ready.</w:t>
            </w:r>
          </w:p>
        </w:tc>
        <w:tc>
          <w:tcPr>
            <w:tcW w:type="dxa" w:w="3528"/>
            <w:tcMar>
              <w:top w:w="80" w:type="dxa"/>
              <w:start w:w="120" w:type="dxa"/>
              <w:bottom w:w="80" w:type="dxa"/>
              <w:end w:w="120" w:type="dxa"/>
            </w:tcMar>
            <w:vAlign w:val="center"/>
          </w:tcPr>
          <w:p>
            <w:pPr>
              <w:spacing w:after="0"/>
            </w:pPr>
            <w:r>
              <w:rPr>
                <w:rFonts w:ascii="Calibri" w:hAnsi="Calibri"/>
                <w:b w:val="0"/>
                <w:i w:val="0"/>
                <w:color w:val="222222"/>
                <w:sz w:val="17"/>
              </w:rPr>
              <w:t>Readiness tracking exposes outstanding actions.</w:t>
            </w:r>
          </w:p>
        </w:tc>
      </w:tr>
      <w:tr>
        <w:tc>
          <w:tcPr>
            <w:tcW w:type="dxa" w:w="2592"/>
            <w:tcMar>
              <w:top w:w="80" w:type="dxa"/>
              <w:start w:w="120" w:type="dxa"/>
              <w:bottom w:w="80" w:type="dxa"/>
              <w:end w:w="120" w:type="dxa"/>
            </w:tcMar>
            <w:vAlign w:val="center"/>
          </w:tcPr>
          <w:p>
            <w:pPr>
              <w:spacing w:after="0"/>
            </w:pPr>
            <w:r>
              <w:rPr>
                <w:rFonts w:ascii="Calibri" w:hAnsi="Calibri"/>
                <w:b w:val="0"/>
                <w:i w:val="0"/>
                <w:color w:val="222222"/>
                <w:sz w:val="17"/>
              </w:rPr>
              <w:t>Exit-control risk</w:t>
            </w:r>
          </w:p>
        </w:tc>
        <w:tc>
          <w:tcPr>
            <w:tcW w:type="dxa" w:w="3240"/>
            <w:tcMar>
              <w:top w:w="80" w:type="dxa"/>
              <w:start w:w="120" w:type="dxa"/>
              <w:bottom w:w="80" w:type="dxa"/>
              <w:end w:w="120" w:type="dxa"/>
            </w:tcMar>
            <w:vAlign w:val="center"/>
          </w:tcPr>
          <w:p>
            <w:pPr>
              <w:spacing w:after="0"/>
            </w:pPr>
            <w:r>
              <w:rPr>
                <w:rFonts w:ascii="Calibri" w:hAnsi="Calibri"/>
                <w:b w:val="0"/>
                <w:i w:val="0"/>
                <w:color w:val="222222"/>
                <w:sz w:val="17"/>
              </w:rPr>
              <w:t>Access, assets and clearance steps can lack a shared view.</w:t>
            </w:r>
          </w:p>
        </w:tc>
        <w:tc>
          <w:tcPr>
            <w:tcW w:type="dxa" w:w="3528"/>
            <w:tcMar>
              <w:top w:w="80" w:type="dxa"/>
              <w:start w:w="120" w:type="dxa"/>
              <w:bottom w:w="80" w:type="dxa"/>
              <w:end w:w="120" w:type="dxa"/>
            </w:tcMar>
            <w:vAlign w:val="center"/>
          </w:tcPr>
          <w:p>
            <w:pPr>
              <w:spacing w:after="0"/>
            </w:pPr>
            <w:r>
              <w:rPr>
                <w:rFonts w:ascii="Calibri" w:hAnsi="Calibri"/>
                <w:b w:val="0"/>
                <w:i w:val="0"/>
                <w:color w:val="222222"/>
                <w:sz w:val="17"/>
              </w:rPr>
              <w:t>Exit Clearance makes pending controls visible.</w:t>
            </w:r>
          </w:p>
        </w:tc>
      </w:tr>
    </w:tbl>
    <w:p>
      <w:pPr>
        <w:spacing w:after="40" w:line="264" w:lineRule="auto"/>
      </w:pPr>
      <w:r>
        <w:rPr>
          <w:rFonts w:ascii="Calibri" w:hAnsi="Calibri"/>
          <w:b w:val="0"/>
          <w:i w:val="0"/>
          <w:color w:val="000000"/>
          <w:sz w:val="22"/>
        </w:rPr>
      </w:r>
    </w:p>
    <w:p>
      <w:r>
        <w:br w:type="page"/>
      </w:r>
    </w:p>
    <w:p>
      <w:pPr>
        <w:pStyle w:val="Heading1"/>
        <w:keepNext/>
      </w:pPr>
      <w:r>
        <w:t>The OneFlow concept</w:t>
      </w:r>
    </w:p>
    <w:p>
      <w:pPr>
        <w:spacing w:after="120" w:line="264" w:lineRule="auto"/>
      </w:pPr>
      <w:r>
        <w:rPr>
          <w:rFonts w:ascii="Calibri" w:hAnsi="Calibri"/>
          <w:b w:val="0"/>
          <w:i w:val="0"/>
          <w:color w:val="000000"/>
          <w:sz w:val="22"/>
        </w:rPr>
        <w:t>Workday / HR source → employee lifecycle event → OneFlow → relevant teams receive responsibilities → tasks, forms and notifications → progress and readiness tracking → employee ready or exit cleared.</w:t>
      </w:r>
    </w:p>
    <w:tbl>
      <w:tblPr>
        <w:tblStyle w:val="TableGrid"/>
        <w:tblW w:type="auto" w:w="0"/>
        <w:jc w:val="center"/>
        <w:tblLayout w:type="fixed"/>
        <w:tblLook w:firstColumn="1" w:firstRow="1" w:lastColumn="0" w:lastRow="0" w:noHBand="0" w:noVBand="1" w:val="04A0"/>
      </w:tblPr>
      <w:tblGrid>
        <w:gridCol w:w="4824"/>
        <w:gridCol w:w="4824"/>
      </w:tblGrid>
      <w:tr>
        <w:tc>
          <w:tcPr>
            <w:tcW w:type="dxa" w:w="2160"/>
            <w:shd w:fill="E8EEF5"/>
            <w:tcMar>
              <w:top w:w="80" w:type="dxa"/>
              <w:start w:w="120" w:type="dxa"/>
              <w:bottom w:w="80" w:type="dxa"/>
              <w:end w:w="120" w:type="dxa"/>
            </w:tcMar>
            <w:vAlign w:val="center"/>
          </w:tcPr>
          <w:p>
            <w:pPr>
              <w:spacing w:after="0"/>
            </w:pPr>
            <w:r>
              <w:rPr>
                <w:rFonts w:ascii="Calibri" w:hAnsi="Calibri"/>
                <w:b/>
                <w:i w:val="0"/>
                <w:color w:val="0B2545"/>
                <w:sz w:val="18"/>
              </w:rPr>
              <w:t>Role</w:t>
            </w:r>
          </w:p>
        </w:tc>
        <w:tc>
          <w:tcPr>
            <w:tcW w:type="dxa" w:w="7200"/>
            <w:shd w:fill="E8EEF5"/>
            <w:tcMar>
              <w:top w:w="80" w:type="dxa"/>
              <w:start w:w="120" w:type="dxa"/>
              <w:bottom w:w="80" w:type="dxa"/>
              <w:end w:w="120" w:type="dxa"/>
            </w:tcMar>
            <w:vAlign w:val="center"/>
          </w:tcPr>
          <w:p>
            <w:pPr>
              <w:spacing w:after="0"/>
            </w:pPr>
            <w:r>
              <w:rPr>
                <w:rFonts w:ascii="Calibri" w:hAnsi="Calibri"/>
                <w:b/>
                <w:i w:val="0"/>
                <w:color w:val="0B2545"/>
                <w:sz w:val="18"/>
              </w:rPr>
              <w:t>Plain-language meaning</w:t>
            </w:r>
          </w:p>
        </w:tc>
      </w:tr>
      <w:tr>
        <w:tc>
          <w:tcPr>
            <w:tcW w:type="dxa" w:w="2160"/>
            <w:tcMar>
              <w:top w:w="80" w:type="dxa"/>
              <w:start w:w="120" w:type="dxa"/>
              <w:bottom w:w="80" w:type="dxa"/>
              <w:end w:w="120" w:type="dxa"/>
            </w:tcMar>
            <w:vAlign w:val="center"/>
          </w:tcPr>
          <w:p>
            <w:pPr>
              <w:spacing w:after="0"/>
            </w:pPr>
            <w:r>
              <w:rPr>
                <w:rFonts w:ascii="Calibri" w:hAnsi="Calibri"/>
                <w:b w:val="0"/>
                <w:i w:val="0"/>
                <w:color w:val="222222"/>
                <w:sz w:val="17"/>
              </w:rPr>
              <w:t>Workday</w:t>
            </w:r>
          </w:p>
        </w:tc>
        <w:tc>
          <w:tcPr>
            <w:tcW w:type="dxa" w:w="7200"/>
            <w:tcMar>
              <w:top w:w="80" w:type="dxa"/>
              <w:start w:w="120" w:type="dxa"/>
              <w:bottom w:w="80" w:type="dxa"/>
              <w:end w:w="120" w:type="dxa"/>
            </w:tcMar>
            <w:vAlign w:val="center"/>
          </w:tcPr>
          <w:p>
            <w:pPr>
              <w:spacing w:after="0"/>
            </w:pPr>
            <w:r>
              <w:rPr>
                <w:rFonts w:ascii="Calibri" w:hAnsi="Calibri"/>
                <w:b w:val="0"/>
                <w:i w:val="0"/>
                <w:color w:val="222222"/>
                <w:sz w:val="17"/>
              </w:rPr>
              <w:t>The source HR system: it owns the employee record and lifecycle event.</w:t>
            </w:r>
          </w:p>
        </w:tc>
      </w:tr>
      <w:tr>
        <w:tc>
          <w:tcPr>
            <w:tcW w:type="dxa" w:w="2160"/>
            <w:tcMar>
              <w:top w:w="80" w:type="dxa"/>
              <w:start w:w="120" w:type="dxa"/>
              <w:bottom w:w="80" w:type="dxa"/>
              <w:end w:w="120" w:type="dxa"/>
            </w:tcMar>
            <w:vAlign w:val="center"/>
          </w:tcPr>
          <w:p>
            <w:pPr>
              <w:spacing w:after="0"/>
            </w:pPr>
            <w:r>
              <w:rPr>
                <w:rFonts w:ascii="Calibri" w:hAnsi="Calibri"/>
                <w:b w:val="0"/>
                <w:i w:val="0"/>
                <w:color w:val="222222"/>
                <w:sz w:val="17"/>
              </w:rPr>
              <w:t>OneFlow</w:t>
            </w:r>
          </w:p>
        </w:tc>
        <w:tc>
          <w:tcPr>
            <w:tcW w:type="dxa" w:w="7200"/>
            <w:tcMar>
              <w:top w:w="80" w:type="dxa"/>
              <w:start w:w="120" w:type="dxa"/>
              <w:bottom w:w="80" w:type="dxa"/>
              <w:end w:w="120" w:type="dxa"/>
            </w:tcMar>
            <w:vAlign w:val="center"/>
          </w:tcPr>
          <w:p>
            <w:pPr>
              <w:spacing w:after="0"/>
            </w:pPr>
            <w:r>
              <w:rPr>
                <w:rFonts w:ascii="Calibri" w:hAnsi="Calibri"/>
                <w:b w:val="0"/>
                <w:i w:val="0"/>
                <w:color w:val="222222"/>
                <w:sz w:val="17"/>
              </w:rPr>
              <w:t>The coordination and experience layer: it turns the event into visible, owned cross-functional work.</w:t>
            </w:r>
          </w:p>
        </w:tc>
      </w:tr>
    </w:tbl>
    <w:p>
      <w:pPr>
        <w:spacing w:after="40" w:line="264" w:lineRule="auto"/>
      </w:pPr>
      <w:r>
        <w:rPr>
          <w:rFonts w:ascii="Calibri" w:hAnsi="Calibri"/>
          <w:b w:val="0"/>
          <w:i w:val="0"/>
          <w:color w:val="000000"/>
          <w:sz w:val="22"/>
        </w:rPr>
      </w:r>
    </w:p>
    <w:p>
      <w:r>
        <w:br w:type="page"/>
      </w:r>
    </w:p>
    <w:p>
      <w:pPr>
        <w:pStyle w:val="Heading1"/>
        <w:keepNext/>
      </w:pPr>
      <w:r>
        <w:t>Did we solve the challenge?</w:t>
      </w:r>
    </w:p>
    <w:tbl>
      <w:tblPr>
        <w:tblStyle w:val="TableGrid"/>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728"/>
            <w:shd w:fill="E8EEF5"/>
            <w:tcMar>
              <w:top w:w="80" w:type="dxa"/>
              <w:start w:w="120" w:type="dxa"/>
              <w:bottom w:w="80" w:type="dxa"/>
              <w:end w:w="120" w:type="dxa"/>
            </w:tcMar>
            <w:vAlign w:val="center"/>
          </w:tcPr>
          <w:p>
            <w:pPr>
              <w:spacing w:after="0"/>
            </w:pPr>
            <w:r>
              <w:rPr>
                <w:rFonts w:ascii="Calibri" w:hAnsi="Calibri"/>
                <w:b/>
                <w:i w:val="0"/>
                <w:color w:val="0B2545"/>
                <w:sz w:val="18"/>
              </w:rPr>
              <w:t>Requirement</w:t>
            </w:r>
          </w:p>
        </w:tc>
        <w:tc>
          <w:tcPr>
            <w:tcW w:type="dxa" w:w="2232"/>
            <w:shd w:fill="E8EEF5"/>
            <w:tcMar>
              <w:top w:w="80" w:type="dxa"/>
              <w:start w:w="120" w:type="dxa"/>
              <w:bottom w:w="80" w:type="dxa"/>
              <w:end w:w="120" w:type="dxa"/>
            </w:tcMar>
            <w:vAlign w:val="center"/>
          </w:tcPr>
          <w:p>
            <w:pPr>
              <w:spacing w:after="0"/>
            </w:pPr>
            <w:r>
              <w:rPr>
                <w:rFonts w:ascii="Calibri" w:hAnsi="Calibri"/>
                <w:b/>
                <w:i w:val="0"/>
                <w:color w:val="0B2545"/>
                <w:sz w:val="18"/>
              </w:rPr>
              <w:t>OneFlow response</w:t>
            </w:r>
          </w:p>
        </w:tc>
        <w:tc>
          <w:tcPr>
            <w:tcW w:type="dxa" w:w="1800"/>
            <w:shd w:fill="E8EEF5"/>
            <w:tcMar>
              <w:top w:w="80" w:type="dxa"/>
              <w:start w:w="120" w:type="dxa"/>
              <w:bottom w:w="80" w:type="dxa"/>
              <w:end w:w="120" w:type="dxa"/>
            </w:tcMar>
            <w:vAlign w:val="center"/>
          </w:tcPr>
          <w:p>
            <w:pPr>
              <w:spacing w:after="0"/>
            </w:pPr>
            <w:r>
              <w:rPr>
                <w:rFonts w:ascii="Calibri" w:hAnsi="Calibri"/>
                <w:b/>
                <w:i w:val="0"/>
                <w:color w:val="0B2545"/>
                <w:sz w:val="18"/>
              </w:rPr>
              <w:t>Evidence</w:t>
            </w:r>
          </w:p>
        </w:tc>
        <w:tc>
          <w:tcPr>
            <w:tcW w:type="dxa" w:w="1584"/>
            <w:shd w:fill="E8EEF5"/>
            <w:tcMar>
              <w:top w:w="80" w:type="dxa"/>
              <w:start w:w="120" w:type="dxa"/>
              <w:bottom w:w="80" w:type="dxa"/>
              <w:end w:w="120" w:type="dxa"/>
            </w:tcMar>
            <w:vAlign w:val="center"/>
          </w:tcPr>
          <w:p>
            <w:pPr>
              <w:spacing w:after="0"/>
            </w:pPr>
            <w:r>
              <w:rPr>
                <w:rFonts w:ascii="Calibri" w:hAnsi="Calibri"/>
                <w:b/>
                <w:i w:val="0"/>
                <w:color w:val="0B2545"/>
                <w:sz w:val="18"/>
              </w:rPr>
              <w:t>Status</w:t>
            </w:r>
          </w:p>
        </w:tc>
        <w:tc>
          <w:tcPr>
            <w:tcW w:type="dxa" w:w="2016"/>
            <w:shd w:fill="E8EEF5"/>
            <w:tcMar>
              <w:top w:w="80" w:type="dxa"/>
              <w:start w:w="120" w:type="dxa"/>
              <w:bottom w:w="80" w:type="dxa"/>
              <w:end w:w="120" w:type="dxa"/>
            </w:tcMar>
            <w:vAlign w:val="center"/>
          </w:tcPr>
          <w:p>
            <w:pPr>
              <w:spacing w:after="0"/>
            </w:pPr>
            <w:r>
              <w:rPr>
                <w:rFonts w:ascii="Calibri" w:hAnsi="Calibri"/>
                <w:b/>
                <w:i w:val="0"/>
                <w:color w:val="0B2545"/>
                <w:sz w:val="18"/>
              </w:rPr>
              <w:t>Production requirement</w:t>
            </w:r>
          </w:p>
        </w:tc>
      </w:tr>
      <w:tr>
        <w:tc>
          <w:tcPr>
            <w:tcW w:type="dxa" w:w="1728"/>
            <w:tcMar>
              <w:top w:w="80" w:type="dxa"/>
              <w:start w:w="120" w:type="dxa"/>
              <w:bottom w:w="80" w:type="dxa"/>
              <w:end w:w="120" w:type="dxa"/>
            </w:tcMar>
            <w:vAlign w:val="center"/>
          </w:tcPr>
          <w:p>
            <w:pPr>
              <w:spacing w:after="0"/>
            </w:pPr>
            <w:r>
              <w:rPr>
                <w:rFonts w:ascii="Calibri" w:hAnsi="Calibri"/>
                <w:b w:val="0"/>
                <w:i w:val="0"/>
                <w:color w:val="222222"/>
                <w:sz w:val="17"/>
              </w:rPr>
              <w:t>Central visibility</w:t>
            </w:r>
          </w:p>
        </w:tc>
        <w:tc>
          <w:tcPr>
            <w:tcW w:type="dxa" w:w="2232"/>
            <w:tcMar>
              <w:top w:w="80" w:type="dxa"/>
              <w:start w:w="120" w:type="dxa"/>
              <w:bottom w:w="80" w:type="dxa"/>
              <w:end w:w="120" w:type="dxa"/>
            </w:tcMar>
            <w:vAlign w:val="center"/>
          </w:tcPr>
          <w:p>
            <w:pPr>
              <w:spacing w:after="0"/>
            </w:pPr>
            <w:r>
              <w:rPr>
                <w:rFonts w:ascii="Calibri" w:hAnsi="Calibri"/>
                <w:b w:val="0"/>
                <w:i w:val="0"/>
                <w:color w:val="222222"/>
                <w:sz w:val="17"/>
              </w:rPr>
              <w:t>Cases, dashboards and reports</w:t>
            </w:r>
          </w:p>
        </w:tc>
        <w:tc>
          <w:tcPr>
            <w:tcW w:type="dxa" w:w="1800"/>
            <w:tcMar>
              <w:top w:w="80" w:type="dxa"/>
              <w:start w:w="120" w:type="dxa"/>
              <w:bottom w:w="80" w:type="dxa"/>
              <w:end w:w="120" w:type="dxa"/>
            </w:tcMar>
            <w:vAlign w:val="center"/>
          </w:tcPr>
          <w:p>
            <w:pPr>
              <w:spacing w:after="0"/>
            </w:pPr>
            <w:r>
              <w:rPr>
                <w:rFonts w:ascii="Calibri" w:hAnsi="Calibri"/>
                <w:b w:val="0"/>
                <w:i w:val="0"/>
                <w:color w:val="222222"/>
                <w:sz w:val="17"/>
              </w:rPr>
              <w:t>Admin overview; lifecycle cases</w:t>
            </w:r>
          </w:p>
        </w:tc>
        <w:tc>
          <w:tcPr>
            <w:tcW w:type="dxa" w:w="1584"/>
            <w:tcMar>
              <w:top w:w="80" w:type="dxa"/>
              <w:start w:w="120" w:type="dxa"/>
              <w:bottom w:w="80" w:type="dxa"/>
              <w:end w:w="120" w:type="dxa"/>
            </w:tcMar>
            <w:vAlign w:val="center"/>
          </w:tcPr>
          <w:p>
            <w:pPr>
              <w:spacing w:after="0"/>
            </w:pPr>
            <w:r>
              <w:rPr>
                <w:rFonts w:ascii="Calibri" w:hAnsi="Calibri"/>
                <w:b w:val="0"/>
                <w:i w:val="0"/>
                <w:color w:val="222222"/>
                <w:sz w:val="17"/>
              </w:rPr>
              <w:t>Demonstrated</w:t>
            </w:r>
          </w:p>
        </w:tc>
        <w:tc>
          <w:tcPr>
            <w:tcW w:type="dxa" w:w="2016"/>
            <w:tcMar>
              <w:top w:w="80" w:type="dxa"/>
              <w:start w:w="120" w:type="dxa"/>
              <w:bottom w:w="80" w:type="dxa"/>
              <w:end w:w="120" w:type="dxa"/>
            </w:tcMar>
            <w:vAlign w:val="center"/>
          </w:tcPr>
          <w:p>
            <w:pPr>
              <w:spacing w:after="0"/>
            </w:pPr>
            <w:r>
              <w:rPr>
                <w:rFonts w:ascii="Calibri" w:hAnsi="Calibri"/>
                <w:b w:val="0"/>
                <w:i w:val="0"/>
                <w:color w:val="222222"/>
                <w:sz w:val="17"/>
              </w:rPr>
              <w:t>Governed data and analytics</w:t>
            </w:r>
          </w:p>
        </w:tc>
      </w:tr>
      <w:tr>
        <w:tc>
          <w:tcPr>
            <w:tcW w:type="dxa" w:w="1728"/>
            <w:tcMar>
              <w:top w:w="80" w:type="dxa"/>
              <w:start w:w="120" w:type="dxa"/>
              <w:bottom w:w="80" w:type="dxa"/>
              <w:end w:w="120" w:type="dxa"/>
            </w:tcMar>
            <w:vAlign w:val="center"/>
          </w:tcPr>
          <w:p>
            <w:pPr>
              <w:spacing w:after="0"/>
            </w:pPr>
            <w:r>
              <w:rPr>
                <w:rFonts w:ascii="Calibri" w:hAnsi="Calibri"/>
                <w:b w:val="0"/>
                <w:i w:val="0"/>
                <w:color w:val="222222"/>
                <w:sz w:val="17"/>
              </w:rPr>
              <w:t>Cross-team ownership</w:t>
            </w:r>
          </w:p>
        </w:tc>
        <w:tc>
          <w:tcPr>
            <w:tcW w:type="dxa" w:w="2232"/>
            <w:tcMar>
              <w:top w:w="80" w:type="dxa"/>
              <w:start w:w="120" w:type="dxa"/>
              <w:bottom w:w="80" w:type="dxa"/>
              <w:end w:w="120" w:type="dxa"/>
            </w:tcMar>
            <w:vAlign w:val="center"/>
          </w:tcPr>
          <w:p>
            <w:pPr>
              <w:spacing w:after="0"/>
            </w:pPr>
            <w:r>
              <w:rPr>
                <w:rFonts w:ascii="Calibri" w:hAnsi="Calibri"/>
                <w:b w:val="0"/>
                <w:i w:val="0"/>
                <w:color w:val="222222"/>
                <w:sz w:val="17"/>
              </w:rPr>
              <w:t>Role queues and routing</w:t>
            </w:r>
          </w:p>
        </w:tc>
        <w:tc>
          <w:tcPr>
            <w:tcW w:type="dxa" w:w="1800"/>
            <w:tcMar>
              <w:top w:w="80" w:type="dxa"/>
              <w:start w:w="120" w:type="dxa"/>
              <w:bottom w:w="80" w:type="dxa"/>
              <w:end w:w="120" w:type="dxa"/>
            </w:tcMar>
            <w:vAlign w:val="center"/>
          </w:tcPr>
          <w:p>
            <w:pPr>
              <w:spacing w:after="0"/>
            </w:pPr>
            <w:r>
              <w:rPr>
                <w:rFonts w:ascii="Calibri" w:hAnsi="Calibri"/>
                <w:b w:val="0"/>
                <w:i w:val="0"/>
                <w:color w:val="222222"/>
                <w:sz w:val="17"/>
              </w:rPr>
              <w:t>My Tasks; role dashboards</w:t>
            </w:r>
          </w:p>
        </w:tc>
        <w:tc>
          <w:tcPr>
            <w:tcW w:type="dxa" w:w="1584"/>
            <w:tcMar>
              <w:top w:w="80" w:type="dxa"/>
              <w:start w:w="120" w:type="dxa"/>
              <w:bottom w:w="80" w:type="dxa"/>
              <w:end w:w="120" w:type="dxa"/>
            </w:tcMar>
            <w:vAlign w:val="center"/>
          </w:tcPr>
          <w:p>
            <w:pPr>
              <w:spacing w:after="0"/>
            </w:pPr>
            <w:r>
              <w:rPr>
                <w:rFonts w:ascii="Calibri" w:hAnsi="Calibri"/>
                <w:b w:val="0"/>
                <w:i w:val="0"/>
                <w:color w:val="222222"/>
                <w:sz w:val="17"/>
              </w:rPr>
              <w:t>Demonstrated</w:t>
            </w:r>
          </w:p>
        </w:tc>
        <w:tc>
          <w:tcPr>
            <w:tcW w:type="dxa" w:w="2016"/>
            <w:tcMar>
              <w:top w:w="80" w:type="dxa"/>
              <w:start w:w="120" w:type="dxa"/>
              <w:bottom w:w="80" w:type="dxa"/>
              <w:end w:w="120" w:type="dxa"/>
            </w:tcMar>
            <w:vAlign w:val="center"/>
          </w:tcPr>
          <w:p>
            <w:pPr>
              <w:spacing w:after="0"/>
            </w:pPr>
            <w:r>
              <w:rPr>
                <w:rFonts w:ascii="Calibri" w:hAnsi="Calibri"/>
                <w:b w:val="0"/>
                <w:i w:val="0"/>
                <w:color w:val="222222"/>
                <w:sz w:val="17"/>
              </w:rPr>
              <w:t>SSO/RBAC and enterprise directory</w:t>
            </w:r>
          </w:p>
        </w:tc>
      </w:tr>
      <w:tr>
        <w:tc>
          <w:tcPr>
            <w:tcW w:type="dxa" w:w="1728"/>
            <w:tcMar>
              <w:top w:w="80" w:type="dxa"/>
              <w:start w:w="120" w:type="dxa"/>
              <w:bottom w:w="80" w:type="dxa"/>
              <w:end w:w="120" w:type="dxa"/>
            </w:tcMar>
            <w:vAlign w:val="center"/>
          </w:tcPr>
          <w:p>
            <w:pPr>
              <w:spacing w:after="0"/>
            </w:pPr>
            <w:r>
              <w:rPr>
                <w:rFonts w:ascii="Calibri" w:hAnsi="Calibri"/>
                <w:b w:val="0"/>
                <w:i w:val="0"/>
                <w:color w:val="222222"/>
                <w:sz w:val="17"/>
              </w:rPr>
              <w:t>Onboarding coordination</w:t>
            </w:r>
          </w:p>
        </w:tc>
        <w:tc>
          <w:tcPr>
            <w:tcW w:type="dxa" w:w="2232"/>
            <w:tcMar>
              <w:top w:w="80" w:type="dxa"/>
              <w:start w:w="120" w:type="dxa"/>
              <w:bottom w:w="80" w:type="dxa"/>
              <w:end w:w="120" w:type="dxa"/>
            </w:tcMar>
            <w:vAlign w:val="center"/>
          </w:tcPr>
          <w:p>
            <w:pPr>
              <w:spacing w:after="0"/>
            </w:pPr>
            <w:r>
              <w:rPr>
                <w:rFonts w:ascii="Calibri" w:hAnsi="Calibri"/>
                <w:b w:val="0"/>
                <w:i w:val="0"/>
                <w:color w:val="222222"/>
                <w:sz w:val="17"/>
              </w:rPr>
              <w:t>Nabila journey and readiness</w:t>
            </w:r>
          </w:p>
        </w:tc>
        <w:tc>
          <w:tcPr>
            <w:tcW w:type="dxa" w:w="1800"/>
            <w:tcMar>
              <w:top w:w="80" w:type="dxa"/>
              <w:start w:w="120" w:type="dxa"/>
              <w:bottom w:w="80" w:type="dxa"/>
              <w:end w:w="120" w:type="dxa"/>
            </w:tcMar>
            <w:vAlign w:val="center"/>
          </w:tcPr>
          <w:p>
            <w:pPr>
              <w:spacing w:after="0"/>
            </w:pPr>
            <w:r>
              <w:rPr>
                <w:rFonts w:ascii="Calibri" w:hAnsi="Calibri"/>
                <w:b w:val="0"/>
                <w:i w:val="0"/>
                <w:color w:val="222222"/>
                <w:sz w:val="17"/>
              </w:rPr>
              <w:t>My Onboarding; forms</w:t>
            </w:r>
          </w:p>
        </w:tc>
        <w:tc>
          <w:tcPr>
            <w:tcW w:type="dxa" w:w="1584"/>
            <w:tcMar>
              <w:top w:w="80" w:type="dxa"/>
              <w:start w:w="120" w:type="dxa"/>
              <w:bottom w:w="80" w:type="dxa"/>
              <w:end w:w="120" w:type="dxa"/>
            </w:tcMar>
            <w:vAlign w:val="center"/>
          </w:tcPr>
          <w:p>
            <w:pPr>
              <w:spacing w:after="0"/>
            </w:pPr>
            <w:r>
              <w:rPr>
                <w:rFonts w:ascii="Calibri" w:hAnsi="Calibri"/>
                <w:b w:val="0"/>
                <w:i w:val="0"/>
                <w:color w:val="222222"/>
                <w:sz w:val="17"/>
              </w:rPr>
              <w:t>Demonstrated</w:t>
            </w:r>
          </w:p>
        </w:tc>
        <w:tc>
          <w:tcPr>
            <w:tcW w:type="dxa" w:w="2016"/>
            <w:tcMar>
              <w:top w:w="80" w:type="dxa"/>
              <w:start w:w="120" w:type="dxa"/>
              <w:bottom w:w="80" w:type="dxa"/>
              <w:end w:w="120" w:type="dxa"/>
            </w:tcMar>
            <w:vAlign w:val="center"/>
          </w:tcPr>
          <w:p>
            <w:pPr>
              <w:spacing w:after="0"/>
            </w:pPr>
            <w:r>
              <w:rPr>
                <w:rFonts w:ascii="Calibri" w:hAnsi="Calibri"/>
                <w:b w:val="0"/>
                <w:i w:val="0"/>
                <w:color w:val="222222"/>
                <w:sz w:val="17"/>
              </w:rPr>
              <w:t>Real HR event integration</w:t>
            </w:r>
          </w:p>
        </w:tc>
      </w:tr>
      <w:tr>
        <w:tc>
          <w:tcPr>
            <w:tcW w:type="dxa" w:w="1728"/>
            <w:tcMar>
              <w:top w:w="80" w:type="dxa"/>
              <w:start w:w="120" w:type="dxa"/>
              <w:bottom w:w="80" w:type="dxa"/>
              <w:end w:w="120" w:type="dxa"/>
            </w:tcMar>
            <w:vAlign w:val="center"/>
          </w:tcPr>
          <w:p>
            <w:pPr>
              <w:spacing w:after="0"/>
            </w:pPr>
            <w:r>
              <w:rPr>
                <w:rFonts w:ascii="Calibri" w:hAnsi="Calibri"/>
                <w:b w:val="0"/>
                <w:i w:val="0"/>
                <w:color w:val="222222"/>
                <w:sz w:val="17"/>
              </w:rPr>
              <w:t>Offboarding coordination</w:t>
            </w:r>
          </w:p>
        </w:tc>
        <w:tc>
          <w:tcPr>
            <w:tcW w:type="dxa" w:w="2232"/>
            <w:tcMar>
              <w:top w:w="80" w:type="dxa"/>
              <w:start w:w="120" w:type="dxa"/>
              <w:bottom w:w="80" w:type="dxa"/>
              <w:end w:w="120" w:type="dxa"/>
            </w:tcMar>
            <w:vAlign w:val="center"/>
          </w:tcPr>
          <w:p>
            <w:pPr>
              <w:spacing w:after="0"/>
            </w:pPr>
            <w:r>
              <w:rPr>
                <w:rFonts w:ascii="Calibri" w:hAnsi="Calibri"/>
                <w:b w:val="0"/>
                <w:i w:val="0"/>
                <w:color w:val="222222"/>
                <w:sz w:val="17"/>
              </w:rPr>
              <w:t>Hamdan case and clearance</w:t>
            </w:r>
          </w:p>
        </w:tc>
        <w:tc>
          <w:tcPr>
            <w:tcW w:type="dxa" w:w="1800"/>
            <w:tcMar>
              <w:top w:w="80" w:type="dxa"/>
              <w:start w:w="120" w:type="dxa"/>
              <w:bottom w:w="80" w:type="dxa"/>
              <w:end w:w="120" w:type="dxa"/>
            </w:tcMar>
            <w:vAlign w:val="center"/>
          </w:tcPr>
          <w:p>
            <w:pPr>
              <w:spacing w:after="0"/>
            </w:pPr>
            <w:r>
              <w:rPr>
                <w:rFonts w:ascii="Calibri" w:hAnsi="Calibri"/>
                <w:b w:val="0"/>
                <w:i w:val="0"/>
                <w:color w:val="222222"/>
                <w:sz w:val="17"/>
              </w:rPr>
              <w:t>My Offboarding; clearance</w:t>
            </w:r>
          </w:p>
        </w:tc>
        <w:tc>
          <w:tcPr>
            <w:tcW w:type="dxa" w:w="1584"/>
            <w:tcMar>
              <w:top w:w="80" w:type="dxa"/>
              <w:start w:w="120" w:type="dxa"/>
              <w:bottom w:w="80" w:type="dxa"/>
              <w:end w:w="120" w:type="dxa"/>
            </w:tcMar>
            <w:vAlign w:val="center"/>
          </w:tcPr>
          <w:p>
            <w:pPr>
              <w:spacing w:after="0"/>
            </w:pPr>
            <w:r>
              <w:rPr>
                <w:rFonts w:ascii="Calibri" w:hAnsi="Calibri"/>
                <w:b w:val="0"/>
                <w:i w:val="0"/>
                <w:color w:val="222222"/>
                <w:sz w:val="17"/>
              </w:rPr>
              <w:t>Demonstrated</w:t>
            </w:r>
          </w:p>
        </w:tc>
        <w:tc>
          <w:tcPr>
            <w:tcW w:type="dxa" w:w="2016"/>
            <w:tcMar>
              <w:top w:w="80" w:type="dxa"/>
              <w:start w:w="120" w:type="dxa"/>
              <w:bottom w:w="80" w:type="dxa"/>
              <w:end w:w="120" w:type="dxa"/>
            </w:tcMar>
            <w:vAlign w:val="center"/>
          </w:tcPr>
          <w:p>
            <w:pPr>
              <w:spacing w:after="0"/>
            </w:pPr>
            <w:r>
              <w:rPr>
                <w:rFonts w:ascii="Calibri" w:hAnsi="Calibri"/>
                <w:b w:val="0"/>
                <w:i w:val="0"/>
                <w:color w:val="222222"/>
                <w:sz w:val="17"/>
              </w:rPr>
              <w:t>Identity/access integrations</w:t>
            </w:r>
          </w:p>
        </w:tc>
      </w:tr>
      <w:tr>
        <w:tc>
          <w:tcPr>
            <w:tcW w:type="dxa" w:w="1728"/>
            <w:tcMar>
              <w:top w:w="80" w:type="dxa"/>
              <w:start w:w="120" w:type="dxa"/>
              <w:bottom w:w="80" w:type="dxa"/>
              <w:end w:w="120" w:type="dxa"/>
            </w:tcMar>
            <w:vAlign w:val="center"/>
          </w:tcPr>
          <w:p>
            <w:pPr>
              <w:spacing w:after="0"/>
            </w:pPr>
            <w:r>
              <w:rPr>
                <w:rFonts w:ascii="Calibri" w:hAnsi="Calibri"/>
                <w:b w:val="0"/>
                <w:i w:val="0"/>
                <w:color w:val="222222"/>
                <w:sz w:val="17"/>
              </w:rPr>
              <w:t>Notifications</w:t>
            </w:r>
          </w:p>
        </w:tc>
        <w:tc>
          <w:tcPr>
            <w:tcW w:type="dxa" w:w="2232"/>
            <w:tcMar>
              <w:top w:w="80" w:type="dxa"/>
              <w:start w:w="120" w:type="dxa"/>
              <w:bottom w:w="80" w:type="dxa"/>
              <w:end w:w="120" w:type="dxa"/>
            </w:tcMar>
            <w:vAlign w:val="center"/>
          </w:tcPr>
          <w:p>
            <w:pPr>
              <w:spacing w:after="0"/>
            </w:pPr>
            <w:r>
              <w:rPr>
                <w:rFonts w:ascii="Calibri" w:hAnsi="Calibri"/>
                <w:b w:val="0"/>
                <w:i w:val="0"/>
                <w:color w:val="222222"/>
                <w:sz w:val="17"/>
              </w:rPr>
              <w:t>Mock Inbox plus optional SES tests</w:t>
            </w:r>
          </w:p>
        </w:tc>
        <w:tc>
          <w:tcPr>
            <w:tcW w:type="dxa" w:w="1800"/>
            <w:tcMar>
              <w:top w:w="80" w:type="dxa"/>
              <w:start w:w="120" w:type="dxa"/>
              <w:bottom w:w="80" w:type="dxa"/>
              <w:end w:w="120" w:type="dxa"/>
            </w:tcMar>
            <w:vAlign w:val="center"/>
          </w:tcPr>
          <w:p>
            <w:pPr>
              <w:spacing w:after="0"/>
            </w:pPr>
            <w:r>
              <w:rPr>
                <w:rFonts w:ascii="Calibri" w:hAnsi="Calibri"/>
                <w:b w:val="0"/>
                <w:i w:val="0"/>
                <w:color w:val="222222"/>
                <w:sz w:val="17"/>
              </w:rPr>
              <w:t>Inbox and Email Delivery</w:t>
            </w:r>
          </w:p>
        </w:tc>
        <w:tc>
          <w:tcPr>
            <w:tcW w:type="dxa" w:w="1584"/>
            <w:tcMar>
              <w:top w:w="80" w:type="dxa"/>
              <w:start w:w="120" w:type="dxa"/>
              <w:bottom w:w="80" w:type="dxa"/>
              <w:end w:w="120" w:type="dxa"/>
            </w:tcMar>
            <w:vAlign w:val="center"/>
          </w:tcPr>
          <w:p>
            <w:pPr>
              <w:spacing w:after="0"/>
            </w:pPr>
            <w:r>
              <w:rPr>
                <w:rFonts w:ascii="Calibri" w:hAnsi="Calibri"/>
                <w:b w:val="0"/>
                <w:i w:val="0"/>
                <w:color w:val="222222"/>
                <w:sz w:val="17"/>
              </w:rPr>
              <w:t>Partially Demonstrated</w:t>
            </w:r>
          </w:p>
        </w:tc>
        <w:tc>
          <w:tcPr>
            <w:tcW w:type="dxa" w:w="2016"/>
            <w:tcMar>
              <w:top w:w="80" w:type="dxa"/>
              <w:start w:w="120" w:type="dxa"/>
              <w:bottom w:w="80" w:type="dxa"/>
              <w:end w:w="120" w:type="dxa"/>
            </w:tcMar>
            <w:vAlign w:val="center"/>
          </w:tcPr>
          <w:p>
            <w:pPr>
              <w:spacing w:after="0"/>
            </w:pPr>
            <w:r>
              <w:rPr>
                <w:rFonts w:ascii="Calibri" w:hAnsi="Calibri"/>
                <w:b w:val="0"/>
                <w:i w:val="0"/>
                <w:color w:val="222222"/>
                <w:sz w:val="17"/>
              </w:rPr>
              <w:t>M365/Outlook integration</w:t>
            </w:r>
          </w:p>
        </w:tc>
      </w:tr>
      <w:tr>
        <w:tc>
          <w:tcPr>
            <w:tcW w:type="dxa" w:w="1728"/>
            <w:tcMar>
              <w:top w:w="80" w:type="dxa"/>
              <w:start w:w="120" w:type="dxa"/>
              <w:bottom w:w="80" w:type="dxa"/>
              <w:end w:w="120" w:type="dxa"/>
            </w:tcMar>
            <w:vAlign w:val="center"/>
          </w:tcPr>
          <w:p>
            <w:pPr>
              <w:spacing w:after="0"/>
            </w:pPr>
            <w:r>
              <w:rPr>
                <w:rFonts w:ascii="Calibri" w:hAnsi="Calibri"/>
                <w:b w:val="0"/>
                <w:i w:val="0"/>
                <w:color w:val="222222"/>
                <w:sz w:val="17"/>
              </w:rPr>
              <w:t>Automation</w:t>
            </w:r>
          </w:p>
        </w:tc>
        <w:tc>
          <w:tcPr>
            <w:tcW w:type="dxa" w:w="2232"/>
            <w:tcMar>
              <w:top w:w="80" w:type="dxa"/>
              <w:start w:w="120" w:type="dxa"/>
              <w:bottom w:w="80" w:type="dxa"/>
              <w:end w:w="120" w:type="dxa"/>
            </w:tcMar>
            <w:vAlign w:val="center"/>
          </w:tcPr>
          <w:p>
            <w:pPr>
              <w:spacing w:after="0"/>
            </w:pPr>
            <w:r>
              <w:rPr>
                <w:rFonts w:ascii="Calibri" w:hAnsi="Calibri"/>
                <w:b w:val="0"/>
                <w:i w:val="0"/>
                <w:color w:val="222222"/>
                <w:sz w:val="17"/>
              </w:rPr>
              <w:t>Simulation records workflow outcomes</w:t>
            </w:r>
          </w:p>
        </w:tc>
        <w:tc>
          <w:tcPr>
            <w:tcW w:type="dxa" w:w="1800"/>
            <w:tcMar>
              <w:top w:w="80" w:type="dxa"/>
              <w:start w:w="120" w:type="dxa"/>
              <w:bottom w:w="80" w:type="dxa"/>
              <w:end w:w="120" w:type="dxa"/>
            </w:tcMar>
            <w:vAlign w:val="center"/>
          </w:tcPr>
          <w:p>
            <w:pPr>
              <w:spacing w:after="0"/>
            </w:pPr>
            <w:r>
              <w:rPr>
                <w:rFonts w:ascii="Calibri" w:hAnsi="Calibri"/>
                <w:b w:val="0"/>
                <w:i w:val="0"/>
                <w:color w:val="222222"/>
                <w:sz w:val="17"/>
              </w:rPr>
              <w:t>Automation Simulation</w:t>
            </w:r>
          </w:p>
        </w:tc>
        <w:tc>
          <w:tcPr>
            <w:tcW w:type="dxa" w:w="1584"/>
            <w:tcMar>
              <w:top w:w="80" w:type="dxa"/>
              <w:start w:w="120" w:type="dxa"/>
              <w:bottom w:w="80" w:type="dxa"/>
              <w:end w:w="120" w:type="dxa"/>
            </w:tcMar>
            <w:vAlign w:val="center"/>
          </w:tcPr>
          <w:p>
            <w:pPr>
              <w:spacing w:after="0"/>
            </w:pPr>
            <w:r>
              <w:rPr>
                <w:rFonts w:ascii="Calibri" w:hAnsi="Calibri"/>
                <w:b w:val="0"/>
                <w:i w:val="0"/>
                <w:color w:val="222222"/>
                <w:sz w:val="17"/>
              </w:rPr>
              <w:t>Simulated</w:t>
            </w:r>
          </w:p>
        </w:tc>
        <w:tc>
          <w:tcPr>
            <w:tcW w:type="dxa" w:w="2016"/>
            <w:tcMar>
              <w:top w:w="80" w:type="dxa"/>
              <w:start w:w="120" w:type="dxa"/>
              <w:bottom w:w="80" w:type="dxa"/>
              <w:end w:w="120" w:type="dxa"/>
            </w:tcMar>
            <w:vAlign w:val="center"/>
          </w:tcPr>
          <w:p>
            <w:pPr>
              <w:spacing w:after="0"/>
            </w:pPr>
            <w:r>
              <w:rPr>
                <w:rFonts w:ascii="Calibri" w:hAnsi="Calibri"/>
                <w:b w:val="0"/>
                <w:i w:val="0"/>
                <w:color w:val="222222"/>
                <w:sz w:val="17"/>
              </w:rPr>
              <w:t>Power Automate</w:t>
            </w:r>
          </w:p>
        </w:tc>
      </w:tr>
      <w:tr>
        <w:tc>
          <w:tcPr>
            <w:tcW w:type="dxa" w:w="1728"/>
            <w:tcMar>
              <w:top w:w="80" w:type="dxa"/>
              <w:start w:w="120" w:type="dxa"/>
              <w:bottom w:w="80" w:type="dxa"/>
              <w:end w:w="120" w:type="dxa"/>
            </w:tcMar>
            <w:vAlign w:val="center"/>
          </w:tcPr>
          <w:p>
            <w:pPr>
              <w:spacing w:after="0"/>
            </w:pPr>
            <w:r>
              <w:rPr>
                <w:rFonts w:ascii="Calibri" w:hAnsi="Calibri"/>
                <w:b w:val="0"/>
                <w:i w:val="0"/>
                <w:color w:val="222222"/>
                <w:sz w:val="17"/>
              </w:rPr>
              <w:t>Workday integration</w:t>
            </w:r>
          </w:p>
        </w:tc>
        <w:tc>
          <w:tcPr>
            <w:tcW w:type="dxa" w:w="2232"/>
            <w:tcMar>
              <w:top w:w="80" w:type="dxa"/>
              <w:start w:w="120" w:type="dxa"/>
              <w:bottom w:w="80" w:type="dxa"/>
              <w:end w:w="120" w:type="dxa"/>
            </w:tcMar>
            <w:vAlign w:val="center"/>
          </w:tcPr>
          <w:p>
            <w:pPr>
              <w:spacing w:after="0"/>
            </w:pPr>
            <w:r>
              <w:rPr>
                <w:rFonts w:ascii="Calibri" w:hAnsi="Calibri"/>
                <w:b w:val="0"/>
                <w:i w:val="0"/>
                <w:color w:val="222222"/>
                <w:sz w:val="17"/>
              </w:rPr>
              <w:t>Workday mock presents lifecycle data</w:t>
            </w:r>
          </w:p>
        </w:tc>
        <w:tc>
          <w:tcPr>
            <w:tcW w:type="dxa" w:w="1800"/>
            <w:tcMar>
              <w:top w:w="80" w:type="dxa"/>
              <w:start w:w="120" w:type="dxa"/>
              <w:bottom w:w="80" w:type="dxa"/>
              <w:end w:w="120" w:type="dxa"/>
            </w:tcMar>
            <w:vAlign w:val="center"/>
          </w:tcPr>
          <w:p>
            <w:pPr>
              <w:spacing w:after="0"/>
            </w:pPr>
            <w:r>
              <w:rPr>
                <w:rFonts w:ascii="Calibri" w:hAnsi="Calibri"/>
                <w:b w:val="0"/>
                <w:i w:val="0"/>
                <w:color w:val="222222"/>
                <w:sz w:val="17"/>
              </w:rPr>
              <w:t>Five synthetic records</w:t>
            </w:r>
          </w:p>
        </w:tc>
        <w:tc>
          <w:tcPr>
            <w:tcW w:type="dxa" w:w="1584"/>
            <w:tcMar>
              <w:top w:w="80" w:type="dxa"/>
              <w:start w:w="120" w:type="dxa"/>
              <w:bottom w:w="80" w:type="dxa"/>
              <w:end w:w="120" w:type="dxa"/>
            </w:tcMar>
            <w:vAlign w:val="center"/>
          </w:tcPr>
          <w:p>
            <w:pPr>
              <w:spacing w:after="0"/>
            </w:pPr>
            <w:r>
              <w:rPr>
                <w:rFonts w:ascii="Calibri" w:hAnsi="Calibri"/>
                <w:b w:val="0"/>
                <w:i w:val="0"/>
                <w:color w:val="222222"/>
                <w:sz w:val="17"/>
              </w:rPr>
              <w:t>Future Production Integration</w:t>
            </w:r>
          </w:p>
        </w:tc>
        <w:tc>
          <w:tcPr>
            <w:tcW w:type="dxa" w:w="2016"/>
            <w:tcMar>
              <w:top w:w="80" w:type="dxa"/>
              <w:start w:w="120" w:type="dxa"/>
              <w:bottom w:w="80" w:type="dxa"/>
              <w:end w:w="120" w:type="dxa"/>
            </w:tcMar>
            <w:vAlign w:val="center"/>
          </w:tcPr>
          <w:p>
            <w:pPr>
              <w:spacing w:after="0"/>
            </w:pPr>
            <w:r>
              <w:rPr>
                <w:rFonts w:ascii="Calibri" w:hAnsi="Calibri"/>
                <w:b w:val="0"/>
                <w:i w:val="0"/>
                <w:color w:val="222222"/>
                <w:sz w:val="17"/>
              </w:rPr>
              <w:t>Approved Workday APIs</w:t>
            </w:r>
          </w:p>
        </w:tc>
      </w:tr>
      <w:tr>
        <w:tc>
          <w:tcPr>
            <w:tcW w:type="dxa" w:w="1728"/>
            <w:tcMar>
              <w:top w:w="80" w:type="dxa"/>
              <w:start w:w="120" w:type="dxa"/>
              <w:bottom w:w="80" w:type="dxa"/>
              <w:end w:w="120" w:type="dxa"/>
            </w:tcMar>
            <w:vAlign w:val="center"/>
          </w:tcPr>
          <w:p>
            <w:pPr>
              <w:spacing w:after="0"/>
            </w:pPr>
            <w:r>
              <w:rPr>
                <w:rFonts w:ascii="Calibri" w:hAnsi="Calibri"/>
                <w:b w:val="0"/>
                <w:i w:val="0"/>
                <w:color w:val="222222"/>
                <w:sz w:val="17"/>
              </w:rPr>
              <w:t>Reporting/audit</w:t>
            </w:r>
          </w:p>
        </w:tc>
        <w:tc>
          <w:tcPr>
            <w:tcW w:type="dxa" w:w="2232"/>
            <w:tcMar>
              <w:top w:w="80" w:type="dxa"/>
              <w:start w:w="120" w:type="dxa"/>
              <w:bottom w:w="80" w:type="dxa"/>
              <w:end w:w="120" w:type="dxa"/>
            </w:tcMar>
            <w:vAlign w:val="center"/>
          </w:tcPr>
          <w:p>
            <w:pPr>
              <w:spacing w:after="0"/>
            </w:pPr>
            <w:r>
              <w:rPr>
                <w:rFonts w:ascii="Calibri" w:hAnsi="Calibri"/>
                <w:b w:val="0"/>
                <w:i w:val="0"/>
                <w:color w:val="222222"/>
                <w:sz w:val="17"/>
              </w:rPr>
              <w:t>Prototype reports and activity</w:t>
            </w:r>
          </w:p>
        </w:tc>
        <w:tc>
          <w:tcPr>
            <w:tcW w:type="dxa" w:w="1800"/>
            <w:tcMar>
              <w:top w:w="80" w:type="dxa"/>
              <w:start w:w="120" w:type="dxa"/>
              <w:bottom w:w="80" w:type="dxa"/>
              <w:end w:w="120" w:type="dxa"/>
            </w:tcMar>
            <w:vAlign w:val="center"/>
          </w:tcPr>
          <w:p>
            <w:pPr>
              <w:spacing w:after="0"/>
            </w:pPr>
            <w:r>
              <w:rPr>
                <w:rFonts w:ascii="Calibri" w:hAnsi="Calibri"/>
                <w:b w:val="0"/>
                <w:i w:val="0"/>
                <w:color w:val="222222"/>
                <w:sz w:val="17"/>
              </w:rPr>
              <w:t>Reports; case activity</w:t>
            </w:r>
          </w:p>
        </w:tc>
        <w:tc>
          <w:tcPr>
            <w:tcW w:type="dxa" w:w="1584"/>
            <w:tcMar>
              <w:top w:w="80" w:type="dxa"/>
              <w:start w:w="120" w:type="dxa"/>
              <w:bottom w:w="80" w:type="dxa"/>
              <w:end w:w="120" w:type="dxa"/>
            </w:tcMar>
            <w:vAlign w:val="center"/>
          </w:tcPr>
          <w:p>
            <w:pPr>
              <w:spacing w:after="0"/>
            </w:pPr>
            <w:r>
              <w:rPr>
                <w:rFonts w:ascii="Calibri" w:hAnsi="Calibri"/>
                <w:b w:val="0"/>
                <w:i w:val="0"/>
                <w:color w:val="222222"/>
                <w:sz w:val="17"/>
              </w:rPr>
              <w:t>Partially Demonstrated</w:t>
            </w:r>
          </w:p>
        </w:tc>
        <w:tc>
          <w:tcPr>
            <w:tcW w:type="dxa" w:w="2016"/>
            <w:tcMar>
              <w:top w:w="80" w:type="dxa"/>
              <w:start w:w="120" w:type="dxa"/>
              <w:bottom w:w="80" w:type="dxa"/>
              <w:end w:w="120" w:type="dxa"/>
            </w:tcMar>
            <w:vAlign w:val="center"/>
          </w:tcPr>
          <w:p>
            <w:pPr>
              <w:spacing w:after="0"/>
            </w:pPr>
            <w:r>
              <w:rPr>
                <w:rFonts w:ascii="Calibri" w:hAnsi="Calibri"/>
                <w:b w:val="0"/>
                <w:i w:val="0"/>
                <w:color w:val="222222"/>
                <w:sz w:val="17"/>
              </w:rPr>
              <w:t>Power BI, immutable audit controls</w:t>
            </w:r>
          </w:p>
        </w:tc>
      </w:tr>
    </w:tbl>
    <w:p>
      <w:pPr>
        <w:spacing w:after="40" w:line="264" w:lineRule="auto"/>
      </w:pPr>
      <w:r>
        <w:rPr>
          <w:rFonts w:ascii="Calibri" w:hAnsi="Calibri"/>
          <w:b w:val="0"/>
          <w:i w:val="0"/>
          <w:color w:val="000000"/>
          <w:sz w:val="22"/>
        </w:rPr>
      </w:r>
    </w:p>
    <w:tbl>
      <w:tblPr>
        <w:tblStyle w:val="TableGrid"/>
        <w:tblW w:type="auto" w:w="0"/>
        <w:jc w:val="center"/>
        <w:tblLook w:firstColumn="1" w:firstRow="1" w:lastColumn="0" w:lastRow="0" w:noHBand="0" w:noVBand="1" w:val="04A0"/>
      </w:tblPr>
      <w:tblGrid>
        <w:gridCol w:w="9648"/>
      </w:tblGrid>
      <w:tr>
        <w:tc>
          <w:tcPr>
            <w:tcW w:type="dxa" w:w="9648"/>
            <w:shd w:fill="E8EEF5"/>
            <w:tcMar>
              <w:top w:w="120" w:type="dxa"/>
              <w:start w:w="180" w:type="dxa"/>
              <w:bottom w:w="120" w:type="dxa"/>
              <w:end w:w="180" w:type="dxa"/>
            </w:tcMar>
          </w:tcPr>
          <w:p>
            <w:pPr>
              <w:spacing w:after="40"/>
            </w:pPr>
            <w:r>
              <w:rPr>
                <w:rFonts w:ascii="Calibri" w:hAnsi="Calibri"/>
                <w:b/>
                <w:i w:val="0"/>
                <w:color w:val="2E74B5"/>
                <w:sz w:val="18"/>
              </w:rPr>
              <w:t xml:space="preserve">ASSESSMENT  </w:t>
            </w:r>
            <w:r>
              <w:rPr>
                <w:rFonts w:ascii="Calibri" w:hAnsi="Calibri"/>
                <w:b w:val="0"/>
                <w:i w:val="0"/>
                <w:color w:val="0B2545"/>
                <w:sz w:val="20"/>
              </w:rPr>
              <w:t>Does OneFlow solve the challenge? Yes at prototype level: it demonstrates and validates the end-to-end orchestration approach. It deliberately does not claim production readiness.</w:t>
            </w:r>
          </w:p>
        </w:tc>
      </w:tr>
    </w:tbl>
    <w:p>
      <w:pPr>
        <w:spacing w:after="80" w:line="264" w:lineRule="auto"/>
      </w:pPr>
      <w:r>
        <w:rPr>
          <w:rFonts w:ascii="Calibri" w:hAnsi="Calibri"/>
          <w:b w:val="0"/>
          <w:i w:val="0"/>
          <w:color w:val="000000"/>
          <w:sz w:val="22"/>
        </w:rPr>
      </w:r>
    </w:p>
    <w:p>
      <w:r>
        <w:br w:type="page"/>
      </w:r>
    </w:p>
    <w:p>
      <w:pPr>
        <w:pStyle w:val="Heading1"/>
        <w:keepNext/>
      </w:pPr>
      <w:r>
        <w:t>Business benefits</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1512"/>
            <w:shd w:fill="E8EEF5"/>
            <w:tcMar>
              <w:top w:w="80" w:type="dxa"/>
              <w:start w:w="120" w:type="dxa"/>
              <w:bottom w:w="80" w:type="dxa"/>
              <w:end w:w="120" w:type="dxa"/>
            </w:tcMar>
            <w:vAlign w:val="center"/>
          </w:tcPr>
          <w:p>
            <w:pPr>
              <w:spacing w:after="0"/>
            </w:pPr>
            <w:r>
              <w:rPr>
                <w:rFonts w:ascii="Calibri" w:hAnsi="Calibri"/>
                <w:b/>
                <w:i w:val="0"/>
                <w:color w:val="0B2545"/>
                <w:sz w:val="18"/>
              </w:rPr>
              <w:t>Benefit</w:t>
            </w:r>
          </w:p>
        </w:tc>
        <w:tc>
          <w:tcPr>
            <w:tcW w:type="dxa" w:w="3672"/>
            <w:shd w:fill="E8EEF5"/>
            <w:tcMar>
              <w:top w:w="80" w:type="dxa"/>
              <w:start w:w="120" w:type="dxa"/>
              <w:bottom w:w="80" w:type="dxa"/>
              <w:end w:w="120" w:type="dxa"/>
            </w:tcMar>
            <w:vAlign w:val="center"/>
          </w:tcPr>
          <w:p>
            <w:pPr>
              <w:spacing w:after="0"/>
            </w:pPr>
            <w:r>
              <w:rPr>
                <w:rFonts w:ascii="Calibri" w:hAnsi="Calibri"/>
                <w:b/>
                <w:i w:val="0"/>
                <w:color w:val="0B2545"/>
                <w:sz w:val="18"/>
              </w:rPr>
              <w:t>Traditional situation</w:t>
            </w:r>
          </w:p>
        </w:tc>
        <w:tc>
          <w:tcPr>
            <w:tcW w:type="dxa" w:w="4104"/>
            <w:shd w:fill="E8EEF5"/>
            <w:tcMar>
              <w:top w:w="80" w:type="dxa"/>
              <w:start w:w="120" w:type="dxa"/>
              <w:bottom w:w="80" w:type="dxa"/>
              <w:end w:w="120" w:type="dxa"/>
            </w:tcMar>
            <w:vAlign w:val="center"/>
          </w:tcPr>
          <w:p>
            <w:pPr>
              <w:spacing w:after="0"/>
            </w:pPr>
            <w:r>
              <w:rPr>
                <w:rFonts w:ascii="Calibri" w:hAnsi="Calibri"/>
                <w:b/>
                <w:i w:val="0"/>
                <w:color w:val="0B2545"/>
                <w:sz w:val="18"/>
              </w:rPr>
              <w:t>OneFlow improvement</w:t>
            </w:r>
          </w:p>
        </w:tc>
      </w:tr>
      <w:tr>
        <w:tc>
          <w:tcPr>
            <w:tcW w:type="dxa" w:w="1512"/>
            <w:tcMar>
              <w:top w:w="80" w:type="dxa"/>
              <w:start w:w="120" w:type="dxa"/>
              <w:bottom w:w="80" w:type="dxa"/>
              <w:end w:w="120" w:type="dxa"/>
            </w:tcMar>
            <w:vAlign w:val="center"/>
          </w:tcPr>
          <w:p>
            <w:pPr>
              <w:spacing w:after="0"/>
            </w:pPr>
            <w:r>
              <w:rPr>
                <w:rFonts w:ascii="Calibri" w:hAnsi="Calibri"/>
                <w:b w:val="0"/>
                <w:i w:val="0"/>
                <w:color w:val="222222"/>
                <w:sz w:val="17"/>
              </w:rPr>
              <w:t>HR</w:t>
            </w:r>
          </w:p>
        </w:tc>
        <w:tc>
          <w:tcPr>
            <w:tcW w:type="dxa" w:w="3672"/>
            <w:tcMar>
              <w:top w:w="80" w:type="dxa"/>
              <w:start w:w="120" w:type="dxa"/>
              <w:bottom w:w="80" w:type="dxa"/>
              <w:end w:w="120" w:type="dxa"/>
            </w:tcMar>
            <w:vAlign w:val="center"/>
          </w:tcPr>
          <w:p>
            <w:pPr>
              <w:spacing w:after="0"/>
            </w:pPr>
            <w:r>
              <w:rPr>
                <w:rFonts w:ascii="Calibri" w:hAnsi="Calibri"/>
                <w:b w:val="0"/>
                <w:i w:val="0"/>
                <w:color w:val="222222"/>
                <w:sz w:val="17"/>
              </w:rPr>
              <w:t>Manual status chasing and fragmented visibility.</w:t>
            </w:r>
          </w:p>
        </w:tc>
        <w:tc>
          <w:tcPr>
            <w:tcW w:type="dxa" w:w="4104"/>
            <w:tcMar>
              <w:top w:w="80" w:type="dxa"/>
              <w:start w:w="120" w:type="dxa"/>
              <w:bottom w:w="80" w:type="dxa"/>
              <w:end w:w="120" w:type="dxa"/>
            </w:tcMar>
            <w:vAlign w:val="center"/>
          </w:tcPr>
          <w:p>
            <w:pPr>
              <w:spacing w:after="0"/>
            </w:pPr>
            <w:r>
              <w:rPr>
                <w:rFonts w:ascii="Calibri" w:hAnsi="Calibri"/>
                <w:b w:val="0"/>
                <w:i w:val="0"/>
                <w:color w:val="222222"/>
                <w:sz w:val="17"/>
              </w:rPr>
              <w:t>One lifecycle view, clearer ownership and escalation.</w:t>
            </w:r>
          </w:p>
        </w:tc>
      </w:tr>
      <w:tr>
        <w:tc>
          <w:tcPr>
            <w:tcW w:type="dxa" w:w="1512"/>
            <w:tcMar>
              <w:top w:w="80" w:type="dxa"/>
              <w:start w:w="120" w:type="dxa"/>
              <w:bottom w:w="80" w:type="dxa"/>
              <w:end w:w="120" w:type="dxa"/>
            </w:tcMar>
            <w:vAlign w:val="center"/>
          </w:tcPr>
          <w:p>
            <w:pPr>
              <w:spacing w:after="0"/>
            </w:pPr>
            <w:r>
              <w:rPr>
                <w:rFonts w:ascii="Calibri" w:hAnsi="Calibri"/>
                <w:b w:val="0"/>
                <w:i w:val="0"/>
                <w:color w:val="222222"/>
                <w:sz w:val="17"/>
              </w:rPr>
              <w:t>IT</w:t>
            </w:r>
          </w:p>
        </w:tc>
        <w:tc>
          <w:tcPr>
            <w:tcW w:type="dxa" w:w="3672"/>
            <w:tcMar>
              <w:top w:w="80" w:type="dxa"/>
              <w:start w:w="120" w:type="dxa"/>
              <w:bottom w:w="80" w:type="dxa"/>
              <w:end w:w="120" w:type="dxa"/>
            </w:tcMar>
            <w:vAlign w:val="center"/>
          </w:tcPr>
          <w:p>
            <w:pPr>
              <w:spacing w:after="0"/>
            </w:pPr>
            <w:r>
              <w:rPr>
                <w:rFonts w:ascii="Calibri" w:hAnsi="Calibri"/>
                <w:b w:val="0"/>
                <w:i w:val="0"/>
                <w:color w:val="222222"/>
                <w:sz w:val="17"/>
              </w:rPr>
              <w:t>Late visibility of provisioning and exit actions.</w:t>
            </w:r>
          </w:p>
        </w:tc>
        <w:tc>
          <w:tcPr>
            <w:tcW w:type="dxa" w:w="4104"/>
            <w:tcMar>
              <w:top w:w="80" w:type="dxa"/>
              <w:start w:w="120" w:type="dxa"/>
              <w:bottom w:w="80" w:type="dxa"/>
              <w:end w:w="120" w:type="dxa"/>
            </w:tcMar>
            <w:vAlign w:val="center"/>
          </w:tcPr>
          <w:p>
            <w:pPr>
              <w:spacing w:after="0"/>
            </w:pPr>
            <w:r>
              <w:rPr>
                <w:rFonts w:ascii="Calibri" w:hAnsi="Calibri"/>
                <w:b w:val="0"/>
                <w:i w:val="0"/>
                <w:color w:val="222222"/>
                <w:sz w:val="17"/>
              </w:rPr>
              <w:t>Earlier role-specific queues and controlled exit tracking.</w:t>
            </w:r>
          </w:p>
        </w:tc>
      </w:tr>
      <w:tr>
        <w:tc>
          <w:tcPr>
            <w:tcW w:type="dxa" w:w="1512"/>
            <w:tcMar>
              <w:top w:w="80" w:type="dxa"/>
              <w:start w:w="120" w:type="dxa"/>
              <w:bottom w:w="80" w:type="dxa"/>
              <w:end w:w="120" w:type="dxa"/>
            </w:tcMar>
            <w:vAlign w:val="center"/>
          </w:tcPr>
          <w:p>
            <w:pPr>
              <w:spacing w:after="0"/>
            </w:pPr>
            <w:r>
              <w:rPr>
                <w:rFonts w:ascii="Calibri" w:hAnsi="Calibri"/>
                <w:b w:val="0"/>
                <w:i w:val="0"/>
                <w:color w:val="222222"/>
                <w:sz w:val="17"/>
              </w:rPr>
              <w:t>Hiring managers</w:t>
            </w:r>
          </w:p>
        </w:tc>
        <w:tc>
          <w:tcPr>
            <w:tcW w:type="dxa" w:w="3672"/>
            <w:tcMar>
              <w:top w:w="80" w:type="dxa"/>
              <w:start w:w="120" w:type="dxa"/>
              <w:bottom w:w="80" w:type="dxa"/>
              <w:end w:w="120" w:type="dxa"/>
            </w:tcMar>
            <w:vAlign w:val="center"/>
          </w:tcPr>
          <w:p>
            <w:pPr>
              <w:spacing w:after="0"/>
            </w:pPr>
            <w:r>
              <w:rPr>
                <w:rFonts w:ascii="Calibri" w:hAnsi="Calibri"/>
                <w:b w:val="0"/>
                <w:i w:val="0"/>
                <w:color w:val="222222"/>
                <w:sz w:val="17"/>
              </w:rPr>
              <w:t>Limited readiness insight.</w:t>
            </w:r>
          </w:p>
        </w:tc>
        <w:tc>
          <w:tcPr>
            <w:tcW w:type="dxa" w:w="4104"/>
            <w:tcMar>
              <w:top w:w="80" w:type="dxa"/>
              <w:start w:w="120" w:type="dxa"/>
              <w:bottom w:w="80" w:type="dxa"/>
              <w:end w:w="120" w:type="dxa"/>
            </w:tcMar>
            <w:vAlign w:val="center"/>
          </w:tcPr>
          <w:p>
            <w:pPr>
              <w:spacing w:after="0"/>
            </w:pPr>
            <w:r>
              <w:rPr>
                <w:rFonts w:ascii="Calibri" w:hAnsi="Calibri"/>
                <w:b w:val="0"/>
                <w:i w:val="0"/>
                <w:color w:val="222222"/>
                <w:sz w:val="17"/>
              </w:rPr>
              <w:t>Visible employee progress and transition actions.</w:t>
            </w:r>
          </w:p>
        </w:tc>
      </w:tr>
      <w:tr>
        <w:tc>
          <w:tcPr>
            <w:tcW w:type="dxa" w:w="1512"/>
            <w:tcMar>
              <w:top w:w="80" w:type="dxa"/>
              <w:start w:w="120" w:type="dxa"/>
              <w:bottom w:w="80" w:type="dxa"/>
              <w:end w:w="120" w:type="dxa"/>
            </w:tcMar>
            <w:vAlign w:val="center"/>
          </w:tcPr>
          <w:p>
            <w:pPr>
              <w:spacing w:after="0"/>
            </w:pPr>
            <w:r>
              <w:rPr>
                <w:rFonts w:ascii="Calibri" w:hAnsi="Calibri"/>
                <w:b w:val="0"/>
                <w:i w:val="0"/>
                <w:color w:val="222222"/>
                <w:sz w:val="17"/>
              </w:rPr>
              <w:t>Employees</w:t>
            </w:r>
          </w:p>
        </w:tc>
        <w:tc>
          <w:tcPr>
            <w:tcW w:type="dxa" w:w="3672"/>
            <w:tcMar>
              <w:top w:w="80" w:type="dxa"/>
              <w:start w:w="120" w:type="dxa"/>
              <w:bottom w:w="80" w:type="dxa"/>
              <w:end w:w="120" w:type="dxa"/>
            </w:tcMar>
            <w:vAlign w:val="center"/>
          </w:tcPr>
          <w:p>
            <w:pPr>
              <w:spacing w:after="0"/>
            </w:pPr>
            <w:r>
              <w:rPr>
                <w:rFonts w:ascii="Calibri" w:hAnsi="Calibri"/>
                <w:b w:val="0"/>
                <w:i w:val="0"/>
                <w:color w:val="222222"/>
                <w:sz w:val="17"/>
              </w:rPr>
              <w:t>Tasks, forms and messages are scattered.</w:t>
            </w:r>
          </w:p>
        </w:tc>
        <w:tc>
          <w:tcPr>
            <w:tcW w:type="dxa" w:w="4104"/>
            <w:tcMar>
              <w:top w:w="80" w:type="dxa"/>
              <w:start w:w="120" w:type="dxa"/>
              <w:bottom w:w="80" w:type="dxa"/>
              <w:end w:w="120" w:type="dxa"/>
            </w:tcMar>
            <w:vAlign w:val="center"/>
          </w:tcPr>
          <w:p>
            <w:pPr>
              <w:spacing w:after="0"/>
            </w:pPr>
            <w:r>
              <w:rPr>
                <w:rFonts w:ascii="Calibri" w:hAnsi="Calibri"/>
                <w:b w:val="0"/>
                <w:i w:val="0"/>
                <w:color w:val="222222"/>
                <w:sz w:val="17"/>
              </w:rPr>
              <w:t>A personal journey workspace and next action.</w:t>
            </w:r>
          </w:p>
        </w:tc>
      </w:tr>
      <w:tr>
        <w:tc>
          <w:tcPr>
            <w:tcW w:type="dxa" w:w="1512"/>
            <w:tcMar>
              <w:top w:w="80" w:type="dxa"/>
              <w:start w:w="120" w:type="dxa"/>
              <w:bottom w:w="80" w:type="dxa"/>
              <w:end w:w="120" w:type="dxa"/>
            </w:tcMar>
            <w:vAlign w:val="center"/>
          </w:tcPr>
          <w:p>
            <w:pPr>
              <w:spacing w:after="0"/>
            </w:pPr>
            <w:r>
              <w:rPr>
                <w:rFonts w:ascii="Calibri" w:hAnsi="Calibri"/>
                <w:b w:val="0"/>
                <w:i w:val="0"/>
                <w:color w:val="222222"/>
                <w:sz w:val="17"/>
              </w:rPr>
              <w:t>Management</w:t>
            </w:r>
          </w:p>
        </w:tc>
        <w:tc>
          <w:tcPr>
            <w:tcW w:type="dxa" w:w="3672"/>
            <w:tcMar>
              <w:top w:w="80" w:type="dxa"/>
              <w:start w:w="120" w:type="dxa"/>
              <w:bottom w:w="80" w:type="dxa"/>
              <w:end w:w="120" w:type="dxa"/>
            </w:tcMar>
            <w:vAlign w:val="center"/>
          </w:tcPr>
          <w:p>
            <w:pPr>
              <w:spacing w:after="0"/>
            </w:pPr>
            <w:r>
              <w:rPr>
                <w:rFonts w:ascii="Calibri" w:hAnsi="Calibri"/>
                <w:b w:val="0"/>
                <w:i w:val="0"/>
                <w:color w:val="222222"/>
                <w:sz w:val="17"/>
              </w:rPr>
              <w:t>Bottlenecks are hard to see.</w:t>
            </w:r>
          </w:p>
        </w:tc>
        <w:tc>
          <w:tcPr>
            <w:tcW w:type="dxa" w:w="4104"/>
            <w:tcMar>
              <w:top w:w="80" w:type="dxa"/>
              <w:start w:w="120" w:type="dxa"/>
              <w:bottom w:w="80" w:type="dxa"/>
              <w:end w:w="120" w:type="dxa"/>
            </w:tcMar>
            <w:vAlign w:val="center"/>
          </w:tcPr>
          <w:p>
            <w:pPr>
              <w:spacing w:after="0"/>
            </w:pPr>
            <w:r>
              <w:rPr>
                <w:rFonts w:ascii="Calibri" w:hAnsi="Calibri"/>
                <w:b w:val="0"/>
                <w:i w:val="0"/>
                <w:color w:val="222222"/>
                <w:sz w:val="17"/>
              </w:rPr>
              <w:t>Readiness, clearance and potential SLA indicators.</w:t>
            </w:r>
          </w:p>
        </w:tc>
      </w:tr>
      <w:tr>
        <w:tc>
          <w:tcPr>
            <w:tcW w:type="dxa" w:w="1512"/>
            <w:tcMar>
              <w:top w:w="80" w:type="dxa"/>
              <w:start w:w="120" w:type="dxa"/>
              <w:bottom w:w="80" w:type="dxa"/>
              <w:end w:w="120" w:type="dxa"/>
            </w:tcMar>
            <w:vAlign w:val="center"/>
          </w:tcPr>
          <w:p>
            <w:pPr>
              <w:spacing w:after="0"/>
            </w:pPr>
            <w:r>
              <w:rPr>
                <w:rFonts w:ascii="Calibri" w:hAnsi="Calibri"/>
                <w:b w:val="0"/>
                <w:i w:val="0"/>
                <w:color w:val="222222"/>
                <w:sz w:val="17"/>
              </w:rPr>
              <w:t>Organisation</w:t>
            </w:r>
          </w:p>
        </w:tc>
        <w:tc>
          <w:tcPr>
            <w:tcW w:type="dxa" w:w="3672"/>
            <w:tcMar>
              <w:top w:w="80" w:type="dxa"/>
              <w:start w:w="120" w:type="dxa"/>
              <w:bottom w:w="80" w:type="dxa"/>
              <w:end w:w="120" w:type="dxa"/>
            </w:tcMar>
            <w:vAlign w:val="center"/>
          </w:tcPr>
          <w:p>
            <w:pPr>
              <w:spacing w:after="0"/>
            </w:pPr>
            <w:r>
              <w:rPr>
                <w:rFonts w:ascii="Calibri" w:hAnsi="Calibri"/>
                <w:b w:val="0"/>
                <w:i w:val="0"/>
                <w:color w:val="222222"/>
                <w:sz w:val="17"/>
              </w:rPr>
              <w:t>Variable process execution.</w:t>
            </w:r>
          </w:p>
        </w:tc>
        <w:tc>
          <w:tcPr>
            <w:tcW w:type="dxa" w:w="4104"/>
            <w:tcMar>
              <w:top w:w="80" w:type="dxa"/>
              <w:start w:w="120" w:type="dxa"/>
              <w:bottom w:w="80" w:type="dxa"/>
              <w:end w:w="120" w:type="dxa"/>
            </w:tcMar>
            <w:vAlign w:val="center"/>
          </w:tcPr>
          <w:p>
            <w:pPr>
              <w:spacing w:after="0"/>
            </w:pPr>
            <w:r>
              <w:rPr>
                <w:rFonts w:ascii="Calibri" w:hAnsi="Calibri"/>
                <w:b w:val="0"/>
                <w:i w:val="0"/>
                <w:color w:val="222222"/>
                <w:sz w:val="17"/>
              </w:rPr>
              <w:t>Standardised workflow, traceability and automation potential.</w:t>
            </w:r>
          </w:p>
        </w:tc>
      </w:tr>
    </w:tbl>
    <w:p>
      <w:pPr>
        <w:spacing w:after="40" w:line="264" w:lineRule="auto"/>
      </w:pPr>
      <w:r>
        <w:rPr>
          <w:rFonts w:ascii="Calibri" w:hAnsi="Calibri"/>
          <w:b w:val="0"/>
          <w:i w:val="0"/>
          <w:color w:val="000000"/>
          <w:sz w:val="22"/>
        </w:rPr>
      </w:r>
    </w:p>
    <w:p>
      <w:pPr>
        <w:spacing w:after="120" w:line="264" w:lineRule="auto"/>
      </w:pPr>
      <w:r>
        <w:rPr>
          <w:rFonts w:ascii="Calibri" w:hAnsi="Calibri"/>
          <w:b w:val="0"/>
          <w:i w:val="0"/>
          <w:color w:val="000000"/>
          <w:sz w:val="22"/>
        </w:rPr>
        <w:t>No financial savings are claimed in this prototype. Value should be tested through operational KPIs rather than assumed salary savings.</w:t>
      </w:r>
    </w:p>
    <w:p>
      <w:r>
        <w:br w:type="page"/>
      </w:r>
    </w:p>
    <w:p>
      <w:pPr>
        <w:pStyle w:val="Heading1"/>
        <w:keepNext/>
      </w:pPr>
      <w:r>
        <w:t>Who uses OneFlow?</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1944"/>
            <w:shd w:fill="E8EEF5"/>
            <w:tcMar>
              <w:top w:w="80" w:type="dxa"/>
              <w:start w:w="120" w:type="dxa"/>
              <w:bottom w:w="80" w:type="dxa"/>
              <w:end w:w="120" w:type="dxa"/>
            </w:tcMar>
            <w:vAlign w:val="center"/>
          </w:tcPr>
          <w:p>
            <w:pPr>
              <w:spacing w:after="0"/>
            </w:pPr>
            <w:r>
              <w:rPr>
                <w:rFonts w:ascii="Calibri" w:hAnsi="Calibri"/>
                <w:b/>
                <w:i w:val="0"/>
                <w:color w:val="0B2545"/>
                <w:sz w:val="18"/>
              </w:rPr>
              <w:t>Persona</w:t>
            </w:r>
          </w:p>
        </w:tc>
        <w:tc>
          <w:tcPr>
            <w:tcW w:type="dxa" w:w="4896"/>
            <w:shd w:fill="E8EEF5"/>
            <w:tcMar>
              <w:top w:w="80" w:type="dxa"/>
              <w:start w:w="120" w:type="dxa"/>
              <w:bottom w:w="80" w:type="dxa"/>
              <w:end w:w="120" w:type="dxa"/>
            </w:tcMar>
            <w:vAlign w:val="center"/>
          </w:tcPr>
          <w:p>
            <w:pPr>
              <w:spacing w:after="0"/>
            </w:pPr>
            <w:r>
              <w:rPr>
                <w:rFonts w:ascii="Calibri" w:hAnsi="Calibri"/>
                <w:b/>
                <w:i w:val="0"/>
                <w:color w:val="0B2545"/>
                <w:sz w:val="18"/>
              </w:rPr>
              <w:t>What they see and do</w:t>
            </w:r>
          </w:p>
        </w:tc>
        <w:tc>
          <w:tcPr>
            <w:tcW w:type="dxa" w:w="2448"/>
            <w:shd w:fill="E8EEF5"/>
            <w:tcMar>
              <w:top w:w="80" w:type="dxa"/>
              <w:start w:w="120" w:type="dxa"/>
              <w:bottom w:w="80" w:type="dxa"/>
              <w:end w:w="120" w:type="dxa"/>
            </w:tcMar>
            <w:vAlign w:val="center"/>
          </w:tcPr>
          <w:p>
            <w:pPr>
              <w:spacing w:after="0"/>
            </w:pPr>
            <w:r>
              <w:rPr>
                <w:rFonts w:ascii="Calibri" w:hAnsi="Calibri"/>
                <w:b/>
                <w:i w:val="0"/>
                <w:color w:val="0B2545"/>
                <w:sz w:val="18"/>
              </w:rPr>
              <w:t>Why it matters</w:t>
            </w:r>
          </w:p>
        </w:tc>
      </w:tr>
      <w:tr>
        <w:tc>
          <w:tcPr>
            <w:tcW w:type="dxa" w:w="1944"/>
            <w:tcMar>
              <w:top w:w="80" w:type="dxa"/>
              <w:start w:w="120" w:type="dxa"/>
              <w:bottom w:w="80" w:type="dxa"/>
              <w:end w:w="120" w:type="dxa"/>
            </w:tcMar>
            <w:vAlign w:val="center"/>
          </w:tcPr>
          <w:p>
            <w:pPr>
              <w:spacing w:after="0"/>
            </w:pPr>
            <w:r>
              <w:rPr>
                <w:rFonts w:ascii="Calibri" w:hAnsi="Calibri"/>
                <w:b w:val="0"/>
                <w:i w:val="0"/>
                <w:color w:val="222222"/>
                <w:sz w:val="17"/>
              </w:rPr>
              <w:t>OneFlow Admin</w:t>
            </w:r>
          </w:p>
        </w:tc>
        <w:tc>
          <w:tcPr>
            <w:tcW w:type="dxa" w:w="4896"/>
            <w:tcMar>
              <w:top w:w="80" w:type="dxa"/>
              <w:start w:w="120" w:type="dxa"/>
              <w:bottom w:w="80" w:type="dxa"/>
              <w:end w:w="120" w:type="dxa"/>
            </w:tcMar>
            <w:vAlign w:val="center"/>
          </w:tcPr>
          <w:p>
            <w:pPr>
              <w:spacing w:after="0"/>
            </w:pPr>
            <w:r>
              <w:rPr>
                <w:rFonts w:ascii="Calibri" w:hAnsi="Calibri"/>
                <w:b w:val="0"/>
                <w:i w:val="0"/>
                <w:color w:val="222222"/>
                <w:sz w:val="17"/>
              </w:rPr>
              <w:t>Cross-functional dashboard, cases, configuration, reports and simulation.</w:t>
            </w:r>
          </w:p>
        </w:tc>
        <w:tc>
          <w:tcPr>
            <w:tcW w:type="dxa" w:w="2448"/>
            <w:tcMar>
              <w:top w:w="80" w:type="dxa"/>
              <w:start w:w="120" w:type="dxa"/>
              <w:bottom w:w="80" w:type="dxa"/>
              <w:end w:w="120" w:type="dxa"/>
            </w:tcMar>
            <w:vAlign w:val="center"/>
          </w:tcPr>
          <w:p>
            <w:pPr>
              <w:spacing w:after="0"/>
            </w:pPr>
            <w:r>
              <w:rPr>
                <w:rFonts w:ascii="Calibri" w:hAnsi="Calibri"/>
                <w:b w:val="0"/>
                <w:i w:val="0"/>
                <w:color w:val="222222"/>
                <w:sz w:val="17"/>
              </w:rPr>
              <w:t>Monitors lifecycle health and resolves blockers.</w:t>
            </w:r>
          </w:p>
        </w:tc>
      </w:tr>
      <w:tr>
        <w:tc>
          <w:tcPr>
            <w:tcW w:type="dxa" w:w="1944"/>
            <w:tcMar>
              <w:top w:w="80" w:type="dxa"/>
              <w:start w:w="120" w:type="dxa"/>
              <w:bottom w:w="80" w:type="dxa"/>
              <w:end w:w="120" w:type="dxa"/>
            </w:tcMar>
            <w:vAlign w:val="center"/>
          </w:tcPr>
          <w:p>
            <w:pPr>
              <w:spacing w:after="0"/>
            </w:pPr>
            <w:r>
              <w:rPr>
                <w:rFonts w:ascii="Calibri" w:hAnsi="Calibri"/>
                <w:b w:val="0"/>
                <w:i w:val="0"/>
                <w:color w:val="222222"/>
                <w:sz w:val="17"/>
              </w:rPr>
              <w:t>HR</w:t>
            </w:r>
          </w:p>
        </w:tc>
        <w:tc>
          <w:tcPr>
            <w:tcW w:type="dxa" w:w="4896"/>
            <w:tcMar>
              <w:top w:w="80" w:type="dxa"/>
              <w:start w:w="120" w:type="dxa"/>
              <w:bottom w:w="80" w:type="dxa"/>
              <w:end w:w="120" w:type="dxa"/>
            </w:tcMar>
            <w:vAlign w:val="center"/>
          </w:tcPr>
          <w:p>
            <w:pPr>
              <w:spacing w:after="0"/>
            </w:pPr>
            <w:r>
              <w:rPr>
                <w:rFonts w:ascii="Calibri" w:hAnsi="Calibri"/>
                <w:b w:val="0"/>
                <w:i w:val="0"/>
                <w:color w:val="222222"/>
                <w:sz w:val="17"/>
              </w:rPr>
              <w:t>Employee journeys, forms, readiness and people actions.</w:t>
            </w:r>
          </w:p>
        </w:tc>
        <w:tc>
          <w:tcPr>
            <w:tcW w:type="dxa" w:w="2448"/>
            <w:tcMar>
              <w:top w:w="80" w:type="dxa"/>
              <w:start w:w="120" w:type="dxa"/>
              <w:bottom w:w="80" w:type="dxa"/>
              <w:end w:w="120" w:type="dxa"/>
            </w:tcMar>
            <w:vAlign w:val="center"/>
          </w:tcPr>
          <w:p>
            <w:pPr>
              <w:spacing w:after="0"/>
            </w:pPr>
            <w:r>
              <w:rPr>
                <w:rFonts w:ascii="Calibri" w:hAnsi="Calibri"/>
                <w:b w:val="0"/>
                <w:i w:val="0"/>
                <w:color w:val="222222"/>
                <w:sz w:val="17"/>
              </w:rPr>
              <w:t>Coordinates employee-facing milestones.</w:t>
            </w:r>
          </w:p>
        </w:tc>
      </w:tr>
      <w:tr>
        <w:tc>
          <w:tcPr>
            <w:tcW w:type="dxa" w:w="1944"/>
            <w:tcMar>
              <w:top w:w="80" w:type="dxa"/>
              <w:start w:w="120" w:type="dxa"/>
              <w:bottom w:w="80" w:type="dxa"/>
              <w:end w:w="120" w:type="dxa"/>
            </w:tcMar>
            <w:vAlign w:val="center"/>
          </w:tcPr>
          <w:p>
            <w:pPr>
              <w:spacing w:after="0"/>
            </w:pPr>
            <w:r>
              <w:rPr>
                <w:rFonts w:ascii="Calibri" w:hAnsi="Calibri"/>
                <w:b w:val="0"/>
                <w:i w:val="0"/>
                <w:color w:val="222222"/>
                <w:sz w:val="17"/>
              </w:rPr>
              <w:t>Hiring Manager</w:t>
            </w:r>
          </w:p>
        </w:tc>
        <w:tc>
          <w:tcPr>
            <w:tcW w:type="dxa" w:w="4896"/>
            <w:tcMar>
              <w:top w:w="80" w:type="dxa"/>
              <w:start w:w="120" w:type="dxa"/>
              <w:bottom w:w="80" w:type="dxa"/>
              <w:end w:w="120" w:type="dxa"/>
            </w:tcMar>
            <w:vAlign w:val="center"/>
          </w:tcPr>
          <w:p>
            <w:pPr>
              <w:spacing w:after="0"/>
            </w:pPr>
            <w:r>
              <w:rPr>
                <w:rFonts w:ascii="Calibri" w:hAnsi="Calibri"/>
                <w:b w:val="0"/>
                <w:i w:val="0"/>
                <w:color w:val="222222"/>
                <w:sz w:val="17"/>
              </w:rPr>
              <w:t>Assigned work, new hires and transition actions.</w:t>
            </w:r>
          </w:p>
        </w:tc>
        <w:tc>
          <w:tcPr>
            <w:tcW w:type="dxa" w:w="2448"/>
            <w:tcMar>
              <w:top w:w="80" w:type="dxa"/>
              <w:start w:w="120" w:type="dxa"/>
              <w:bottom w:w="80" w:type="dxa"/>
              <w:end w:w="120" w:type="dxa"/>
            </w:tcMar>
            <w:vAlign w:val="center"/>
          </w:tcPr>
          <w:p>
            <w:pPr>
              <w:spacing w:after="0"/>
            </w:pPr>
            <w:r>
              <w:rPr>
                <w:rFonts w:ascii="Calibri" w:hAnsi="Calibri"/>
                <w:b w:val="0"/>
                <w:i w:val="0"/>
                <w:color w:val="222222"/>
                <w:sz w:val="17"/>
              </w:rPr>
              <w:t>Confirms team readiness and handover ownership.</w:t>
            </w:r>
          </w:p>
        </w:tc>
      </w:tr>
      <w:tr>
        <w:tc>
          <w:tcPr>
            <w:tcW w:type="dxa" w:w="1944"/>
            <w:tcMar>
              <w:top w:w="80" w:type="dxa"/>
              <w:start w:w="120" w:type="dxa"/>
              <w:bottom w:w="80" w:type="dxa"/>
              <w:end w:w="120" w:type="dxa"/>
            </w:tcMar>
            <w:vAlign w:val="center"/>
          </w:tcPr>
          <w:p>
            <w:pPr>
              <w:spacing w:after="0"/>
            </w:pPr>
            <w:r>
              <w:rPr>
                <w:rFonts w:ascii="Calibri" w:hAnsi="Calibri"/>
                <w:b w:val="0"/>
                <w:i w:val="0"/>
                <w:color w:val="222222"/>
                <w:sz w:val="17"/>
              </w:rPr>
              <w:t>IT Security / Onsite IT</w:t>
            </w:r>
          </w:p>
        </w:tc>
        <w:tc>
          <w:tcPr>
            <w:tcW w:type="dxa" w:w="4896"/>
            <w:tcMar>
              <w:top w:w="80" w:type="dxa"/>
              <w:start w:w="120" w:type="dxa"/>
              <w:bottom w:w="80" w:type="dxa"/>
              <w:end w:w="120" w:type="dxa"/>
            </w:tcMar>
            <w:vAlign w:val="center"/>
          </w:tcPr>
          <w:p>
            <w:pPr>
              <w:spacing w:after="0"/>
            </w:pPr>
            <w:r>
              <w:rPr>
                <w:rFonts w:ascii="Calibri" w:hAnsi="Calibri"/>
                <w:b w:val="0"/>
                <w:i w:val="0"/>
                <w:color w:val="222222"/>
                <w:sz w:val="17"/>
              </w:rPr>
              <w:t>Role dashboard and access or equipment tasks.</w:t>
            </w:r>
          </w:p>
        </w:tc>
        <w:tc>
          <w:tcPr>
            <w:tcW w:type="dxa" w:w="2448"/>
            <w:tcMar>
              <w:top w:w="80" w:type="dxa"/>
              <w:start w:w="120" w:type="dxa"/>
              <w:bottom w:w="80" w:type="dxa"/>
              <w:end w:w="120" w:type="dxa"/>
            </w:tcMar>
            <w:vAlign w:val="center"/>
          </w:tcPr>
          <w:p>
            <w:pPr>
              <w:spacing w:after="0"/>
            </w:pPr>
            <w:r>
              <w:rPr>
                <w:rFonts w:ascii="Calibri" w:hAnsi="Calibri"/>
                <w:b w:val="0"/>
                <w:i w:val="0"/>
                <w:color w:val="222222"/>
                <w:sz w:val="17"/>
              </w:rPr>
              <w:t>Makes technical delivery and access actions visible.</w:t>
            </w:r>
          </w:p>
        </w:tc>
      </w:tr>
      <w:tr>
        <w:tc>
          <w:tcPr>
            <w:tcW w:type="dxa" w:w="1944"/>
            <w:tcMar>
              <w:top w:w="80" w:type="dxa"/>
              <w:start w:w="120" w:type="dxa"/>
              <w:bottom w:w="80" w:type="dxa"/>
              <w:end w:w="120" w:type="dxa"/>
            </w:tcMar>
            <w:vAlign w:val="center"/>
          </w:tcPr>
          <w:p>
            <w:pPr>
              <w:spacing w:after="0"/>
            </w:pPr>
            <w:r>
              <w:rPr>
                <w:rFonts w:ascii="Calibri" w:hAnsi="Calibri"/>
                <w:b w:val="0"/>
                <w:i w:val="0"/>
                <w:color w:val="222222"/>
                <w:sz w:val="17"/>
              </w:rPr>
              <w:t>Finance / Facilities / Corporate Card</w:t>
            </w:r>
          </w:p>
        </w:tc>
        <w:tc>
          <w:tcPr>
            <w:tcW w:type="dxa" w:w="4896"/>
            <w:tcMar>
              <w:top w:w="80" w:type="dxa"/>
              <w:start w:w="120" w:type="dxa"/>
              <w:bottom w:w="80" w:type="dxa"/>
              <w:end w:w="120" w:type="dxa"/>
            </w:tcMar>
            <w:vAlign w:val="center"/>
          </w:tcPr>
          <w:p>
            <w:pPr>
              <w:spacing w:after="0"/>
            </w:pPr>
            <w:r>
              <w:rPr>
                <w:rFonts w:ascii="Calibri" w:hAnsi="Calibri"/>
                <w:b w:val="0"/>
                <w:i w:val="0"/>
                <w:color w:val="222222"/>
                <w:sz w:val="17"/>
              </w:rPr>
              <w:t>Relevant operational tasks and clearance work.</w:t>
            </w:r>
          </w:p>
        </w:tc>
        <w:tc>
          <w:tcPr>
            <w:tcW w:type="dxa" w:w="2448"/>
            <w:tcMar>
              <w:top w:w="80" w:type="dxa"/>
              <w:start w:w="120" w:type="dxa"/>
              <w:bottom w:w="80" w:type="dxa"/>
              <w:end w:w="120" w:type="dxa"/>
            </w:tcMar>
            <w:vAlign w:val="center"/>
          </w:tcPr>
          <w:p>
            <w:pPr>
              <w:spacing w:after="0"/>
            </w:pPr>
            <w:r>
              <w:rPr>
                <w:rFonts w:ascii="Calibri" w:hAnsi="Calibri"/>
                <w:b w:val="0"/>
                <w:i w:val="0"/>
                <w:color w:val="222222"/>
                <w:sz w:val="17"/>
              </w:rPr>
              <w:t>Coordinates assets, operational setup and closure.</w:t>
            </w:r>
          </w:p>
        </w:tc>
      </w:tr>
      <w:tr>
        <w:tc>
          <w:tcPr>
            <w:tcW w:type="dxa" w:w="1944"/>
            <w:tcMar>
              <w:top w:w="80" w:type="dxa"/>
              <w:start w:w="120" w:type="dxa"/>
              <w:bottom w:w="80" w:type="dxa"/>
              <w:end w:w="120" w:type="dxa"/>
            </w:tcMar>
            <w:vAlign w:val="center"/>
          </w:tcPr>
          <w:p>
            <w:pPr>
              <w:spacing w:after="0"/>
            </w:pPr>
            <w:r>
              <w:rPr>
                <w:rFonts w:ascii="Calibri" w:hAnsi="Calibri"/>
                <w:b w:val="0"/>
                <w:i w:val="0"/>
                <w:color w:val="222222"/>
                <w:sz w:val="17"/>
              </w:rPr>
              <w:t>Quality / Product Stewardship</w:t>
            </w:r>
          </w:p>
        </w:tc>
        <w:tc>
          <w:tcPr>
            <w:tcW w:type="dxa" w:w="4896"/>
            <w:tcMar>
              <w:top w:w="80" w:type="dxa"/>
              <w:start w:w="120" w:type="dxa"/>
              <w:bottom w:w="80" w:type="dxa"/>
              <w:end w:w="120" w:type="dxa"/>
            </w:tcMar>
            <w:vAlign w:val="center"/>
          </w:tcPr>
          <w:p>
            <w:pPr>
              <w:spacing w:after="0"/>
            </w:pPr>
            <w:r>
              <w:rPr>
                <w:rFonts w:ascii="Calibri" w:hAnsi="Calibri"/>
                <w:b w:val="0"/>
                <w:i w:val="0"/>
                <w:color w:val="222222"/>
                <w:sz w:val="17"/>
              </w:rPr>
              <w:t>Specialist responsibility queue.</w:t>
            </w:r>
          </w:p>
        </w:tc>
        <w:tc>
          <w:tcPr>
            <w:tcW w:type="dxa" w:w="2448"/>
            <w:tcMar>
              <w:top w:w="80" w:type="dxa"/>
              <w:start w:w="120" w:type="dxa"/>
              <w:bottom w:w="80" w:type="dxa"/>
              <w:end w:w="120" w:type="dxa"/>
            </w:tcMar>
            <w:vAlign w:val="center"/>
          </w:tcPr>
          <w:p>
            <w:pPr>
              <w:spacing w:after="0"/>
            </w:pPr>
            <w:r>
              <w:rPr>
                <w:rFonts w:ascii="Calibri" w:hAnsi="Calibri"/>
                <w:b w:val="0"/>
                <w:i w:val="0"/>
                <w:color w:val="222222"/>
                <w:sz w:val="17"/>
              </w:rPr>
              <w:t>Contributes required specialist checks.</w:t>
            </w:r>
          </w:p>
        </w:tc>
      </w:tr>
      <w:tr>
        <w:tc>
          <w:tcPr>
            <w:tcW w:type="dxa" w:w="1944"/>
            <w:tcMar>
              <w:top w:w="80" w:type="dxa"/>
              <w:start w:w="120" w:type="dxa"/>
              <w:bottom w:w="80" w:type="dxa"/>
              <w:end w:w="120" w:type="dxa"/>
            </w:tcMar>
            <w:vAlign w:val="center"/>
          </w:tcPr>
          <w:p>
            <w:pPr>
              <w:spacing w:after="0"/>
            </w:pPr>
            <w:r>
              <w:rPr>
                <w:rFonts w:ascii="Calibri" w:hAnsi="Calibri"/>
                <w:b w:val="0"/>
                <w:i w:val="0"/>
                <w:color w:val="222222"/>
                <w:sz w:val="17"/>
              </w:rPr>
              <w:t>Onboarding / Offboarding Employee</w:t>
            </w:r>
          </w:p>
        </w:tc>
        <w:tc>
          <w:tcPr>
            <w:tcW w:type="dxa" w:w="4896"/>
            <w:tcMar>
              <w:top w:w="80" w:type="dxa"/>
              <w:start w:w="120" w:type="dxa"/>
              <w:bottom w:w="80" w:type="dxa"/>
              <w:end w:w="120" w:type="dxa"/>
            </w:tcMar>
            <w:vAlign w:val="center"/>
          </w:tcPr>
          <w:p>
            <w:pPr>
              <w:spacing w:after="0"/>
            </w:pPr>
            <w:r>
              <w:rPr>
                <w:rFonts w:ascii="Calibri" w:hAnsi="Calibri"/>
                <w:b w:val="0"/>
                <w:i w:val="0"/>
                <w:color w:val="222222"/>
                <w:sz w:val="17"/>
              </w:rPr>
              <w:t>Personal journey, tasks, forms, inbox and profile.</w:t>
            </w:r>
          </w:p>
        </w:tc>
        <w:tc>
          <w:tcPr>
            <w:tcW w:type="dxa" w:w="2448"/>
            <w:tcMar>
              <w:top w:w="80" w:type="dxa"/>
              <w:start w:w="120" w:type="dxa"/>
              <w:bottom w:w="80" w:type="dxa"/>
              <w:end w:w="120" w:type="dxa"/>
            </w:tcMar>
            <w:vAlign w:val="center"/>
          </w:tcPr>
          <w:p>
            <w:pPr>
              <w:spacing w:after="0"/>
            </w:pPr>
            <w:r>
              <w:rPr>
                <w:rFonts w:ascii="Calibri" w:hAnsi="Calibri"/>
                <w:b w:val="0"/>
                <w:i w:val="0"/>
                <w:color w:val="222222"/>
                <w:sz w:val="17"/>
              </w:rPr>
              <w:t>Provides one understandable employee experience.</w:t>
            </w:r>
          </w:p>
        </w:tc>
      </w:tr>
    </w:tbl>
    <w:p>
      <w:pPr>
        <w:spacing w:after="40" w:line="264" w:lineRule="auto"/>
      </w:pPr>
      <w:r>
        <w:rPr>
          <w:rFonts w:ascii="Calibri" w:hAnsi="Calibri"/>
          <w:b w:val="0"/>
          <w:i w:val="0"/>
          <w:color w:val="000000"/>
          <w:sz w:val="22"/>
        </w:rPr>
      </w:r>
    </w:p>
    <w:p>
      <w:r>
        <w:br w:type="page"/>
      </w:r>
    </w:p>
    <w:p>
      <w:pPr>
        <w:pStyle w:val="Heading1"/>
        <w:keepNext/>
      </w:pPr>
      <w:r>
        <w:t>What we built for the hackathon</w:t>
      </w:r>
    </w:p>
    <w:p>
      <w:pPr>
        <w:spacing w:after="120" w:line="264" w:lineRule="auto"/>
      </w:pPr>
      <w:r>
        <w:rPr>
          <w:rFonts w:ascii="Calibri" w:hAnsi="Calibri"/>
          <w:b w:val="0"/>
          <w:i w:val="0"/>
          <w:color w:val="000000"/>
          <w:sz w:val="22"/>
        </w:rPr>
        <w:t>The current application includes a OneFlow project hub, demo login, role-based dashboards, Workday mock, employee directory, lifecycle cases, My Tasks, onboarding and offboarding journeys, Day 1 Readiness, Exit Clearance, forms, inbox, email testing, automation simulation, reports and settings. The application uses synthetic identities and data.</w:t>
      </w:r>
    </w:p>
    <w:tbl>
      <w:tblPr>
        <w:tblStyle w:val="TableGrid"/>
        <w:tblW w:type="auto" w:w="0"/>
        <w:jc w:val="center"/>
        <w:tblLayout w:type="fixed"/>
        <w:tblLook w:firstColumn="1" w:firstRow="1" w:lastColumn="0" w:lastRow="0" w:noHBand="0" w:noVBand="1" w:val="04A0"/>
      </w:tblPr>
      <w:tblGrid>
        <w:gridCol w:w="4824"/>
        <w:gridCol w:w="4824"/>
      </w:tblGrid>
      <w:tr>
        <w:tc>
          <w:tcPr>
            <w:tcW w:type="dxa" w:w="2448"/>
            <w:shd w:fill="E8EEF5"/>
            <w:tcMar>
              <w:top w:w="80" w:type="dxa"/>
              <w:start w:w="120" w:type="dxa"/>
              <w:bottom w:w="80" w:type="dxa"/>
              <w:end w:w="120" w:type="dxa"/>
            </w:tcMar>
            <w:vAlign w:val="center"/>
          </w:tcPr>
          <w:p>
            <w:pPr>
              <w:spacing w:after="0"/>
            </w:pPr>
            <w:r>
              <w:rPr>
                <w:rFonts w:ascii="Calibri" w:hAnsi="Calibri"/>
                <w:b/>
                <w:i w:val="0"/>
                <w:color w:val="0B2545"/>
                <w:sz w:val="18"/>
              </w:rPr>
              <w:t>Area</w:t>
            </w:r>
          </w:p>
        </w:tc>
        <w:tc>
          <w:tcPr>
            <w:tcW w:type="dxa" w:w="6912"/>
            <w:shd w:fill="E8EEF5"/>
            <w:tcMar>
              <w:top w:w="80" w:type="dxa"/>
              <w:start w:w="120" w:type="dxa"/>
              <w:bottom w:w="80" w:type="dxa"/>
              <w:end w:w="120" w:type="dxa"/>
            </w:tcMar>
            <w:vAlign w:val="center"/>
          </w:tcPr>
          <w:p>
            <w:pPr>
              <w:spacing w:after="0"/>
            </w:pPr>
            <w:r>
              <w:rPr>
                <w:rFonts w:ascii="Calibri" w:hAnsi="Calibri"/>
                <w:b/>
                <w:i w:val="0"/>
                <w:color w:val="0B2545"/>
                <w:sz w:val="18"/>
              </w:rPr>
              <w:t>Prototype capability</w:t>
            </w:r>
          </w:p>
        </w:tc>
      </w:tr>
      <w:tr>
        <w:tc>
          <w:tcPr>
            <w:tcW w:type="dxa" w:w="2448"/>
            <w:tcMar>
              <w:top w:w="80" w:type="dxa"/>
              <w:start w:w="120" w:type="dxa"/>
              <w:bottom w:w="80" w:type="dxa"/>
              <w:end w:w="120" w:type="dxa"/>
            </w:tcMar>
            <w:vAlign w:val="center"/>
          </w:tcPr>
          <w:p>
            <w:pPr>
              <w:spacing w:after="0"/>
            </w:pPr>
            <w:r>
              <w:rPr>
                <w:rFonts w:ascii="Calibri" w:hAnsi="Calibri"/>
                <w:b w:val="0"/>
                <w:i w:val="0"/>
                <w:color w:val="222222"/>
                <w:sz w:val="17"/>
              </w:rPr>
              <w:t>Project hub</w:t>
            </w:r>
          </w:p>
        </w:tc>
        <w:tc>
          <w:tcPr>
            <w:tcW w:type="dxa" w:w="6912"/>
            <w:tcMar>
              <w:top w:w="80" w:type="dxa"/>
              <w:start w:w="120" w:type="dxa"/>
              <w:bottom w:w="80" w:type="dxa"/>
              <w:end w:w="120" w:type="dxa"/>
            </w:tcMar>
            <w:vAlign w:val="center"/>
          </w:tcPr>
          <w:p>
            <w:pPr>
              <w:spacing w:after="0"/>
            </w:pPr>
            <w:r>
              <w:rPr>
                <w:rFonts w:ascii="Calibri" w:hAnsi="Calibri"/>
                <w:b w:val="0"/>
                <w:i w:val="0"/>
                <w:color w:val="222222"/>
                <w:sz w:val="17"/>
              </w:rPr>
              <w:t>Explains OneFlow, Workday versus OneFlow, and the proposed Microsoft direction.</w:t>
            </w:r>
          </w:p>
        </w:tc>
      </w:tr>
      <w:tr>
        <w:tc>
          <w:tcPr>
            <w:tcW w:type="dxa" w:w="2448"/>
            <w:tcMar>
              <w:top w:w="80" w:type="dxa"/>
              <w:start w:w="120" w:type="dxa"/>
              <w:bottom w:w="80" w:type="dxa"/>
              <w:end w:w="120" w:type="dxa"/>
            </w:tcMar>
            <w:vAlign w:val="center"/>
          </w:tcPr>
          <w:p>
            <w:pPr>
              <w:spacing w:after="0"/>
            </w:pPr>
            <w:r>
              <w:rPr>
                <w:rFonts w:ascii="Calibri" w:hAnsi="Calibri"/>
                <w:b w:val="0"/>
                <w:i w:val="0"/>
                <w:color w:val="222222"/>
                <w:sz w:val="17"/>
              </w:rPr>
              <w:t>Lifecycle workspace</w:t>
            </w:r>
          </w:p>
        </w:tc>
        <w:tc>
          <w:tcPr>
            <w:tcW w:type="dxa" w:w="6912"/>
            <w:tcMar>
              <w:top w:w="80" w:type="dxa"/>
              <w:start w:w="120" w:type="dxa"/>
              <w:bottom w:w="80" w:type="dxa"/>
              <w:end w:w="120" w:type="dxa"/>
            </w:tcMar>
            <w:vAlign w:val="center"/>
          </w:tcPr>
          <w:p>
            <w:pPr>
              <w:spacing w:after="0"/>
            </w:pPr>
            <w:r>
              <w:rPr>
                <w:rFonts w:ascii="Calibri" w:hAnsi="Calibri"/>
                <w:b w:val="0"/>
                <w:i w:val="0"/>
                <w:color w:val="222222"/>
                <w:sz w:val="17"/>
              </w:rPr>
              <w:t>Admin, role and employee-specific views; lifecycle cases and responsibility routing.</w:t>
            </w:r>
          </w:p>
        </w:tc>
      </w:tr>
      <w:tr>
        <w:tc>
          <w:tcPr>
            <w:tcW w:type="dxa" w:w="2448"/>
            <w:tcMar>
              <w:top w:w="80" w:type="dxa"/>
              <w:start w:w="120" w:type="dxa"/>
              <w:bottom w:w="80" w:type="dxa"/>
              <w:end w:w="120" w:type="dxa"/>
            </w:tcMar>
            <w:vAlign w:val="center"/>
          </w:tcPr>
          <w:p>
            <w:pPr>
              <w:spacing w:after="0"/>
            </w:pPr>
            <w:r>
              <w:rPr>
                <w:rFonts w:ascii="Calibri" w:hAnsi="Calibri"/>
                <w:b w:val="0"/>
                <w:i w:val="0"/>
                <w:color w:val="222222"/>
                <w:sz w:val="17"/>
              </w:rPr>
              <w:t>Employee experience</w:t>
            </w:r>
          </w:p>
        </w:tc>
        <w:tc>
          <w:tcPr>
            <w:tcW w:type="dxa" w:w="6912"/>
            <w:tcMar>
              <w:top w:w="80" w:type="dxa"/>
              <w:start w:w="120" w:type="dxa"/>
              <w:bottom w:w="80" w:type="dxa"/>
              <w:end w:w="120" w:type="dxa"/>
            </w:tcMar>
            <w:vAlign w:val="center"/>
          </w:tcPr>
          <w:p>
            <w:pPr>
              <w:spacing w:after="0"/>
            </w:pPr>
            <w:r>
              <w:rPr>
                <w:rFonts w:ascii="Calibri" w:hAnsi="Calibri"/>
                <w:b w:val="0"/>
                <w:i w:val="0"/>
                <w:color w:val="222222"/>
                <w:sz w:val="17"/>
              </w:rPr>
              <w:t>Nabila onboarding and Hamdan offboarding journeys, forms and messages.</w:t>
            </w:r>
          </w:p>
        </w:tc>
      </w:tr>
      <w:tr>
        <w:tc>
          <w:tcPr>
            <w:tcW w:type="dxa" w:w="2448"/>
            <w:tcMar>
              <w:top w:w="80" w:type="dxa"/>
              <w:start w:w="120" w:type="dxa"/>
              <w:bottom w:w="80" w:type="dxa"/>
              <w:end w:w="120" w:type="dxa"/>
            </w:tcMar>
            <w:vAlign w:val="center"/>
          </w:tcPr>
          <w:p>
            <w:pPr>
              <w:spacing w:after="0"/>
            </w:pPr>
            <w:r>
              <w:rPr>
                <w:rFonts w:ascii="Calibri" w:hAnsi="Calibri"/>
                <w:b w:val="0"/>
                <w:i w:val="0"/>
                <w:color w:val="222222"/>
                <w:sz w:val="17"/>
              </w:rPr>
              <w:t>Control visibility</w:t>
            </w:r>
          </w:p>
        </w:tc>
        <w:tc>
          <w:tcPr>
            <w:tcW w:type="dxa" w:w="6912"/>
            <w:tcMar>
              <w:top w:w="80" w:type="dxa"/>
              <w:start w:w="120" w:type="dxa"/>
              <w:bottom w:w="80" w:type="dxa"/>
              <w:end w:w="120" w:type="dxa"/>
            </w:tcMar>
            <w:vAlign w:val="center"/>
          </w:tcPr>
          <w:p>
            <w:pPr>
              <w:spacing w:after="0"/>
            </w:pPr>
            <w:r>
              <w:rPr>
                <w:rFonts w:ascii="Calibri" w:hAnsi="Calibri"/>
                <w:b w:val="0"/>
                <w:i w:val="0"/>
                <w:color w:val="222222"/>
                <w:sz w:val="17"/>
              </w:rPr>
              <w:t>Day 1 Readiness, Exit Clearance, role workloads, reports and activity.</w:t>
            </w:r>
          </w:p>
        </w:tc>
      </w:tr>
      <w:tr>
        <w:tc>
          <w:tcPr>
            <w:tcW w:type="dxa" w:w="2448"/>
            <w:tcMar>
              <w:top w:w="80" w:type="dxa"/>
              <w:start w:w="120" w:type="dxa"/>
              <w:bottom w:w="80" w:type="dxa"/>
              <w:end w:w="120" w:type="dxa"/>
            </w:tcMar>
            <w:vAlign w:val="center"/>
          </w:tcPr>
          <w:p>
            <w:pPr>
              <w:spacing w:after="0"/>
            </w:pPr>
            <w:r>
              <w:rPr>
                <w:rFonts w:ascii="Calibri" w:hAnsi="Calibri"/>
                <w:b w:val="0"/>
                <w:i w:val="0"/>
                <w:color w:val="222222"/>
                <w:sz w:val="17"/>
              </w:rPr>
              <w:t>Email and automation</w:t>
            </w:r>
          </w:p>
        </w:tc>
        <w:tc>
          <w:tcPr>
            <w:tcW w:type="dxa" w:w="6912"/>
            <w:tcMar>
              <w:top w:w="80" w:type="dxa"/>
              <w:start w:w="120" w:type="dxa"/>
              <w:bottom w:w="80" w:type="dxa"/>
              <w:end w:w="120" w:type="dxa"/>
            </w:tcMar>
            <w:vAlign w:val="center"/>
          </w:tcPr>
          <w:p>
            <w:pPr>
              <w:spacing w:after="0"/>
            </w:pPr>
            <w:r>
              <w:rPr>
                <w:rFonts w:ascii="Calibri" w:hAnsi="Calibri"/>
                <w:b w:val="0"/>
                <w:i w:val="0"/>
                <w:color w:val="222222"/>
                <w:sz w:val="17"/>
              </w:rPr>
              <w:t>Mock Inbox, optional server-side SES test delivery, recipient mapping and simulation.</w:t>
            </w:r>
          </w:p>
        </w:tc>
      </w:tr>
    </w:tbl>
    <w:p>
      <w:pPr>
        <w:spacing w:after="40" w:line="264" w:lineRule="auto"/>
      </w:pPr>
      <w:r>
        <w:rPr>
          <w:rFonts w:ascii="Calibri" w:hAnsi="Calibri"/>
          <w:b w:val="0"/>
          <w:i w:val="0"/>
          <w:color w:val="000000"/>
          <w:sz w:val="22"/>
        </w:rPr>
      </w:r>
    </w:p>
    <w:p>
      <w:r>
        <w:br w:type="page"/>
      </w:r>
    </w:p>
    <w:p>
      <w:pPr>
        <w:pStyle w:val="Heading1"/>
        <w:keepNext/>
      </w:pPr>
      <w:r>
        <w:t>How OneFlow works — onboarding</w:t>
      </w:r>
    </w:p>
    <w:p>
      <w:pPr>
        <w:pStyle w:val="ListNumber"/>
        <w:spacing w:after="60" w:line="276" w:lineRule="auto"/>
      </w:pPr>
      <w:r>
        <w:t>Employee enters Preboarding in Workday.</w:t>
      </w:r>
    </w:p>
    <w:p>
      <w:pPr>
        <w:pStyle w:val="ListNumber"/>
        <w:spacing w:after="60" w:line="276" w:lineRule="auto"/>
      </w:pPr>
      <w:r>
        <w:t>OneFlow receives or demonstrates the lifecycle event.</w:t>
      </w:r>
    </w:p>
    <w:p>
      <w:pPr>
        <w:pStyle w:val="ListNumber"/>
        <w:spacing w:after="60" w:line="276" w:lineRule="auto"/>
      </w:pPr>
      <w:r>
        <w:t>An onboarding case and relevant responsibilities are generated.</w:t>
      </w:r>
    </w:p>
    <w:p>
      <w:pPr>
        <w:pStyle w:val="ListNumber"/>
        <w:spacing w:after="60" w:line="276" w:lineRule="auto"/>
      </w:pPr>
      <w:r>
        <w:t>HR, IT, Finance, Facilities and specialist teams see their work.</w:t>
      </w:r>
    </w:p>
    <w:p>
      <w:pPr>
        <w:pStyle w:val="ListNumber"/>
        <w:spacing w:after="60" w:line="276" w:lineRule="auto"/>
      </w:pPr>
      <w:r>
        <w:t>The employee sees personal actions, forms and messages.</w:t>
      </w:r>
    </w:p>
    <w:p>
      <w:pPr>
        <w:pStyle w:val="ListNumber"/>
        <w:spacing w:after="60" w:line="276" w:lineRule="auto"/>
      </w:pPr>
      <w:r>
        <w:t>Progress contributes to Day 1 Readiness; HR/Admin sees cross-functional status.</w:t>
      </w:r>
    </w:p>
    <w:p>
      <w:pPr>
        <w:pStyle w:val="ListNumber"/>
        <w:spacing w:after="60" w:line="276" w:lineRule="auto"/>
      </w:pPr>
      <w:r>
        <w:t>Outstanding risks can be escalated until readiness is achieved.</w:t>
      </w:r>
    </w:p>
    <w:tbl>
      <w:tblPr>
        <w:tblStyle w:val="TableGrid"/>
        <w:tblW w:type="auto" w:w="0"/>
        <w:jc w:val="center"/>
        <w:tblLook w:firstColumn="1" w:firstRow="1" w:lastColumn="0" w:lastRow="0" w:noHBand="0" w:noVBand="1" w:val="04A0"/>
      </w:tblPr>
      <w:tblGrid>
        <w:gridCol w:w="9648"/>
      </w:tblGrid>
      <w:tr>
        <w:tc>
          <w:tcPr>
            <w:tcW w:type="dxa" w:w="9648"/>
            <w:shd w:fill="E8EEF5"/>
            <w:tcMar>
              <w:top w:w="120" w:type="dxa"/>
              <w:start w:w="180" w:type="dxa"/>
              <w:bottom w:w="120" w:type="dxa"/>
              <w:end w:w="180" w:type="dxa"/>
            </w:tcMar>
          </w:tcPr>
          <w:p>
            <w:pPr>
              <w:spacing w:after="40"/>
            </w:pPr>
            <w:r>
              <w:rPr>
                <w:rFonts w:ascii="Calibri" w:hAnsi="Calibri"/>
                <w:b/>
                <w:i w:val="0"/>
                <w:color w:val="2E74B5"/>
                <w:sz w:val="18"/>
              </w:rPr>
              <w:t xml:space="preserve">PROTOTYPE VS PRODUCTION  </w:t>
            </w:r>
            <w:r>
              <w:rPr>
                <w:rFonts w:ascii="Calibri" w:hAnsi="Calibri"/>
                <w:b w:val="0"/>
                <w:i w:val="0"/>
                <w:color w:val="0B2545"/>
                <w:sz w:val="20"/>
              </w:rPr>
              <w:t>The prototype uses a Workday mock and simulated automation. In production, approved Workday integration would trigger governed data updates and Power Automate workflows.</w:t>
            </w:r>
          </w:p>
        </w:tc>
      </w:tr>
    </w:tbl>
    <w:p>
      <w:pPr>
        <w:spacing w:after="80" w:line="264" w:lineRule="auto"/>
      </w:pPr>
      <w:r>
        <w:rPr>
          <w:rFonts w:ascii="Calibri" w:hAnsi="Calibri"/>
          <w:b w:val="0"/>
          <w:i w:val="0"/>
          <w:color w:val="000000"/>
          <w:sz w:val="22"/>
        </w:rPr>
      </w:r>
    </w:p>
    <w:p>
      <w:r>
        <w:br w:type="page"/>
      </w:r>
    </w:p>
    <w:p>
      <w:pPr>
        <w:pStyle w:val="Heading1"/>
        <w:keepNext/>
      </w:pPr>
      <w:r>
        <w:t>How OneFlow works — offboarding</w:t>
      </w:r>
    </w:p>
    <w:p>
      <w:pPr>
        <w:spacing w:after="120" w:line="264" w:lineRule="auto"/>
      </w:pPr>
      <w:r>
        <w:rPr>
          <w:rFonts w:ascii="Calibri" w:hAnsi="Calibri"/>
          <w:b w:val="0"/>
          <w:i w:val="0"/>
          <w:color w:val="000000"/>
          <w:sz w:val="22"/>
        </w:rPr>
        <w:t>Hamdan, Muhamad Asyraf Naqiyuddin is the offboarding scenario. An exit event creates or demonstrates a case, allocates exit responsibilities, makes manager handover work visible, tracks access removal and asset return, and aggregates progress into Exit Clearance. Outstanding risks remain visible until the case is closed.</w:t>
      </w:r>
    </w:p>
    <w:p>
      <w:pPr>
        <w:pStyle w:val="ListNumber"/>
        <w:spacing w:after="60" w:line="276" w:lineRule="auto"/>
      </w:pPr>
      <w:r>
        <w:t>Exit is initiated.</w:t>
      </w:r>
    </w:p>
    <w:p>
      <w:pPr>
        <w:pStyle w:val="ListNumber"/>
        <w:spacing w:after="60" w:line="276" w:lineRule="auto"/>
      </w:pPr>
      <w:r>
        <w:t>Offboarding lifecycle case is created or demonstrated.</w:t>
      </w:r>
    </w:p>
    <w:p>
      <w:pPr>
        <w:pStyle w:val="ListNumber"/>
        <w:spacing w:after="60" w:line="276" w:lineRule="auto"/>
      </w:pPr>
      <w:r>
        <w:t>Relevant roles receive responsibilities.</w:t>
      </w:r>
    </w:p>
    <w:p>
      <w:pPr>
        <w:pStyle w:val="ListNumber"/>
        <w:spacing w:after="60" w:line="276" w:lineRule="auto"/>
      </w:pPr>
      <w:r>
        <w:t>Manager completes transition/handover work.</w:t>
      </w:r>
    </w:p>
    <w:p>
      <w:pPr>
        <w:pStyle w:val="ListNumber"/>
        <w:spacing w:after="60" w:line="276" w:lineRule="auto"/>
      </w:pPr>
      <w:r>
        <w:t>IT reviews/removes access; assets and operational clearance are tracked.</w:t>
      </w:r>
    </w:p>
    <w:p>
      <w:pPr>
        <w:pStyle w:val="ListNumber"/>
        <w:spacing w:after="60" w:line="276" w:lineRule="auto"/>
      </w:pPr>
      <w:r>
        <w:t>Exit Clearance highlights unresolved actions.</w:t>
      </w:r>
    </w:p>
    <w:p>
      <w:pPr>
        <w:pStyle w:val="ListNumber"/>
        <w:spacing w:after="60" w:line="276" w:lineRule="auto"/>
      </w:pPr>
      <w:r>
        <w:t>Case closes only after clearance.</w:t>
      </w:r>
    </w:p>
    <w:p>
      <w:r>
        <w:br w:type="page"/>
      </w:r>
    </w:p>
    <w:p>
      <w:pPr>
        <w:pStyle w:val="Heading1"/>
        <w:keepNext/>
      </w:pPr>
      <w:r>
        <w:t>Product walkthrough evidence</w:t>
      </w:r>
    </w:p>
    <w:p>
      <w:pPr>
        <w:spacing w:after="120" w:line="264" w:lineRule="auto"/>
      </w:pPr>
      <w:r>
        <w:rPr>
          <w:rFonts w:ascii="Calibri" w:hAnsi="Calibri"/>
          <w:b w:val="0"/>
          <w:i w:val="0"/>
          <w:color w:val="000000"/>
          <w:sz w:val="22"/>
        </w:rPr>
        <w:t>The live browser-capture controller was unavailable during this documentation rebuild. Rather than insert placeholders or unverified screenshots, this dossier uses only the current, verified product structure and architecture diagrams. The required visual capture list should be completed in a browser-enabled validation session before an external presentation: Project Hub, Login, Admin Dashboard, Workday, Lifecycle Cases, IT Security dashboard, My Tasks, Nabila journey/forms/inbox/profile, Hamdan journey, Reports, Automation, Settings, Email Delivery, Recipient Mappings and successful test-email state.</w:t>
      </w:r>
    </w:p>
    <w:p>
      <w:r>
        <w:br w:type="page"/>
      </w:r>
    </w:p>
    <w:p>
      <w:pPr>
        <w:pStyle w:val="Heading1"/>
        <w:keepNext/>
      </w:pPr>
      <w:r>
        <w:t>User manual — accessing OneFlow</w:t>
      </w:r>
    </w:p>
    <w:p>
      <w:pPr>
        <w:pStyle w:val="ListNumber"/>
        <w:spacing w:after="60" w:line="276" w:lineRule="auto"/>
      </w:pPr>
      <w:r>
        <w:t>Open https://oneflow.highrulez.com.</w:t>
      </w:r>
    </w:p>
    <w:p>
      <w:pPr>
        <w:pStyle w:val="ListNumber"/>
        <w:spacing w:after="60" w:line="276" w:lineRule="auto"/>
      </w:pPr>
      <w:r>
        <w:t>Select a demo role or synthetic employee journey account.</w:t>
      </w:r>
    </w:p>
    <w:p>
      <w:pPr>
        <w:pStyle w:val="ListNumber"/>
        <w:spacing w:after="60" w:line="276" w:lineRule="auto"/>
      </w:pPr>
      <w:r>
        <w:t>Use quick login or the provided demo sign-in.</w:t>
      </w:r>
    </w:p>
    <w:p>
      <w:pPr>
        <w:pStyle w:val="ListNumber"/>
        <w:spacing w:after="60" w:line="276" w:lineRule="auto"/>
      </w:pPr>
      <w:r>
        <w:t>Review the role-specific navigation and content.</w:t>
      </w:r>
    </w:p>
    <w:p>
      <w:pPr>
        <w:spacing w:after="120" w:line="264" w:lineRule="auto"/>
      </w:pPr>
      <w:r>
        <w:rPr>
          <w:rFonts w:ascii="Calibri" w:hAnsi="Calibri"/>
          <w:b w:val="0"/>
          <w:i w:val="0"/>
          <w:color w:val="000000"/>
          <w:sz w:val="22"/>
        </w:rPr>
        <w:t>All accounts and identities are synthetic `@ppg-demo.com` identities. The dashboard is a summary of priorities; My Tasks is the actual work queue.</w:t>
      </w:r>
    </w:p>
    <w:p>
      <w:r>
        <w:br w:type="page"/>
      </w:r>
    </w:p>
    <w:p>
      <w:pPr>
        <w:pStyle w:val="Heading1"/>
        <w:keepNext/>
      </w:pPr>
      <w:r>
        <w:t>User manual — Admin Dashboard and role work</w:t>
      </w:r>
    </w:p>
    <w:p>
      <w:pPr>
        <w:spacing w:after="120" w:line="264" w:lineRule="auto"/>
      </w:pPr>
      <w:r>
        <w:rPr>
          <w:rFonts w:ascii="Calibri" w:hAnsi="Calibri"/>
          <w:b w:val="0"/>
          <w:i w:val="0"/>
          <w:color w:val="000000"/>
          <w:sz w:val="22"/>
        </w:rPr>
        <w:t>Admin Dashboard answers: Which lifecycle cases need attention? Which joiners or leavers are approaching? Where is work blocked or overdue? Use Lifecycle Cases to open a cross-functional view. Use Reports for prototype trend and bottleneck views.</w:t>
      </w:r>
    </w:p>
    <w:p>
      <w:pPr>
        <w:spacing w:after="120" w:line="264" w:lineRule="auto"/>
      </w:pPr>
      <w:r>
        <w:rPr>
          <w:rFonts w:ascii="Calibri" w:hAnsi="Calibri"/>
          <w:b w:val="0"/>
          <w:i w:val="0"/>
          <w:color w:val="000000"/>
          <w:sz w:val="22"/>
        </w:rPr>
        <w:t>For a role example, sign in as IT Security. The role dashboard provides the employee journeys, upcoming responsibilities and workload relevant to that role. Open My Tasks to filter, preview or open actual tasks by lifecycle, responsible team, priority, due date and status; complete work where the role is permitted to do so.</w:t>
      </w:r>
    </w:p>
    <w:p>
      <w:r>
        <w:br w:type="page"/>
      </w:r>
    </w:p>
    <w:p>
      <w:pPr>
        <w:pStyle w:val="Heading1"/>
        <w:keepNext/>
      </w:pPr>
      <w:r>
        <w:t>User manual — employee journeys</w:t>
      </w:r>
    </w:p>
    <w:p>
      <w:pPr>
        <w:spacing w:after="120" w:line="264" w:lineRule="auto"/>
      </w:pPr>
      <w:r>
        <w:rPr>
          <w:rFonts w:ascii="Calibri" w:hAnsi="Calibri"/>
          <w:b w:val="0"/>
          <w:i w:val="0"/>
          <w:color w:val="000000"/>
          <w:sz w:val="22"/>
        </w:rPr>
        <w:t>Use Nabila for onboarding. My Onboarding provides start-date context, Day 1 Readiness, a countdown, Next Action and journey stages. My Tasks, My Inbox, My Forms and My Profile give the employee a single view of actions, messages, forms and synthetic profile data.</w:t>
      </w:r>
    </w:p>
    <w:p>
      <w:pPr>
        <w:spacing w:after="120" w:line="264" w:lineRule="auto"/>
      </w:pPr>
      <w:r>
        <w:rPr>
          <w:rFonts w:ascii="Calibri" w:hAnsi="Calibri"/>
          <w:b w:val="0"/>
          <w:i w:val="0"/>
          <w:color w:val="000000"/>
          <w:sz w:val="22"/>
        </w:rPr>
        <w:t>Use Hamdan for offboarding. My Offboarding focuses on exit progress, Exit Clearance, outstanding actions, forms, messages, returns and clearance progress.</w:t>
      </w:r>
    </w:p>
    <w:p>
      <w:r>
        <w:br w:type="page"/>
      </w:r>
    </w:p>
    <w:p>
      <w:pPr>
        <w:pStyle w:val="Heading1"/>
        <w:keepNext/>
      </w:pPr>
      <w:r>
        <w:t>How to send a prototype test email</w:t>
      </w:r>
    </w:p>
    <w:p>
      <w:pPr>
        <w:spacing w:after="120" w:line="264" w:lineRule="auto"/>
      </w:pPr>
      <w:r>
        <w:rPr>
          <w:rFonts w:ascii="Calibri" w:hAnsi="Calibri"/>
          <w:b w:val="0"/>
          <w:i w:val="0"/>
          <w:color w:val="000000"/>
          <w:sz w:val="22"/>
        </w:rPr>
        <w:t>AWS SES is already configured server-side for optional prototype test delivery. A normal admin does not enter AWS credentials.</w:t>
      </w:r>
    </w:p>
    <w:p>
      <w:pPr>
        <w:pStyle w:val="ListNumber"/>
        <w:spacing w:after="60" w:line="276" w:lineRule="auto"/>
      </w:pPr>
      <w:r>
        <w:t>Login as OneFlow Admin.</w:t>
      </w:r>
    </w:p>
    <w:p>
      <w:pPr>
        <w:pStyle w:val="ListNumber"/>
        <w:spacing w:after="60" w:line="276" w:lineRule="auto"/>
      </w:pPr>
      <w:r>
        <w:t>Open Settings, then Email Delivery.</w:t>
      </w:r>
    </w:p>
    <w:p>
      <w:pPr>
        <w:pStyle w:val="ListNumber"/>
        <w:spacing w:after="60" w:line="276" w:lineRule="auto"/>
      </w:pPr>
      <w:r>
        <w:t>Confirm the delivery configuration.</w:t>
      </w:r>
    </w:p>
    <w:p>
      <w:pPr>
        <w:pStyle w:val="ListNumber"/>
        <w:spacing w:after="60" w:line="276" w:lineRule="auto"/>
      </w:pPr>
      <w:r>
        <w:t>Open Recipient Mappings and find the synthetic identity, for example nabila.aziz@ppg-demo.com.</w:t>
      </w:r>
    </w:p>
    <w:p>
      <w:pPr>
        <w:pStyle w:val="ListNumber"/>
        <w:spacing w:after="60" w:line="276" w:lineRule="auto"/>
      </w:pPr>
      <w:r>
        <w:t>Enter or update its approved Delivery Destination and save.</w:t>
      </w:r>
    </w:p>
    <w:p>
      <w:pPr>
        <w:pStyle w:val="ListNumber"/>
        <w:spacing w:after="60" w:line="276" w:lineRule="auto"/>
      </w:pPr>
      <w:r>
        <w:t>Select the simulated recipient in the test email area and choose Send Test Email.</w:t>
      </w:r>
    </w:p>
    <w:p>
      <w:pPr>
        <w:pStyle w:val="ListNumber"/>
        <w:spacing w:after="60" w:line="276" w:lineRule="auto"/>
      </w:pPr>
      <w:r>
        <w:t>Check the mapped destination mailbox and review delivery result or audit where available.</w:t>
      </w:r>
    </w:p>
    <w:tbl>
      <w:tblPr>
        <w:tblStyle w:val="TableGrid"/>
        <w:tblW w:type="auto" w:w="0"/>
        <w:jc w:val="center"/>
        <w:tblLook w:firstColumn="1" w:firstRow="1" w:lastColumn="0" w:lastRow="0" w:noHBand="0" w:noVBand="1" w:val="04A0"/>
      </w:tblPr>
      <w:tblGrid>
        <w:gridCol w:w="9648"/>
      </w:tblGrid>
      <w:tr>
        <w:tc>
          <w:tcPr>
            <w:tcW w:type="dxa" w:w="9648"/>
            <w:shd w:fill="E8EEF5"/>
            <w:tcMar>
              <w:top w:w="120" w:type="dxa"/>
              <w:start w:w="180" w:type="dxa"/>
              <w:bottom w:w="120" w:type="dxa"/>
              <w:end w:w="180" w:type="dxa"/>
            </w:tcMar>
          </w:tcPr>
          <w:p>
            <w:pPr>
              <w:spacing w:after="40"/>
            </w:pPr>
            <w:r>
              <w:rPr>
                <w:rFonts w:ascii="Calibri" w:hAnsi="Calibri"/>
                <w:b/>
                <w:i w:val="0"/>
                <w:color w:val="2E74B5"/>
                <w:sz w:val="18"/>
              </w:rPr>
              <w:t xml:space="preserve">PRIVACY NOTE  </w:t>
            </w:r>
            <w:r>
              <w:rPr>
                <w:rFonts w:ascii="Calibri" w:hAnsi="Calibri"/>
                <w:b w:val="0"/>
                <w:i w:val="0"/>
                <w:color w:val="0B2545"/>
                <w:sz w:val="20"/>
              </w:rPr>
              <w:t>The real test destination must not be shown in public screenshots or documentation. Synthetic identities are safe to show; credentials remain server-side.</w:t>
            </w:r>
          </w:p>
        </w:tc>
      </w:tr>
    </w:tbl>
    <w:p>
      <w:pPr>
        <w:spacing w:after="80" w:line="264" w:lineRule="auto"/>
      </w:pPr>
      <w:r>
        <w:rPr>
          <w:rFonts w:ascii="Calibri" w:hAnsi="Calibri"/>
          <w:b w:val="0"/>
          <w:i w:val="0"/>
          <w:color w:val="000000"/>
          <w:sz w:val="22"/>
        </w:rPr>
      </w:r>
    </w:p>
    <w:p>
      <w:r>
        <w:br w:type="page"/>
      </w:r>
    </w:p>
    <w:p>
      <w:pPr>
        <w:pStyle w:val="Heading1"/>
        <w:keepNext/>
      </w:pPr>
      <w:r>
        <w:t>Email architecture and troubleshooting</w:t>
      </w:r>
    </w:p>
    <w:p>
      <w:pPr>
        <w:spacing w:after="120" w:line="264" w:lineRule="auto"/>
      </w:pPr>
      <w:r>
        <w:rPr>
          <w:rFonts w:ascii="Calibri" w:hAnsi="Calibri"/>
          <w:b w:val="0"/>
          <w:i w:val="0"/>
          <w:color w:val="000000"/>
          <w:sz w:val="22"/>
        </w:rPr>
        <w:t>Prototype: AWS SES provides optional real test-email delivery alongside the in-app Mock Inbox audit channel. Production recommendation: Microsoft 365 / Outlook / Exchange Online, using Power Automate, Microsoft Graph or an approved enterprise messaging integration. AWS SES is not the recommended production architecture.</w:t>
      </w:r>
    </w:p>
    <w:tbl>
      <w:tblPr>
        <w:tblStyle w:val="TableGrid"/>
        <w:tblW w:type="auto" w:w="0"/>
        <w:jc w:val="center"/>
        <w:tblLayout w:type="fixed"/>
        <w:tblLook w:firstColumn="1" w:firstRow="1" w:lastColumn="0" w:lastRow="0" w:noHBand="0" w:noVBand="1" w:val="04A0"/>
      </w:tblPr>
      <w:tblGrid>
        <w:gridCol w:w="4824"/>
        <w:gridCol w:w="4824"/>
      </w:tblGrid>
      <w:tr>
        <w:tc>
          <w:tcPr>
            <w:tcW w:type="dxa" w:w="2880"/>
            <w:shd w:fill="E8EEF5"/>
            <w:tcMar>
              <w:top w:w="80" w:type="dxa"/>
              <w:start w:w="120" w:type="dxa"/>
              <w:bottom w:w="80" w:type="dxa"/>
              <w:end w:w="120" w:type="dxa"/>
            </w:tcMar>
            <w:vAlign w:val="center"/>
          </w:tcPr>
          <w:p>
            <w:pPr>
              <w:spacing w:after="0"/>
            </w:pPr>
            <w:r>
              <w:rPr>
                <w:rFonts w:ascii="Calibri" w:hAnsi="Calibri"/>
                <w:b/>
                <w:i w:val="0"/>
                <w:color w:val="0B2545"/>
                <w:sz w:val="18"/>
              </w:rPr>
              <w:t>If</w:t>
            </w:r>
          </w:p>
        </w:tc>
        <w:tc>
          <w:tcPr>
            <w:tcW w:type="dxa" w:w="6480"/>
            <w:shd w:fill="E8EEF5"/>
            <w:tcMar>
              <w:top w:w="80" w:type="dxa"/>
              <w:start w:w="120" w:type="dxa"/>
              <w:bottom w:w="80" w:type="dxa"/>
              <w:end w:w="120" w:type="dxa"/>
            </w:tcMar>
            <w:vAlign w:val="center"/>
          </w:tcPr>
          <w:p>
            <w:pPr>
              <w:spacing w:after="0"/>
            </w:pPr>
            <w:r>
              <w:rPr>
                <w:rFonts w:ascii="Calibri" w:hAnsi="Calibri"/>
                <w:b/>
                <w:i w:val="0"/>
                <w:color w:val="0B2545"/>
                <w:sz w:val="18"/>
              </w:rPr>
              <w:t>Check</w:t>
            </w:r>
          </w:p>
        </w:tc>
      </w:tr>
      <w:tr>
        <w:tc>
          <w:tcPr>
            <w:tcW w:type="dxa" w:w="2880"/>
            <w:tcMar>
              <w:top w:w="80" w:type="dxa"/>
              <w:start w:w="120" w:type="dxa"/>
              <w:bottom w:w="80" w:type="dxa"/>
              <w:end w:w="120" w:type="dxa"/>
            </w:tcMar>
            <w:vAlign w:val="center"/>
          </w:tcPr>
          <w:p>
            <w:pPr>
              <w:spacing w:after="0"/>
            </w:pPr>
            <w:r>
              <w:rPr>
                <w:rFonts w:ascii="Calibri" w:hAnsi="Calibri"/>
                <w:b w:val="0"/>
                <w:i w:val="0"/>
                <w:color w:val="222222"/>
                <w:sz w:val="17"/>
              </w:rPr>
              <w:t>Recipient did not receive email</w:t>
            </w:r>
          </w:p>
        </w:tc>
        <w:tc>
          <w:tcPr>
            <w:tcW w:type="dxa" w:w="6480"/>
            <w:tcMar>
              <w:top w:w="80" w:type="dxa"/>
              <w:start w:w="120" w:type="dxa"/>
              <w:bottom w:w="80" w:type="dxa"/>
              <w:end w:w="120" w:type="dxa"/>
            </w:tcMar>
            <w:vAlign w:val="center"/>
          </w:tcPr>
          <w:p>
            <w:pPr>
              <w:spacing w:after="0"/>
            </w:pPr>
            <w:r>
              <w:rPr>
                <w:rFonts w:ascii="Calibri" w:hAnsi="Calibri"/>
                <w:b w:val="0"/>
                <w:i w:val="0"/>
                <w:color w:val="222222"/>
                <w:sz w:val="17"/>
              </w:rPr>
              <w:t>Verify recipient mapping and its approved destination.</w:t>
            </w:r>
          </w:p>
        </w:tc>
      </w:tr>
      <w:tr>
        <w:tc>
          <w:tcPr>
            <w:tcW w:type="dxa" w:w="2880"/>
            <w:tcMar>
              <w:top w:w="80" w:type="dxa"/>
              <w:start w:w="120" w:type="dxa"/>
              <w:bottom w:w="80" w:type="dxa"/>
              <w:end w:w="120" w:type="dxa"/>
            </w:tcMar>
            <w:vAlign w:val="center"/>
          </w:tcPr>
          <w:p>
            <w:pPr>
              <w:spacing w:after="0"/>
            </w:pPr>
            <w:r>
              <w:rPr>
                <w:rFonts w:ascii="Calibri" w:hAnsi="Calibri"/>
                <w:b w:val="0"/>
                <w:i w:val="0"/>
                <w:color w:val="222222"/>
                <w:sz w:val="17"/>
              </w:rPr>
              <w:t>Settings do not persist</w:t>
            </w:r>
          </w:p>
        </w:tc>
        <w:tc>
          <w:tcPr>
            <w:tcW w:type="dxa" w:w="6480"/>
            <w:tcMar>
              <w:top w:w="80" w:type="dxa"/>
              <w:start w:w="120" w:type="dxa"/>
              <w:bottom w:w="80" w:type="dxa"/>
              <w:end w:w="120" w:type="dxa"/>
            </w:tcMar>
            <w:vAlign w:val="center"/>
          </w:tcPr>
          <w:p>
            <w:pPr>
              <w:spacing w:after="0"/>
            </w:pPr>
            <w:r>
              <w:rPr>
                <w:rFonts w:ascii="Calibri" w:hAnsi="Calibri"/>
                <w:b w:val="0"/>
                <w:i w:val="0"/>
                <w:color w:val="222222"/>
                <w:sz w:val="17"/>
              </w:rPr>
              <w:t>Verify application settings persistence or container storage.</w:t>
            </w:r>
          </w:p>
        </w:tc>
      </w:tr>
      <w:tr>
        <w:tc>
          <w:tcPr>
            <w:tcW w:type="dxa" w:w="2880"/>
            <w:tcMar>
              <w:top w:w="80" w:type="dxa"/>
              <w:start w:w="120" w:type="dxa"/>
              <w:bottom w:w="80" w:type="dxa"/>
              <w:end w:w="120" w:type="dxa"/>
            </w:tcMar>
            <w:vAlign w:val="center"/>
          </w:tcPr>
          <w:p>
            <w:pPr>
              <w:spacing w:after="0"/>
            </w:pPr>
            <w:r>
              <w:rPr>
                <w:rFonts w:ascii="Calibri" w:hAnsi="Calibri"/>
                <w:b w:val="0"/>
                <w:i w:val="0"/>
                <w:color w:val="222222"/>
                <w:sz w:val="17"/>
              </w:rPr>
              <w:t>Credential error</w:t>
            </w:r>
          </w:p>
        </w:tc>
        <w:tc>
          <w:tcPr>
            <w:tcW w:type="dxa" w:w="6480"/>
            <w:tcMar>
              <w:top w:w="80" w:type="dxa"/>
              <w:start w:w="120" w:type="dxa"/>
              <w:bottom w:w="80" w:type="dxa"/>
              <w:end w:w="120" w:type="dxa"/>
            </w:tcMar>
            <w:vAlign w:val="center"/>
          </w:tcPr>
          <w:p>
            <w:pPr>
              <w:spacing w:after="0"/>
            </w:pPr>
            <w:r>
              <w:rPr>
                <w:rFonts w:ascii="Calibri" w:hAnsi="Calibri"/>
                <w:b w:val="0"/>
                <w:i w:val="0"/>
                <w:color w:val="222222"/>
                <w:sz w:val="17"/>
              </w:rPr>
              <w:t>AWS credentials are server-side; do not enter them in the UI.</w:t>
            </w:r>
          </w:p>
        </w:tc>
      </w:tr>
      <w:tr>
        <w:tc>
          <w:tcPr>
            <w:tcW w:type="dxa" w:w="2880"/>
            <w:tcMar>
              <w:top w:w="80" w:type="dxa"/>
              <w:start w:w="120" w:type="dxa"/>
              <w:bottom w:w="80" w:type="dxa"/>
              <w:end w:w="120" w:type="dxa"/>
            </w:tcMar>
            <w:vAlign w:val="center"/>
          </w:tcPr>
          <w:p>
            <w:pPr>
              <w:spacing w:after="0"/>
            </w:pPr>
            <w:r>
              <w:rPr>
                <w:rFonts w:ascii="Calibri" w:hAnsi="Calibri"/>
                <w:b w:val="0"/>
                <w:i w:val="0"/>
                <w:color w:val="222222"/>
                <w:sz w:val="17"/>
              </w:rPr>
              <w:t>SignatureDoesNotMatch</w:t>
            </w:r>
          </w:p>
        </w:tc>
        <w:tc>
          <w:tcPr>
            <w:tcW w:type="dxa" w:w="6480"/>
            <w:tcMar>
              <w:top w:w="80" w:type="dxa"/>
              <w:start w:w="120" w:type="dxa"/>
              <w:bottom w:w="80" w:type="dxa"/>
              <w:end w:w="120" w:type="dxa"/>
            </w:tcMar>
            <w:vAlign w:val="center"/>
          </w:tcPr>
          <w:p>
            <w:pPr>
              <w:spacing w:after="0"/>
            </w:pPr>
            <w:r>
              <w:rPr>
                <w:rFonts w:ascii="Calibri" w:hAnsi="Calibri"/>
                <w:b w:val="0"/>
                <w:i w:val="0"/>
                <w:color w:val="222222"/>
                <w:sz w:val="17"/>
              </w:rPr>
              <w:t>Verify key/secret pair and region server-side.</w:t>
            </w:r>
          </w:p>
        </w:tc>
      </w:tr>
      <w:tr>
        <w:tc>
          <w:tcPr>
            <w:tcW w:type="dxa" w:w="2880"/>
            <w:tcMar>
              <w:top w:w="80" w:type="dxa"/>
              <w:start w:w="120" w:type="dxa"/>
              <w:bottom w:w="80" w:type="dxa"/>
              <w:end w:w="120" w:type="dxa"/>
            </w:tcMar>
            <w:vAlign w:val="center"/>
          </w:tcPr>
          <w:p>
            <w:pPr>
              <w:spacing w:after="0"/>
            </w:pPr>
            <w:r>
              <w:rPr>
                <w:rFonts w:ascii="Calibri" w:hAnsi="Calibri"/>
                <w:b w:val="0"/>
                <w:i w:val="0"/>
                <w:color w:val="222222"/>
                <w:sz w:val="17"/>
              </w:rPr>
              <w:t>Sender rejected</w:t>
            </w:r>
          </w:p>
        </w:tc>
        <w:tc>
          <w:tcPr>
            <w:tcW w:type="dxa" w:w="6480"/>
            <w:tcMar>
              <w:top w:w="80" w:type="dxa"/>
              <w:start w:w="120" w:type="dxa"/>
              <w:bottom w:w="80" w:type="dxa"/>
              <w:end w:w="120" w:type="dxa"/>
            </w:tcMar>
            <w:vAlign w:val="center"/>
          </w:tcPr>
          <w:p>
            <w:pPr>
              <w:spacing w:after="0"/>
            </w:pPr>
            <w:r>
              <w:rPr>
                <w:rFonts w:ascii="Calibri" w:hAnsi="Calibri"/>
                <w:b w:val="0"/>
                <w:i w:val="0"/>
                <w:color w:val="222222"/>
                <w:sz w:val="17"/>
              </w:rPr>
              <w:t>Verify SES sender identity and configuration.</w:t>
            </w:r>
          </w:p>
        </w:tc>
      </w:tr>
    </w:tbl>
    <w:p>
      <w:pPr>
        <w:spacing w:after="40" w:line="264" w:lineRule="auto"/>
      </w:pPr>
      <w:r>
        <w:rPr>
          <w:rFonts w:ascii="Calibri" w:hAnsi="Calibri"/>
          <w:b w:val="0"/>
          <w:i w:val="0"/>
          <w:color w:val="000000"/>
          <w:sz w:val="22"/>
        </w:rPr>
      </w:r>
    </w:p>
    <w:p>
      <w:r>
        <w:br w:type="page"/>
      </w:r>
    </w:p>
    <w:p>
      <w:pPr>
        <w:pStyle w:val="Heading1"/>
        <w:keepNext/>
      </w:pPr>
      <w:r>
        <w:t>Current prototype architecture</w:t>
      </w:r>
    </w:p>
    <w:p>
      <w:r>
        <w:drawing>
          <wp:inline xmlns:a="http://schemas.openxmlformats.org/drawingml/2006/main" xmlns:pic="http://schemas.openxmlformats.org/drawingml/2006/picture">
            <wp:extent cx="5852160" cy="2965094"/>
            <wp:docPr id="1" name="Picture 1"/>
            <wp:cNvGraphicFramePr>
              <a:graphicFrameLocks noChangeAspect="1"/>
            </wp:cNvGraphicFramePr>
            <a:graphic>
              <a:graphicData uri="http://schemas.openxmlformats.org/drawingml/2006/picture">
                <pic:pic>
                  <pic:nvPicPr>
                    <pic:cNvPr id="0" name="prototype-architecture.png"/>
                    <pic:cNvPicPr/>
                  </pic:nvPicPr>
                  <pic:blipFill>
                    <a:blip r:embed="rId11"/>
                    <a:stretch>
                      <a:fillRect/>
                    </a:stretch>
                  </pic:blipFill>
                  <pic:spPr>
                    <a:xfrm>
                      <a:off x="0" y="0"/>
                      <a:ext cx="5852160" cy="2965094"/>
                    </a:xfrm>
                    <a:prstGeom prst="rect"/>
                  </pic:spPr>
                </pic:pic>
              </a:graphicData>
            </a:graphic>
          </wp:inline>
        </w:drawing>
      </w:r>
    </w:p>
    <w:p>
      <w:pPr>
        <w:spacing w:after="200" w:line="264" w:lineRule="auto"/>
      </w:pPr>
      <w:r>
        <w:rPr>
          <w:rFonts w:ascii="Calibri" w:hAnsi="Calibri"/>
          <w:b w:val="0"/>
          <w:i/>
          <w:color w:val="667085"/>
          <w:sz w:val="18"/>
        </w:rPr>
        <w:t>Figure 1 — Current prototype architecture. The browser accesses OneFlow and the Workday mock, delivered by the Next.js application. Data uses prototype persistence; automation is simulated, and AWS SES is optional for safe test delivery.</w:t>
      </w:r>
    </w:p>
    <w:p>
      <w:r>
        <w:br w:type="page"/>
      </w:r>
    </w:p>
    <w:p>
      <w:pPr>
        <w:pStyle w:val="Heading1"/>
        <w:keepNext/>
      </w:pPr>
      <w:r>
        <w:t>Proposed production architecture</w:t>
      </w:r>
    </w:p>
    <w:p>
      <w:r>
        <w:drawing>
          <wp:inline xmlns:a="http://schemas.openxmlformats.org/drawingml/2006/main" xmlns:pic="http://schemas.openxmlformats.org/drawingml/2006/picture">
            <wp:extent cx="5852160" cy="2965094"/>
            <wp:docPr id="2" name="Picture 2"/>
            <wp:cNvGraphicFramePr>
              <a:graphicFrameLocks noChangeAspect="1"/>
            </wp:cNvGraphicFramePr>
            <a:graphic>
              <a:graphicData uri="http://schemas.openxmlformats.org/drawingml/2006/picture">
                <pic:pic>
                  <pic:nvPicPr>
                    <pic:cNvPr id="0" name="proposed-production-architecture.png"/>
                    <pic:cNvPicPr/>
                  </pic:nvPicPr>
                  <pic:blipFill>
                    <a:blip r:embed="rId12"/>
                    <a:stretch>
                      <a:fillRect/>
                    </a:stretch>
                  </pic:blipFill>
                  <pic:spPr>
                    <a:xfrm>
                      <a:off x="0" y="0"/>
                      <a:ext cx="5852160" cy="2965094"/>
                    </a:xfrm>
                    <a:prstGeom prst="rect"/>
                  </pic:spPr>
                </pic:pic>
              </a:graphicData>
            </a:graphic>
          </wp:inline>
        </w:drawing>
      </w:r>
    </w:p>
    <w:p>
      <w:pPr>
        <w:spacing w:after="200" w:line="264" w:lineRule="auto"/>
      </w:pPr>
      <w:r>
        <w:rPr>
          <w:rFonts w:ascii="Calibri" w:hAnsi="Calibri"/>
          <w:b w:val="0"/>
          <w:i/>
          <w:color w:val="667085"/>
          <w:sz w:val="18"/>
        </w:rPr>
        <w:t>Figure 2 — Proposed Production Architecture — Not Implemented. Workday remains the source of lifecycle events; OneFlow becomes the lifecycle workspace using governed Microsoft identity, data, workflow, messaging and analytics services.</w:t>
      </w:r>
    </w:p>
    <w:p>
      <w:r>
        <w:br w:type="page"/>
      </w:r>
    </w:p>
    <w:p>
      <w:pPr>
        <w:pStyle w:val="Heading1"/>
        <w:keepNext/>
      </w:pPr>
      <w:r>
        <w:t>Technology recommendation and why Microsoft</w:t>
      </w:r>
    </w:p>
    <w:tbl>
      <w:tblPr>
        <w:tblStyle w:val="TableGrid"/>
        <w:tblW w:type="auto" w:w="0"/>
        <w:jc w:val="center"/>
        <w:tblLayout w:type="fixed"/>
        <w:tblLook w:firstColumn="1" w:firstRow="1" w:lastColumn="0" w:lastRow="0" w:noHBand="0" w:noVBand="1" w:val="04A0"/>
      </w:tblPr>
      <w:tblGrid>
        <w:gridCol w:w="4824"/>
        <w:gridCol w:w="4824"/>
      </w:tblGrid>
      <w:tr>
        <w:tc>
          <w:tcPr>
            <w:tcW w:type="dxa" w:w="3168"/>
            <w:shd w:fill="E8EEF5"/>
            <w:tcMar>
              <w:top w:w="80" w:type="dxa"/>
              <w:start w:w="120" w:type="dxa"/>
              <w:bottom w:w="80" w:type="dxa"/>
              <w:end w:w="120" w:type="dxa"/>
            </w:tcMar>
            <w:vAlign w:val="center"/>
          </w:tcPr>
          <w:p>
            <w:pPr>
              <w:spacing w:after="0"/>
            </w:pPr>
            <w:r>
              <w:rPr>
                <w:rFonts w:ascii="Calibri" w:hAnsi="Calibri"/>
                <w:b/>
                <w:i w:val="0"/>
                <w:color w:val="0B2545"/>
                <w:sz w:val="18"/>
              </w:rPr>
              <w:t>Service</w:t>
            </w:r>
          </w:p>
        </w:tc>
        <w:tc>
          <w:tcPr>
            <w:tcW w:type="dxa" w:w="6192"/>
            <w:shd w:fill="E8EEF5"/>
            <w:tcMar>
              <w:top w:w="80" w:type="dxa"/>
              <w:start w:w="120" w:type="dxa"/>
              <w:bottom w:w="80" w:type="dxa"/>
              <w:end w:w="120" w:type="dxa"/>
            </w:tcMar>
            <w:vAlign w:val="center"/>
          </w:tcPr>
          <w:p>
            <w:pPr>
              <w:spacing w:after="0"/>
            </w:pPr>
            <w:r>
              <w:rPr>
                <w:rFonts w:ascii="Calibri" w:hAnsi="Calibri"/>
                <w:b/>
                <w:i w:val="0"/>
                <w:color w:val="0B2545"/>
                <w:sz w:val="18"/>
              </w:rPr>
              <w:t>Recommended role</w:t>
            </w:r>
          </w:p>
        </w:tc>
      </w:tr>
      <w:tr>
        <w:tc>
          <w:tcPr>
            <w:tcW w:type="dxa" w:w="3168"/>
            <w:tcMar>
              <w:top w:w="80" w:type="dxa"/>
              <w:start w:w="120" w:type="dxa"/>
              <w:bottom w:w="80" w:type="dxa"/>
              <w:end w:w="120" w:type="dxa"/>
            </w:tcMar>
            <w:vAlign w:val="center"/>
          </w:tcPr>
          <w:p>
            <w:pPr>
              <w:spacing w:after="0"/>
            </w:pPr>
            <w:r>
              <w:rPr>
                <w:rFonts w:ascii="Calibri" w:hAnsi="Calibri"/>
                <w:b w:val="0"/>
                <w:i w:val="0"/>
                <w:color w:val="222222"/>
                <w:sz w:val="17"/>
              </w:rPr>
              <w:t>Microsoft Entra ID</w:t>
            </w:r>
          </w:p>
        </w:tc>
        <w:tc>
          <w:tcPr>
            <w:tcW w:type="dxa" w:w="6192"/>
            <w:tcMar>
              <w:top w:w="80" w:type="dxa"/>
              <w:start w:w="120" w:type="dxa"/>
              <w:bottom w:w="80" w:type="dxa"/>
              <w:end w:w="120" w:type="dxa"/>
            </w:tcMar>
            <w:vAlign w:val="center"/>
          </w:tcPr>
          <w:p>
            <w:pPr>
              <w:spacing w:after="0"/>
            </w:pPr>
            <w:r>
              <w:rPr>
                <w:rFonts w:ascii="Calibri" w:hAnsi="Calibri"/>
                <w:b w:val="0"/>
                <w:i w:val="0"/>
                <w:color w:val="222222"/>
                <w:sz w:val="17"/>
              </w:rPr>
              <w:t>Identity, SSO and role-based access.</w:t>
            </w:r>
          </w:p>
        </w:tc>
      </w:tr>
      <w:tr>
        <w:tc>
          <w:tcPr>
            <w:tcW w:type="dxa" w:w="3168"/>
            <w:tcMar>
              <w:top w:w="80" w:type="dxa"/>
              <w:start w:w="120" w:type="dxa"/>
              <w:bottom w:w="80" w:type="dxa"/>
              <w:end w:w="120" w:type="dxa"/>
            </w:tcMar>
            <w:vAlign w:val="center"/>
          </w:tcPr>
          <w:p>
            <w:pPr>
              <w:spacing w:after="0"/>
            </w:pPr>
            <w:r>
              <w:rPr>
                <w:rFonts w:ascii="Calibri" w:hAnsi="Calibri"/>
                <w:b w:val="0"/>
                <w:i w:val="0"/>
                <w:color w:val="222222"/>
                <w:sz w:val="17"/>
              </w:rPr>
              <w:t>Workday APIs / approved integration</w:t>
            </w:r>
          </w:p>
        </w:tc>
        <w:tc>
          <w:tcPr>
            <w:tcW w:type="dxa" w:w="6192"/>
            <w:tcMar>
              <w:top w:w="80" w:type="dxa"/>
              <w:start w:w="120" w:type="dxa"/>
              <w:bottom w:w="80" w:type="dxa"/>
              <w:end w:w="120" w:type="dxa"/>
            </w:tcMar>
            <w:vAlign w:val="center"/>
          </w:tcPr>
          <w:p>
            <w:pPr>
              <w:spacing w:after="0"/>
            </w:pPr>
            <w:r>
              <w:rPr>
                <w:rFonts w:ascii="Calibri" w:hAnsi="Calibri"/>
                <w:b w:val="0"/>
                <w:i w:val="0"/>
                <w:color w:val="222222"/>
                <w:sz w:val="17"/>
              </w:rPr>
              <w:t>Authoritative employee lifecycle source.</w:t>
            </w:r>
          </w:p>
        </w:tc>
      </w:tr>
      <w:tr>
        <w:tc>
          <w:tcPr>
            <w:tcW w:type="dxa" w:w="3168"/>
            <w:tcMar>
              <w:top w:w="80" w:type="dxa"/>
              <w:start w:w="120" w:type="dxa"/>
              <w:bottom w:w="80" w:type="dxa"/>
              <w:end w:w="120" w:type="dxa"/>
            </w:tcMar>
            <w:vAlign w:val="center"/>
          </w:tcPr>
          <w:p>
            <w:pPr>
              <w:spacing w:after="0"/>
            </w:pPr>
            <w:r>
              <w:rPr>
                <w:rFonts w:ascii="Calibri" w:hAnsi="Calibri"/>
                <w:b w:val="0"/>
                <w:i w:val="0"/>
                <w:color w:val="222222"/>
                <w:sz w:val="17"/>
              </w:rPr>
              <w:t>Dataverse</w:t>
            </w:r>
          </w:p>
        </w:tc>
        <w:tc>
          <w:tcPr>
            <w:tcW w:type="dxa" w:w="6192"/>
            <w:tcMar>
              <w:top w:w="80" w:type="dxa"/>
              <w:start w:w="120" w:type="dxa"/>
              <w:bottom w:w="80" w:type="dxa"/>
              <w:end w:w="120" w:type="dxa"/>
            </w:tcMar>
            <w:vAlign w:val="center"/>
          </w:tcPr>
          <w:p>
            <w:pPr>
              <w:spacing w:after="0"/>
            </w:pPr>
            <w:r>
              <w:rPr>
                <w:rFonts w:ascii="Calibri" w:hAnsi="Calibri"/>
                <w:b w:val="0"/>
                <w:i w:val="0"/>
                <w:color w:val="222222"/>
                <w:sz w:val="17"/>
              </w:rPr>
              <w:t>Central governed lifecycle data model.</w:t>
            </w:r>
          </w:p>
        </w:tc>
      </w:tr>
      <w:tr>
        <w:tc>
          <w:tcPr>
            <w:tcW w:type="dxa" w:w="3168"/>
            <w:tcMar>
              <w:top w:w="80" w:type="dxa"/>
              <w:start w:w="120" w:type="dxa"/>
              <w:bottom w:w="80" w:type="dxa"/>
              <w:end w:w="120" w:type="dxa"/>
            </w:tcMar>
            <w:vAlign w:val="center"/>
          </w:tcPr>
          <w:p>
            <w:pPr>
              <w:spacing w:after="0"/>
            </w:pPr>
            <w:r>
              <w:rPr>
                <w:rFonts w:ascii="Calibri" w:hAnsi="Calibri"/>
                <w:b w:val="0"/>
                <w:i w:val="0"/>
                <w:color w:val="222222"/>
                <w:sz w:val="17"/>
              </w:rPr>
              <w:t>Power Automate</w:t>
            </w:r>
          </w:p>
        </w:tc>
        <w:tc>
          <w:tcPr>
            <w:tcW w:type="dxa" w:w="6192"/>
            <w:tcMar>
              <w:top w:w="80" w:type="dxa"/>
              <w:start w:w="120" w:type="dxa"/>
              <w:bottom w:w="80" w:type="dxa"/>
              <w:end w:w="120" w:type="dxa"/>
            </w:tcMar>
            <w:vAlign w:val="center"/>
          </w:tcPr>
          <w:p>
            <w:pPr>
              <w:spacing w:after="0"/>
            </w:pPr>
            <w:r>
              <w:rPr>
                <w:rFonts w:ascii="Calibri" w:hAnsi="Calibri"/>
                <w:b w:val="0"/>
                <w:i w:val="0"/>
                <w:color w:val="222222"/>
                <w:sz w:val="17"/>
              </w:rPr>
              <w:t>Workflow orchestration and notifications.</w:t>
            </w:r>
          </w:p>
        </w:tc>
      </w:tr>
      <w:tr>
        <w:tc>
          <w:tcPr>
            <w:tcW w:type="dxa" w:w="3168"/>
            <w:tcMar>
              <w:top w:w="80" w:type="dxa"/>
              <w:start w:w="120" w:type="dxa"/>
              <w:bottom w:w="80" w:type="dxa"/>
              <w:end w:w="120" w:type="dxa"/>
            </w:tcMar>
            <w:vAlign w:val="center"/>
          </w:tcPr>
          <w:p>
            <w:pPr>
              <w:spacing w:after="0"/>
            </w:pPr>
            <w:r>
              <w:rPr>
                <w:rFonts w:ascii="Calibri" w:hAnsi="Calibri"/>
                <w:b w:val="0"/>
                <w:i w:val="0"/>
                <w:color w:val="222222"/>
                <w:sz w:val="17"/>
              </w:rPr>
              <w:t>OneFlow</w:t>
            </w:r>
          </w:p>
        </w:tc>
        <w:tc>
          <w:tcPr>
            <w:tcW w:type="dxa" w:w="6192"/>
            <w:tcMar>
              <w:top w:w="80" w:type="dxa"/>
              <w:start w:w="120" w:type="dxa"/>
              <w:bottom w:w="80" w:type="dxa"/>
              <w:end w:w="120" w:type="dxa"/>
            </w:tcMar>
            <w:vAlign w:val="center"/>
          </w:tcPr>
          <w:p>
            <w:pPr>
              <w:spacing w:after="0"/>
            </w:pPr>
            <w:r>
              <w:rPr>
                <w:rFonts w:ascii="Calibri" w:hAnsi="Calibri"/>
                <w:b w:val="0"/>
                <w:i w:val="0"/>
                <w:color w:val="222222"/>
                <w:sz w:val="17"/>
              </w:rPr>
              <w:t>Employee experience and lifecycle workspace.</w:t>
            </w:r>
          </w:p>
        </w:tc>
      </w:tr>
      <w:tr>
        <w:tc>
          <w:tcPr>
            <w:tcW w:type="dxa" w:w="3168"/>
            <w:tcMar>
              <w:top w:w="80" w:type="dxa"/>
              <w:start w:w="120" w:type="dxa"/>
              <w:bottom w:w="80" w:type="dxa"/>
              <w:end w:w="120" w:type="dxa"/>
            </w:tcMar>
            <w:vAlign w:val="center"/>
          </w:tcPr>
          <w:p>
            <w:pPr>
              <w:spacing w:after="0"/>
            </w:pPr>
            <w:r>
              <w:rPr>
                <w:rFonts w:ascii="Calibri" w:hAnsi="Calibri"/>
                <w:b w:val="0"/>
                <w:i w:val="0"/>
                <w:color w:val="222222"/>
                <w:sz w:val="17"/>
              </w:rPr>
              <w:t>Microsoft 365 / Outlook</w:t>
            </w:r>
          </w:p>
        </w:tc>
        <w:tc>
          <w:tcPr>
            <w:tcW w:type="dxa" w:w="6192"/>
            <w:tcMar>
              <w:top w:w="80" w:type="dxa"/>
              <w:start w:w="120" w:type="dxa"/>
              <w:bottom w:w="80" w:type="dxa"/>
              <w:end w:w="120" w:type="dxa"/>
            </w:tcMar>
            <w:vAlign w:val="center"/>
          </w:tcPr>
          <w:p>
            <w:pPr>
              <w:spacing w:after="0"/>
            </w:pPr>
            <w:r>
              <w:rPr>
                <w:rFonts w:ascii="Calibri" w:hAnsi="Calibri"/>
                <w:b w:val="0"/>
                <w:i w:val="0"/>
                <w:color w:val="222222"/>
                <w:sz w:val="17"/>
              </w:rPr>
              <w:t>Notifications and communication.</w:t>
            </w:r>
          </w:p>
        </w:tc>
      </w:tr>
      <w:tr>
        <w:tc>
          <w:tcPr>
            <w:tcW w:type="dxa" w:w="3168"/>
            <w:tcMar>
              <w:top w:w="80" w:type="dxa"/>
              <w:start w:w="120" w:type="dxa"/>
              <w:bottom w:w="80" w:type="dxa"/>
              <w:end w:w="120" w:type="dxa"/>
            </w:tcMar>
            <w:vAlign w:val="center"/>
          </w:tcPr>
          <w:p>
            <w:pPr>
              <w:spacing w:after="0"/>
            </w:pPr>
            <w:r>
              <w:rPr>
                <w:rFonts w:ascii="Calibri" w:hAnsi="Calibri"/>
                <w:b w:val="0"/>
                <w:i w:val="0"/>
                <w:color w:val="222222"/>
                <w:sz w:val="17"/>
              </w:rPr>
              <w:t>Power BI</w:t>
            </w:r>
          </w:p>
        </w:tc>
        <w:tc>
          <w:tcPr>
            <w:tcW w:type="dxa" w:w="6192"/>
            <w:tcMar>
              <w:top w:w="80" w:type="dxa"/>
              <w:start w:w="120" w:type="dxa"/>
              <w:bottom w:w="80" w:type="dxa"/>
              <w:end w:w="120" w:type="dxa"/>
            </w:tcMar>
            <w:vAlign w:val="center"/>
          </w:tcPr>
          <w:p>
            <w:pPr>
              <w:spacing w:after="0"/>
            </w:pPr>
            <w:r>
              <w:rPr>
                <w:rFonts w:ascii="Calibri" w:hAnsi="Calibri"/>
                <w:b w:val="0"/>
                <w:i w:val="0"/>
                <w:color w:val="222222"/>
                <w:sz w:val="17"/>
              </w:rPr>
              <w:t>SLA, trend and lifecycle analytics.</w:t>
            </w:r>
          </w:p>
        </w:tc>
      </w:tr>
      <w:tr>
        <w:tc>
          <w:tcPr>
            <w:tcW w:type="dxa" w:w="3168"/>
            <w:tcMar>
              <w:top w:w="80" w:type="dxa"/>
              <w:start w:w="120" w:type="dxa"/>
              <w:bottom w:w="80" w:type="dxa"/>
              <w:end w:w="120" w:type="dxa"/>
            </w:tcMar>
            <w:vAlign w:val="center"/>
          </w:tcPr>
          <w:p>
            <w:pPr>
              <w:spacing w:after="0"/>
            </w:pPr>
            <w:r>
              <w:rPr>
                <w:rFonts w:ascii="Calibri" w:hAnsi="Calibri"/>
                <w:b w:val="0"/>
                <w:i w:val="0"/>
                <w:color w:val="222222"/>
                <w:sz w:val="17"/>
              </w:rPr>
              <w:t>Azure Key Vault / Monitor</w:t>
            </w:r>
          </w:p>
        </w:tc>
        <w:tc>
          <w:tcPr>
            <w:tcW w:type="dxa" w:w="6192"/>
            <w:tcMar>
              <w:top w:w="80" w:type="dxa"/>
              <w:start w:w="120" w:type="dxa"/>
              <w:bottom w:w="80" w:type="dxa"/>
              <w:end w:w="120" w:type="dxa"/>
            </w:tcMar>
            <w:vAlign w:val="center"/>
          </w:tcPr>
          <w:p>
            <w:pPr>
              <w:spacing w:after="0"/>
            </w:pPr>
            <w:r>
              <w:rPr>
                <w:rFonts w:ascii="Calibri" w:hAnsi="Calibri"/>
                <w:b w:val="0"/>
                <w:i w:val="0"/>
                <w:color w:val="222222"/>
                <w:sz w:val="17"/>
              </w:rPr>
              <w:t>Secrets, monitoring and operational insight.</w:t>
            </w:r>
          </w:p>
        </w:tc>
      </w:tr>
    </w:tbl>
    <w:p>
      <w:pPr>
        <w:spacing w:after="40" w:line="264" w:lineRule="auto"/>
      </w:pPr>
      <w:r>
        <w:rPr>
          <w:rFonts w:ascii="Calibri" w:hAnsi="Calibri"/>
          <w:b w:val="0"/>
          <w:i w:val="0"/>
          <w:color w:val="000000"/>
          <w:sz w:val="22"/>
        </w:rPr>
      </w:r>
    </w:p>
    <w:p>
      <w:pPr>
        <w:spacing w:after="120" w:line="264" w:lineRule="auto"/>
      </w:pPr>
      <w:r>
        <w:rPr>
          <w:rFonts w:ascii="Calibri" w:hAnsi="Calibri"/>
          <w:b w:val="0"/>
          <w:i w:val="0"/>
          <w:color w:val="000000"/>
          <w:sz w:val="22"/>
        </w:rPr>
        <w:t>A Microsoft-first direction aligns with enterprise identity, Microsoft 365 integration, Power Platform governance, reporting and Azure operations. Final architecture remains subject to enterprise architecture and security review.</w:t>
      </w:r>
    </w:p>
    <w:p>
      <w:r>
        <w:br w:type="page"/>
      </w:r>
    </w:p>
    <w:p>
      <w:pPr>
        <w:pStyle w:val="Heading1"/>
        <w:keepNext/>
      </w:pPr>
      <w:r>
        <w:t>Prototype versus production</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1944"/>
            <w:shd w:fill="E8EEF5"/>
            <w:tcMar>
              <w:top w:w="80" w:type="dxa"/>
              <w:start w:w="120" w:type="dxa"/>
              <w:bottom w:w="80" w:type="dxa"/>
              <w:end w:w="120" w:type="dxa"/>
            </w:tcMar>
            <w:vAlign w:val="center"/>
          </w:tcPr>
          <w:p>
            <w:pPr>
              <w:spacing w:after="0"/>
            </w:pPr>
            <w:r>
              <w:rPr>
                <w:rFonts w:ascii="Calibri" w:hAnsi="Calibri"/>
                <w:b/>
                <w:i w:val="0"/>
                <w:color w:val="0B2545"/>
                <w:sz w:val="18"/>
              </w:rPr>
              <w:t>Capability</w:t>
            </w:r>
          </w:p>
        </w:tc>
        <w:tc>
          <w:tcPr>
            <w:tcW w:type="dxa" w:w="3384"/>
            <w:shd w:fill="E8EEF5"/>
            <w:tcMar>
              <w:top w:w="80" w:type="dxa"/>
              <w:start w:w="120" w:type="dxa"/>
              <w:bottom w:w="80" w:type="dxa"/>
              <w:end w:w="120" w:type="dxa"/>
            </w:tcMar>
            <w:vAlign w:val="center"/>
          </w:tcPr>
          <w:p>
            <w:pPr>
              <w:spacing w:after="0"/>
            </w:pPr>
            <w:r>
              <w:rPr>
                <w:rFonts w:ascii="Calibri" w:hAnsi="Calibri"/>
                <w:b/>
                <w:i w:val="0"/>
                <w:color w:val="0B2545"/>
                <w:sz w:val="18"/>
              </w:rPr>
              <w:t>Hackathon prototype</w:t>
            </w:r>
          </w:p>
        </w:tc>
        <w:tc>
          <w:tcPr>
            <w:tcW w:type="dxa" w:w="4032"/>
            <w:shd w:fill="E8EEF5"/>
            <w:tcMar>
              <w:top w:w="80" w:type="dxa"/>
              <w:start w:w="120" w:type="dxa"/>
              <w:bottom w:w="80" w:type="dxa"/>
              <w:end w:w="120" w:type="dxa"/>
            </w:tcMar>
            <w:vAlign w:val="center"/>
          </w:tcPr>
          <w:p>
            <w:pPr>
              <w:spacing w:after="0"/>
            </w:pPr>
            <w:r>
              <w:rPr>
                <w:rFonts w:ascii="Calibri" w:hAnsi="Calibri"/>
                <w:b/>
                <w:i w:val="0"/>
                <w:color w:val="0B2545"/>
                <w:sz w:val="18"/>
              </w:rPr>
              <w:t>Production recommendation</w:t>
            </w:r>
          </w:p>
        </w:tc>
      </w:tr>
      <w:tr>
        <w:tc>
          <w:tcPr>
            <w:tcW w:type="dxa" w:w="1944"/>
            <w:tcMar>
              <w:top w:w="80" w:type="dxa"/>
              <w:start w:w="120" w:type="dxa"/>
              <w:bottom w:w="80" w:type="dxa"/>
              <w:end w:w="120" w:type="dxa"/>
            </w:tcMar>
            <w:vAlign w:val="center"/>
          </w:tcPr>
          <w:p>
            <w:pPr>
              <w:spacing w:after="0"/>
            </w:pPr>
            <w:r>
              <w:rPr>
                <w:rFonts w:ascii="Calibri" w:hAnsi="Calibri"/>
                <w:b w:val="0"/>
                <w:i w:val="0"/>
                <w:color w:val="222222"/>
                <w:sz w:val="17"/>
              </w:rPr>
              <w:t>HR source</w:t>
            </w:r>
          </w:p>
        </w:tc>
        <w:tc>
          <w:tcPr>
            <w:tcW w:type="dxa" w:w="3384"/>
            <w:tcMar>
              <w:top w:w="80" w:type="dxa"/>
              <w:start w:w="120" w:type="dxa"/>
              <w:bottom w:w="80" w:type="dxa"/>
              <w:end w:w="120" w:type="dxa"/>
            </w:tcMar>
            <w:vAlign w:val="center"/>
          </w:tcPr>
          <w:p>
            <w:pPr>
              <w:spacing w:after="0"/>
            </w:pPr>
            <w:r>
              <w:rPr>
                <w:rFonts w:ascii="Calibri" w:hAnsi="Calibri"/>
                <w:b w:val="0"/>
                <w:i w:val="0"/>
                <w:color w:val="222222"/>
                <w:sz w:val="17"/>
              </w:rPr>
              <w:t>Workday mock</w:t>
            </w:r>
          </w:p>
        </w:tc>
        <w:tc>
          <w:tcPr>
            <w:tcW w:type="dxa" w:w="4032"/>
            <w:tcMar>
              <w:top w:w="80" w:type="dxa"/>
              <w:start w:w="120" w:type="dxa"/>
              <w:bottom w:w="80" w:type="dxa"/>
              <w:end w:w="120" w:type="dxa"/>
            </w:tcMar>
            <w:vAlign w:val="center"/>
          </w:tcPr>
          <w:p>
            <w:pPr>
              <w:spacing w:after="0"/>
            </w:pPr>
            <w:r>
              <w:rPr>
                <w:rFonts w:ascii="Calibri" w:hAnsi="Calibri"/>
                <w:b w:val="0"/>
                <w:i w:val="0"/>
                <w:color w:val="222222"/>
                <w:sz w:val="17"/>
              </w:rPr>
              <w:t>Approved Workday integration</w:t>
            </w:r>
          </w:p>
        </w:tc>
      </w:tr>
      <w:tr>
        <w:tc>
          <w:tcPr>
            <w:tcW w:type="dxa" w:w="1944"/>
            <w:tcMar>
              <w:top w:w="80" w:type="dxa"/>
              <w:start w:w="120" w:type="dxa"/>
              <w:bottom w:w="80" w:type="dxa"/>
              <w:end w:w="120" w:type="dxa"/>
            </w:tcMar>
            <w:vAlign w:val="center"/>
          </w:tcPr>
          <w:p>
            <w:pPr>
              <w:spacing w:after="0"/>
            </w:pPr>
            <w:r>
              <w:rPr>
                <w:rFonts w:ascii="Calibri" w:hAnsi="Calibri"/>
                <w:b w:val="0"/>
                <w:i w:val="0"/>
                <w:color w:val="222222"/>
                <w:sz w:val="17"/>
              </w:rPr>
              <w:t>Authentication</w:t>
            </w:r>
          </w:p>
        </w:tc>
        <w:tc>
          <w:tcPr>
            <w:tcW w:type="dxa" w:w="3384"/>
            <w:tcMar>
              <w:top w:w="80" w:type="dxa"/>
              <w:start w:w="120" w:type="dxa"/>
              <w:bottom w:w="80" w:type="dxa"/>
              <w:end w:w="120" w:type="dxa"/>
            </w:tcMar>
            <w:vAlign w:val="center"/>
          </w:tcPr>
          <w:p>
            <w:pPr>
              <w:spacing w:after="0"/>
            </w:pPr>
            <w:r>
              <w:rPr>
                <w:rFonts w:ascii="Calibri" w:hAnsi="Calibri"/>
                <w:b w:val="0"/>
                <w:i w:val="0"/>
                <w:color w:val="222222"/>
                <w:sz w:val="17"/>
              </w:rPr>
              <w:t>Demo accounts</w:t>
            </w:r>
          </w:p>
        </w:tc>
        <w:tc>
          <w:tcPr>
            <w:tcW w:type="dxa" w:w="4032"/>
            <w:tcMar>
              <w:top w:w="80" w:type="dxa"/>
              <w:start w:w="120" w:type="dxa"/>
              <w:bottom w:w="80" w:type="dxa"/>
              <w:end w:w="120" w:type="dxa"/>
            </w:tcMar>
            <w:vAlign w:val="center"/>
          </w:tcPr>
          <w:p>
            <w:pPr>
              <w:spacing w:after="0"/>
            </w:pPr>
            <w:r>
              <w:rPr>
                <w:rFonts w:ascii="Calibri" w:hAnsi="Calibri"/>
                <w:b w:val="0"/>
                <w:i w:val="0"/>
                <w:color w:val="222222"/>
                <w:sz w:val="17"/>
              </w:rPr>
              <w:t>Microsoft Entra ID</w:t>
            </w:r>
          </w:p>
        </w:tc>
      </w:tr>
      <w:tr>
        <w:tc>
          <w:tcPr>
            <w:tcW w:type="dxa" w:w="1944"/>
            <w:tcMar>
              <w:top w:w="80" w:type="dxa"/>
              <w:start w:w="120" w:type="dxa"/>
              <w:bottom w:w="80" w:type="dxa"/>
              <w:end w:w="120" w:type="dxa"/>
            </w:tcMar>
            <w:vAlign w:val="center"/>
          </w:tcPr>
          <w:p>
            <w:pPr>
              <w:spacing w:after="0"/>
            </w:pPr>
            <w:r>
              <w:rPr>
                <w:rFonts w:ascii="Calibri" w:hAnsi="Calibri"/>
                <w:b w:val="0"/>
                <w:i w:val="0"/>
                <w:color w:val="222222"/>
                <w:sz w:val="17"/>
              </w:rPr>
              <w:t>Data</w:t>
            </w:r>
          </w:p>
        </w:tc>
        <w:tc>
          <w:tcPr>
            <w:tcW w:type="dxa" w:w="3384"/>
            <w:tcMar>
              <w:top w:w="80" w:type="dxa"/>
              <w:start w:w="120" w:type="dxa"/>
              <w:bottom w:w="80" w:type="dxa"/>
              <w:end w:w="120" w:type="dxa"/>
            </w:tcMar>
            <w:vAlign w:val="center"/>
          </w:tcPr>
          <w:p>
            <w:pPr>
              <w:spacing w:after="0"/>
            </w:pPr>
            <w:r>
              <w:rPr>
                <w:rFonts w:ascii="Calibri" w:hAnsi="Calibri"/>
                <w:b w:val="0"/>
                <w:i w:val="0"/>
                <w:color w:val="222222"/>
                <w:sz w:val="17"/>
              </w:rPr>
              <w:t>Prototype/local persistence</w:t>
            </w:r>
          </w:p>
        </w:tc>
        <w:tc>
          <w:tcPr>
            <w:tcW w:type="dxa" w:w="4032"/>
            <w:tcMar>
              <w:top w:w="80" w:type="dxa"/>
              <w:start w:w="120" w:type="dxa"/>
              <w:bottom w:w="80" w:type="dxa"/>
              <w:end w:w="120" w:type="dxa"/>
            </w:tcMar>
            <w:vAlign w:val="center"/>
          </w:tcPr>
          <w:p>
            <w:pPr>
              <w:spacing w:after="0"/>
            </w:pPr>
            <w:r>
              <w:rPr>
                <w:rFonts w:ascii="Calibri" w:hAnsi="Calibri"/>
                <w:b w:val="0"/>
                <w:i w:val="0"/>
                <w:color w:val="222222"/>
                <w:sz w:val="17"/>
              </w:rPr>
              <w:t>Dataverse or approved datastore</w:t>
            </w:r>
          </w:p>
        </w:tc>
      </w:tr>
      <w:tr>
        <w:tc>
          <w:tcPr>
            <w:tcW w:type="dxa" w:w="1944"/>
            <w:tcMar>
              <w:top w:w="80" w:type="dxa"/>
              <w:start w:w="120" w:type="dxa"/>
              <w:bottom w:w="80" w:type="dxa"/>
              <w:end w:w="120" w:type="dxa"/>
            </w:tcMar>
            <w:vAlign w:val="center"/>
          </w:tcPr>
          <w:p>
            <w:pPr>
              <w:spacing w:after="0"/>
            </w:pPr>
            <w:r>
              <w:rPr>
                <w:rFonts w:ascii="Calibri" w:hAnsi="Calibri"/>
                <w:b w:val="0"/>
                <w:i w:val="0"/>
                <w:color w:val="222222"/>
                <w:sz w:val="17"/>
              </w:rPr>
              <w:t>Automation</w:t>
            </w:r>
          </w:p>
        </w:tc>
        <w:tc>
          <w:tcPr>
            <w:tcW w:type="dxa" w:w="3384"/>
            <w:tcMar>
              <w:top w:w="80" w:type="dxa"/>
              <w:start w:w="120" w:type="dxa"/>
              <w:bottom w:w="80" w:type="dxa"/>
              <w:end w:w="120" w:type="dxa"/>
            </w:tcMar>
            <w:vAlign w:val="center"/>
          </w:tcPr>
          <w:p>
            <w:pPr>
              <w:spacing w:after="0"/>
            </w:pPr>
            <w:r>
              <w:rPr>
                <w:rFonts w:ascii="Calibri" w:hAnsi="Calibri"/>
                <w:b w:val="0"/>
                <w:i w:val="0"/>
                <w:color w:val="222222"/>
                <w:sz w:val="17"/>
              </w:rPr>
              <w:t>Simulated</w:t>
            </w:r>
          </w:p>
        </w:tc>
        <w:tc>
          <w:tcPr>
            <w:tcW w:type="dxa" w:w="4032"/>
            <w:tcMar>
              <w:top w:w="80" w:type="dxa"/>
              <w:start w:w="120" w:type="dxa"/>
              <w:bottom w:w="80" w:type="dxa"/>
              <w:end w:w="120" w:type="dxa"/>
            </w:tcMar>
            <w:vAlign w:val="center"/>
          </w:tcPr>
          <w:p>
            <w:pPr>
              <w:spacing w:after="0"/>
            </w:pPr>
            <w:r>
              <w:rPr>
                <w:rFonts w:ascii="Calibri" w:hAnsi="Calibri"/>
                <w:b w:val="0"/>
                <w:i w:val="0"/>
                <w:color w:val="222222"/>
                <w:sz w:val="17"/>
              </w:rPr>
              <w:t>Power Automate</w:t>
            </w:r>
          </w:p>
        </w:tc>
      </w:tr>
      <w:tr>
        <w:tc>
          <w:tcPr>
            <w:tcW w:type="dxa" w:w="1944"/>
            <w:tcMar>
              <w:top w:w="80" w:type="dxa"/>
              <w:start w:w="120" w:type="dxa"/>
              <w:bottom w:w="80" w:type="dxa"/>
              <w:end w:w="120" w:type="dxa"/>
            </w:tcMar>
            <w:vAlign w:val="center"/>
          </w:tcPr>
          <w:p>
            <w:pPr>
              <w:spacing w:after="0"/>
            </w:pPr>
            <w:r>
              <w:rPr>
                <w:rFonts w:ascii="Calibri" w:hAnsi="Calibri"/>
                <w:b w:val="0"/>
                <w:i w:val="0"/>
                <w:color w:val="222222"/>
                <w:sz w:val="17"/>
              </w:rPr>
              <w:t>Email</w:t>
            </w:r>
          </w:p>
        </w:tc>
        <w:tc>
          <w:tcPr>
            <w:tcW w:type="dxa" w:w="3384"/>
            <w:tcMar>
              <w:top w:w="80" w:type="dxa"/>
              <w:start w:w="120" w:type="dxa"/>
              <w:bottom w:w="80" w:type="dxa"/>
              <w:end w:w="120" w:type="dxa"/>
            </w:tcMar>
            <w:vAlign w:val="center"/>
          </w:tcPr>
          <w:p>
            <w:pPr>
              <w:spacing w:after="0"/>
            </w:pPr>
            <w:r>
              <w:rPr>
                <w:rFonts w:ascii="Calibri" w:hAnsi="Calibri"/>
                <w:b w:val="0"/>
                <w:i w:val="0"/>
                <w:color w:val="222222"/>
                <w:sz w:val="17"/>
              </w:rPr>
              <w:t>Mock Inbox and optional SES</w:t>
            </w:r>
          </w:p>
        </w:tc>
        <w:tc>
          <w:tcPr>
            <w:tcW w:type="dxa" w:w="4032"/>
            <w:tcMar>
              <w:top w:w="80" w:type="dxa"/>
              <w:start w:w="120" w:type="dxa"/>
              <w:bottom w:w="80" w:type="dxa"/>
              <w:end w:w="120" w:type="dxa"/>
            </w:tcMar>
            <w:vAlign w:val="center"/>
          </w:tcPr>
          <w:p>
            <w:pPr>
              <w:spacing w:after="0"/>
            </w:pPr>
            <w:r>
              <w:rPr>
                <w:rFonts w:ascii="Calibri" w:hAnsi="Calibri"/>
                <w:b w:val="0"/>
                <w:i w:val="0"/>
                <w:color w:val="222222"/>
                <w:sz w:val="17"/>
              </w:rPr>
              <w:t>Microsoft 365 / Outlook</w:t>
            </w:r>
          </w:p>
        </w:tc>
      </w:tr>
      <w:tr>
        <w:tc>
          <w:tcPr>
            <w:tcW w:type="dxa" w:w="1944"/>
            <w:tcMar>
              <w:top w:w="80" w:type="dxa"/>
              <w:start w:w="120" w:type="dxa"/>
              <w:bottom w:w="80" w:type="dxa"/>
              <w:end w:w="120" w:type="dxa"/>
            </w:tcMar>
            <w:vAlign w:val="center"/>
          </w:tcPr>
          <w:p>
            <w:pPr>
              <w:spacing w:after="0"/>
            </w:pPr>
            <w:r>
              <w:rPr>
                <w:rFonts w:ascii="Calibri" w:hAnsi="Calibri"/>
                <w:b w:val="0"/>
                <w:i w:val="0"/>
                <w:color w:val="222222"/>
                <w:sz w:val="17"/>
              </w:rPr>
              <w:t>Reporting</w:t>
            </w:r>
          </w:p>
        </w:tc>
        <w:tc>
          <w:tcPr>
            <w:tcW w:type="dxa" w:w="3384"/>
            <w:tcMar>
              <w:top w:w="80" w:type="dxa"/>
              <w:start w:w="120" w:type="dxa"/>
              <w:bottom w:w="80" w:type="dxa"/>
              <w:end w:w="120" w:type="dxa"/>
            </w:tcMar>
            <w:vAlign w:val="center"/>
          </w:tcPr>
          <w:p>
            <w:pPr>
              <w:spacing w:after="0"/>
            </w:pPr>
            <w:r>
              <w:rPr>
                <w:rFonts w:ascii="Calibri" w:hAnsi="Calibri"/>
                <w:b w:val="0"/>
                <w:i w:val="0"/>
                <w:color w:val="222222"/>
                <w:sz w:val="17"/>
              </w:rPr>
              <w:t>Prototype reports</w:t>
            </w:r>
          </w:p>
        </w:tc>
        <w:tc>
          <w:tcPr>
            <w:tcW w:type="dxa" w:w="4032"/>
            <w:tcMar>
              <w:top w:w="80" w:type="dxa"/>
              <w:start w:w="120" w:type="dxa"/>
              <w:bottom w:w="80" w:type="dxa"/>
              <w:end w:w="120" w:type="dxa"/>
            </w:tcMar>
            <w:vAlign w:val="center"/>
          </w:tcPr>
          <w:p>
            <w:pPr>
              <w:spacing w:after="0"/>
            </w:pPr>
            <w:r>
              <w:rPr>
                <w:rFonts w:ascii="Calibri" w:hAnsi="Calibri"/>
                <w:b w:val="0"/>
                <w:i w:val="0"/>
                <w:color w:val="222222"/>
                <w:sz w:val="17"/>
              </w:rPr>
              <w:t>Power BI</w:t>
            </w:r>
          </w:p>
        </w:tc>
      </w:tr>
      <w:tr>
        <w:tc>
          <w:tcPr>
            <w:tcW w:type="dxa" w:w="1944"/>
            <w:tcMar>
              <w:top w:w="80" w:type="dxa"/>
              <w:start w:w="120" w:type="dxa"/>
              <w:bottom w:w="80" w:type="dxa"/>
              <w:end w:w="120" w:type="dxa"/>
            </w:tcMar>
            <w:vAlign w:val="center"/>
          </w:tcPr>
          <w:p>
            <w:pPr>
              <w:spacing w:after="0"/>
            </w:pPr>
            <w:r>
              <w:rPr>
                <w:rFonts w:ascii="Calibri" w:hAnsi="Calibri"/>
                <w:b w:val="0"/>
                <w:i w:val="0"/>
                <w:color w:val="222222"/>
                <w:sz w:val="17"/>
              </w:rPr>
              <w:t>Secrets</w:t>
            </w:r>
          </w:p>
        </w:tc>
        <w:tc>
          <w:tcPr>
            <w:tcW w:type="dxa" w:w="3384"/>
            <w:tcMar>
              <w:top w:w="80" w:type="dxa"/>
              <w:start w:w="120" w:type="dxa"/>
              <w:bottom w:w="80" w:type="dxa"/>
              <w:end w:w="120" w:type="dxa"/>
            </w:tcMar>
            <w:vAlign w:val="center"/>
          </w:tcPr>
          <w:p>
            <w:pPr>
              <w:spacing w:after="0"/>
            </w:pPr>
            <w:r>
              <w:rPr>
                <w:rFonts w:ascii="Calibri" w:hAnsi="Calibri"/>
                <w:b w:val="0"/>
                <w:i w:val="0"/>
                <w:color w:val="222222"/>
                <w:sz w:val="17"/>
              </w:rPr>
              <w:t>Environment/server-side</w:t>
            </w:r>
          </w:p>
        </w:tc>
        <w:tc>
          <w:tcPr>
            <w:tcW w:type="dxa" w:w="4032"/>
            <w:tcMar>
              <w:top w:w="80" w:type="dxa"/>
              <w:start w:w="120" w:type="dxa"/>
              <w:bottom w:w="80" w:type="dxa"/>
              <w:end w:w="120" w:type="dxa"/>
            </w:tcMar>
            <w:vAlign w:val="center"/>
          </w:tcPr>
          <w:p>
            <w:pPr>
              <w:spacing w:after="0"/>
            </w:pPr>
            <w:r>
              <w:rPr>
                <w:rFonts w:ascii="Calibri" w:hAnsi="Calibri"/>
                <w:b w:val="0"/>
                <w:i w:val="0"/>
                <w:color w:val="222222"/>
                <w:sz w:val="17"/>
              </w:rPr>
              <w:t>Azure Key Vault</w:t>
            </w:r>
          </w:p>
        </w:tc>
      </w:tr>
      <w:tr>
        <w:tc>
          <w:tcPr>
            <w:tcW w:type="dxa" w:w="1944"/>
            <w:tcMar>
              <w:top w:w="80" w:type="dxa"/>
              <w:start w:w="120" w:type="dxa"/>
              <w:bottom w:w="80" w:type="dxa"/>
              <w:end w:w="120" w:type="dxa"/>
            </w:tcMar>
            <w:vAlign w:val="center"/>
          </w:tcPr>
          <w:p>
            <w:pPr>
              <w:spacing w:after="0"/>
            </w:pPr>
            <w:r>
              <w:rPr>
                <w:rFonts w:ascii="Calibri" w:hAnsi="Calibri"/>
                <w:b w:val="0"/>
                <w:i w:val="0"/>
                <w:color w:val="222222"/>
                <w:sz w:val="17"/>
              </w:rPr>
              <w:t>Monitoring</w:t>
            </w:r>
          </w:p>
        </w:tc>
        <w:tc>
          <w:tcPr>
            <w:tcW w:type="dxa" w:w="3384"/>
            <w:tcMar>
              <w:top w:w="80" w:type="dxa"/>
              <w:start w:w="120" w:type="dxa"/>
              <w:bottom w:w="80" w:type="dxa"/>
              <w:end w:w="120" w:type="dxa"/>
            </w:tcMar>
            <w:vAlign w:val="center"/>
          </w:tcPr>
          <w:p>
            <w:pPr>
              <w:spacing w:after="0"/>
            </w:pPr>
            <w:r>
              <w:rPr>
                <w:rFonts w:ascii="Calibri" w:hAnsi="Calibri"/>
                <w:b w:val="0"/>
                <w:i w:val="0"/>
                <w:color w:val="222222"/>
                <w:sz w:val="17"/>
              </w:rPr>
              <w:t>Basic logs</w:t>
            </w:r>
          </w:p>
        </w:tc>
        <w:tc>
          <w:tcPr>
            <w:tcW w:type="dxa" w:w="4032"/>
            <w:tcMar>
              <w:top w:w="80" w:type="dxa"/>
              <w:start w:w="120" w:type="dxa"/>
              <w:bottom w:w="80" w:type="dxa"/>
              <w:end w:w="120" w:type="dxa"/>
            </w:tcMar>
            <w:vAlign w:val="center"/>
          </w:tcPr>
          <w:p>
            <w:pPr>
              <w:spacing w:after="0"/>
            </w:pPr>
            <w:r>
              <w:rPr>
                <w:rFonts w:ascii="Calibri" w:hAnsi="Calibri"/>
                <w:b w:val="0"/>
                <w:i w:val="0"/>
                <w:color w:val="222222"/>
                <w:sz w:val="17"/>
              </w:rPr>
              <w:t>Azure Monitor / Application Insights</w:t>
            </w:r>
          </w:p>
        </w:tc>
      </w:tr>
    </w:tbl>
    <w:p>
      <w:pPr>
        <w:spacing w:after="40" w:line="264" w:lineRule="auto"/>
      </w:pPr>
      <w:r>
        <w:rPr>
          <w:rFonts w:ascii="Calibri" w:hAnsi="Calibri"/>
          <w:b w:val="0"/>
          <w:i w:val="0"/>
          <w:color w:val="000000"/>
          <w:sz w:val="22"/>
        </w:rPr>
      </w:r>
    </w:p>
    <w:p>
      <w:r>
        <w:br w:type="page"/>
      </w:r>
    </w:p>
    <w:p>
      <w:pPr>
        <w:pStyle w:val="Heading1"/>
        <w:keepNext/>
      </w:pPr>
      <w:r>
        <w:t>Production readiness gap</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1656"/>
            <w:shd w:fill="E8EEF5"/>
            <w:tcMar>
              <w:top w:w="80" w:type="dxa"/>
              <w:start w:w="120" w:type="dxa"/>
              <w:bottom w:w="80" w:type="dxa"/>
              <w:end w:w="120" w:type="dxa"/>
            </w:tcMar>
            <w:vAlign w:val="center"/>
          </w:tcPr>
          <w:p>
            <w:pPr>
              <w:spacing w:after="0"/>
            </w:pPr>
            <w:r>
              <w:rPr>
                <w:rFonts w:ascii="Calibri" w:hAnsi="Calibri"/>
                <w:b/>
                <w:i w:val="0"/>
                <w:color w:val="0B2545"/>
                <w:sz w:val="18"/>
              </w:rPr>
              <w:t>Area</w:t>
            </w:r>
          </w:p>
        </w:tc>
        <w:tc>
          <w:tcPr>
            <w:tcW w:type="dxa" w:w="3024"/>
            <w:shd w:fill="E8EEF5"/>
            <w:tcMar>
              <w:top w:w="80" w:type="dxa"/>
              <w:start w:w="120" w:type="dxa"/>
              <w:bottom w:w="80" w:type="dxa"/>
              <w:end w:w="120" w:type="dxa"/>
            </w:tcMar>
            <w:vAlign w:val="center"/>
          </w:tcPr>
          <w:p>
            <w:pPr>
              <w:spacing w:after="0"/>
            </w:pPr>
            <w:r>
              <w:rPr>
                <w:rFonts w:ascii="Calibri" w:hAnsi="Calibri"/>
                <w:b/>
                <w:i w:val="0"/>
                <w:color w:val="0B2545"/>
                <w:sz w:val="18"/>
              </w:rPr>
              <w:t>Prototype today</w:t>
            </w:r>
          </w:p>
        </w:tc>
        <w:tc>
          <w:tcPr>
            <w:tcW w:type="dxa" w:w="4680"/>
            <w:shd w:fill="E8EEF5"/>
            <w:tcMar>
              <w:top w:w="80" w:type="dxa"/>
              <w:start w:w="120" w:type="dxa"/>
              <w:bottom w:w="80" w:type="dxa"/>
              <w:end w:w="120" w:type="dxa"/>
            </w:tcMar>
            <w:vAlign w:val="center"/>
          </w:tcPr>
          <w:p>
            <w:pPr>
              <w:spacing w:after="0"/>
            </w:pPr>
            <w:r>
              <w:rPr>
                <w:rFonts w:ascii="Calibri" w:hAnsi="Calibri"/>
                <w:b/>
                <w:i w:val="0"/>
                <w:color w:val="0B2545"/>
                <w:sz w:val="18"/>
              </w:rPr>
              <w:t>Needed for production</w:t>
            </w:r>
          </w:p>
        </w:tc>
      </w:tr>
      <w:tr>
        <w:tc>
          <w:tcPr>
            <w:tcW w:type="dxa" w:w="1656"/>
            <w:tcMar>
              <w:top w:w="80" w:type="dxa"/>
              <w:start w:w="120" w:type="dxa"/>
              <w:bottom w:w="80" w:type="dxa"/>
              <w:end w:w="120" w:type="dxa"/>
            </w:tcMar>
            <w:vAlign w:val="center"/>
          </w:tcPr>
          <w:p>
            <w:pPr>
              <w:spacing w:after="0"/>
            </w:pPr>
            <w:r>
              <w:rPr>
                <w:rFonts w:ascii="Calibri" w:hAnsi="Calibri"/>
                <w:b w:val="0"/>
                <w:i w:val="0"/>
                <w:color w:val="222222"/>
                <w:sz w:val="17"/>
              </w:rPr>
              <w:t>Workday</w:t>
            </w:r>
          </w:p>
        </w:tc>
        <w:tc>
          <w:tcPr>
            <w:tcW w:type="dxa" w:w="3024"/>
            <w:tcMar>
              <w:top w:w="80" w:type="dxa"/>
              <w:start w:w="120" w:type="dxa"/>
              <w:bottom w:w="80" w:type="dxa"/>
              <w:end w:w="120" w:type="dxa"/>
            </w:tcMar>
            <w:vAlign w:val="center"/>
          </w:tcPr>
          <w:p>
            <w:pPr>
              <w:spacing w:after="0"/>
            </w:pPr>
            <w:r>
              <w:rPr>
                <w:rFonts w:ascii="Calibri" w:hAnsi="Calibri"/>
                <w:b w:val="0"/>
                <w:i w:val="0"/>
                <w:color w:val="222222"/>
                <w:sz w:val="17"/>
              </w:rPr>
              <w:t>Mock</w:t>
            </w:r>
          </w:p>
        </w:tc>
        <w:tc>
          <w:tcPr>
            <w:tcW w:type="dxa" w:w="4680"/>
            <w:tcMar>
              <w:top w:w="80" w:type="dxa"/>
              <w:start w:w="120" w:type="dxa"/>
              <w:bottom w:w="80" w:type="dxa"/>
              <w:end w:w="120" w:type="dxa"/>
            </w:tcMar>
            <w:vAlign w:val="center"/>
          </w:tcPr>
          <w:p>
            <w:pPr>
              <w:spacing w:after="0"/>
            </w:pPr>
            <w:r>
              <w:rPr>
                <w:rFonts w:ascii="Calibri" w:hAnsi="Calibri"/>
                <w:b w:val="0"/>
                <w:i w:val="0"/>
                <w:color w:val="222222"/>
                <w:sz w:val="17"/>
              </w:rPr>
              <w:t>Approved integration and event design</w:t>
            </w:r>
          </w:p>
        </w:tc>
      </w:tr>
      <w:tr>
        <w:tc>
          <w:tcPr>
            <w:tcW w:type="dxa" w:w="1656"/>
            <w:tcMar>
              <w:top w:w="80" w:type="dxa"/>
              <w:start w:w="120" w:type="dxa"/>
              <w:bottom w:w="80" w:type="dxa"/>
              <w:end w:w="120" w:type="dxa"/>
            </w:tcMar>
            <w:vAlign w:val="center"/>
          </w:tcPr>
          <w:p>
            <w:pPr>
              <w:spacing w:after="0"/>
            </w:pPr>
            <w:r>
              <w:rPr>
                <w:rFonts w:ascii="Calibri" w:hAnsi="Calibri"/>
                <w:b w:val="0"/>
                <w:i w:val="0"/>
                <w:color w:val="222222"/>
                <w:sz w:val="17"/>
              </w:rPr>
              <w:t>Identity</w:t>
            </w:r>
          </w:p>
        </w:tc>
        <w:tc>
          <w:tcPr>
            <w:tcW w:type="dxa" w:w="3024"/>
            <w:tcMar>
              <w:top w:w="80" w:type="dxa"/>
              <w:start w:w="120" w:type="dxa"/>
              <w:bottom w:w="80" w:type="dxa"/>
              <w:end w:w="120" w:type="dxa"/>
            </w:tcMar>
            <w:vAlign w:val="center"/>
          </w:tcPr>
          <w:p>
            <w:pPr>
              <w:spacing w:after="0"/>
            </w:pPr>
            <w:r>
              <w:rPr>
                <w:rFonts w:ascii="Calibri" w:hAnsi="Calibri"/>
                <w:b w:val="0"/>
                <w:i w:val="0"/>
                <w:color w:val="222222"/>
                <w:sz w:val="17"/>
              </w:rPr>
              <w:t>Demo accounts</w:t>
            </w:r>
          </w:p>
        </w:tc>
        <w:tc>
          <w:tcPr>
            <w:tcW w:type="dxa" w:w="4680"/>
            <w:tcMar>
              <w:top w:w="80" w:type="dxa"/>
              <w:start w:w="120" w:type="dxa"/>
              <w:bottom w:w="80" w:type="dxa"/>
              <w:end w:w="120" w:type="dxa"/>
            </w:tcMar>
            <w:vAlign w:val="center"/>
          </w:tcPr>
          <w:p>
            <w:pPr>
              <w:spacing w:after="0"/>
            </w:pPr>
            <w:r>
              <w:rPr>
                <w:rFonts w:ascii="Calibri" w:hAnsi="Calibri"/>
                <w:b w:val="0"/>
                <w:i w:val="0"/>
                <w:color w:val="222222"/>
                <w:sz w:val="17"/>
              </w:rPr>
              <w:t>Entra ID, SSO, RBAC and joiner/mover/leaver controls</w:t>
            </w:r>
          </w:p>
        </w:tc>
      </w:tr>
      <w:tr>
        <w:tc>
          <w:tcPr>
            <w:tcW w:type="dxa" w:w="1656"/>
            <w:tcMar>
              <w:top w:w="80" w:type="dxa"/>
              <w:start w:w="120" w:type="dxa"/>
              <w:bottom w:w="80" w:type="dxa"/>
              <w:end w:w="120" w:type="dxa"/>
            </w:tcMar>
            <w:vAlign w:val="center"/>
          </w:tcPr>
          <w:p>
            <w:pPr>
              <w:spacing w:after="0"/>
            </w:pPr>
            <w:r>
              <w:rPr>
                <w:rFonts w:ascii="Calibri" w:hAnsi="Calibri"/>
                <w:b w:val="0"/>
                <w:i w:val="0"/>
                <w:color w:val="222222"/>
                <w:sz w:val="17"/>
              </w:rPr>
              <w:t>Data</w:t>
            </w:r>
          </w:p>
        </w:tc>
        <w:tc>
          <w:tcPr>
            <w:tcW w:type="dxa" w:w="3024"/>
            <w:tcMar>
              <w:top w:w="80" w:type="dxa"/>
              <w:start w:w="120" w:type="dxa"/>
              <w:bottom w:w="80" w:type="dxa"/>
              <w:end w:w="120" w:type="dxa"/>
            </w:tcMar>
            <w:vAlign w:val="center"/>
          </w:tcPr>
          <w:p>
            <w:pPr>
              <w:spacing w:after="0"/>
            </w:pPr>
            <w:r>
              <w:rPr>
                <w:rFonts w:ascii="Calibri" w:hAnsi="Calibri"/>
                <w:b w:val="0"/>
                <w:i w:val="0"/>
                <w:color w:val="222222"/>
                <w:sz w:val="17"/>
              </w:rPr>
              <w:t>Prototype persistence</w:t>
            </w:r>
          </w:p>
        </w:tc>
        <w:tc>
          <w:tcPr>
            <w:tcW w:type="dxa" w:w="4680"/>
            <w:tcMar>
              <w:top w:w="80" w:type="dxa"/>
              <w:start w:w="120" w:type="dxa"/>
              <w:bottom w:w="80" w:type="dxa"/>
              <w:end w:w="120" w:type="dxa"/>
            </w:tcMar>
            <w:vAlign w:val="center"/>
          </w:tcPr>
          <w:p>
            <w:pPr>
              <w:spacing w:after="0"/>
            </w:pPr>
            <w:r>
              <w:rPr>
                <w:rFonts w:ascii="Calibri" w:hAnsi="Calibri"/>
                <w:b w:val="0"/>
                <w:i w:val="0"/>
                <w:color w:val="222222"/>
                <w:sz w:val="17"/>
              </w:rPr>
              <w:t>Data model, retention, backup and governance</w:t>
            </w:r>
          </w:p>
        </w:tc>
      </w:tr>
      <w:tr>
        <w:tc>
          <w:tcPr>
            <w:tcW w:type="dxa" w:w="1656"/>
            <w:tcMar>
              <w:top w:w="80" w:type="dxa"/>
              <w:start w:w="120" w:type="dxa"/>
              <w:bottom w:w="80" w:type="dxa"/>
              <w:end w:w="120" w:type="dxa"/>
            </w:tcMar>
            <w:vAlign w:val="center"/>
          </w:tcPr>
          <w:p>
            <w:pPr>
              <w:spacing w:after="0"/>
            </w:pPr>
            <w:r>
              <w:rPr>
                <w:rFonts w:ascii="Calibri" w:hAnsi="Calibri"/>
                <w:b w:val="0"/>
                <w:i w:val="0"/>
                <w:color w:val="222222"/>
                <w:sz w:val="17"/>
              </w:rPr>
              <w:t>Security</w:t>
            </w:r>
          </w:p>
        </w:tc>
        <w:tc>
          <w:tcPr>
            <w:tcW w:type="dxa" w:w="3024"/>
            <w:tcMar>
              <w:top w:w="80" w:type="dxa"/>
              <w:start w:w="120" w:type="dxa"/>
              <w:bottom w:w="80" w:type="dxa"/>
              <w:end w:w="120" w:type="dxa"/>
            </w:tcMar>
            <w:vAlign w:val="center"/>
          </w:tcPr>
          <w:p>
            <w:pPr>
              <w:spacing w:after="0"/>
            </w:pPr>
            <w:r>
              <w:rPr>
                <w:rFonts w:ascii="Calibri" w:hAnsi="Calibri"/>
                <w:b w:val="0"/>
                <w:i w:val="0"/>
                <w:color w:val="222222"/>
                <w:sz w:val="17"/>
              </w:rPr>
              <w:t>Server-side secrets for SES</w:t>
            </w:r>
          </w:p>
        </w:tc>
        <w:tc>
          <w:tcPr>
            <w:tcW w:type="dxa" w:w="4680"/>
            <w:tcMar>
              <w:top w:w="80" w:type="dxa"/>
              <w:start w:w="120" w:type="dxa"/>
              <w:bottom w:w="80" w:type="dxa"/>
              <w:end w:w="120" w:type="dxa"/>
            </w:tcMar>
            <w:vAlign w:val="center"/>
          </w:tcPr>
          <w:p>
            <w:pPr>
              <w:spacing w:after="0"/>
            </w:pPr>
            <w:r>
              <w:rPr>
                <w:rFonts w:ascii="Calibri" w:hAnsi="Calibri"/>
                <w:b w:val="0"/>
                <w:i w:val="0"/>
                <w:color w:val="222222"/>
                <w:sz w:val="17"/>
              </w:rPr>
              <w:t>Threat model, security assessment, Key Vault and privacy controls</w:t>
            </w:r>
          </w:p>
        </w:tc>
      </w:tr>
      <w:tr>
        <w:tc>
          <w:tcPr>
            <w:tcW w:type="dxa" w:w="1656"/>
            <w:tcMar>
              <w:top w:w="80" w:type="dxa"/>
              <w:start w:w="120" w:type="dxa"/>
              <w:bottom w:w="80" w:type="dxa"/>
              <w:end w:w="120" w:type="dxa"/>
            </w:tcMar>
            <w:vAlign w:val="center"/>
          </w:tcPr>
          <w:p>
            <w:pPr>
              <w:spacing w:after="0"/>
            </w:pPr>
            <w:r>
              <w:rPr>
                <w:rFonts w:ascii="Calibri" w:hAnsi="Calibri"/>
                <w:b w:val="0"/>
                <w:i w:val="0"/>
                <w:color w:val="222222"/>
                <w:sz w:val="17"/>
              </w:rPr>
              <w:t>Workflow</w:t>
            </w:r>
          </w:p>
        </w:tc>
        <w:tc>
          <w:tcPr>
            <w:tcW w:type="dxa" w:w="3024"/>
            <w:tcMar>
              <w:top w:w="80" w:type="dxa"/>
              <w:start w:w="120" w:type="dxa"/>
              <w:bottom w:w="80" w:type="dxa"/>
              <w:end w:w="120" w:type="dxa"/>
            </w:tcMar>
            <w:vAlign w:val="center"/>
          </w:tcPr>
          <w:p>
            <w:pPr>
              <w:spacing w:after="0"/>
            </w:pPr>
            <w:r>
              <w:rPr>
                <w:rFonts w:ascii="Calibri" w:hAnsi="Calibri"/>
                <w:b w:val="0"/>
                <w:i w:val="0"/>
                <w:color w:val="222222"/>
                <w:sz w:val="17"/>
              </w:rPr>
              <w:t>Simulation</w:t>
            </w:r>
          </w:p>
        </w:tc>
        <w:tc>
          <w:tcPr>
            <w:tcW w:type="dxa" w:w="4680"/>
            <w:tcMar>
              <w:top w:w="80" w:type="dxa"/>
              <w:start w:w="120" w:type="dxa"/>
              <w:bottom w:w="80" w:type="dxa"/>
              <w:end w:w="120" w:type="dxa"/>
            </w:tcMar>
            <w:vAlign w:val="center"/>
          </w:tcPr>
          <w:p>
            <w:pPr>
              <w:spacing w:after="0"/>
            </w:pPr>
            <w:r>
              <w:rPr>
                <w:rFonts w:ascii="Calibri" w:hAnsi="Calibri"/>
                <w:b w:val="0"/>
                <w:i w:val="0"/>
                <w:color w:val="222222"/>
                <w:sz w:val="17"/>
              </w:rPr>
              <w:t>Power Automate with exception handling</w:t>
            </w:r>
          </w:p>
        </w:tc>
      </w:tr>
      <w:tr>
        <w:tc>
          <w:tcPr>
            <w:tcW w:type="dxa" w:w="1656"/>
            <w:tcMar>
              <w:top w:w="80" w:type="dxa"/>
              <w:start w:w="120" w:type="dxa"/>
              <w:bottom w:w="80" w:type="dxa"/>
              <w:end w:w="120" w:type="dxa"/>
            </w:tcMar>
            <w:vAlign w:val="center"/>
          </w:tcPr>
          <w:p>
            <w:pPr>
              <w:spacing w:after="0"/>
            </w:pPr>
            <w:r>
              <w:rPr>
                <w:rFonts w:ascii="Calibri" w:hAnsi="Calibri"/>
                <w:b w:val="0"/>
                <w:i w:val="0"/>
                <w:color w:val="222222"/>
                <w:sz w:val="17"/>
              </w:rPr>
              <w:t>Audit/monitoring</w:t>
            </w:r>
          </w:p>
        </w:tc>
        <w:tc>
          <w:tcPr>
            <w:tcW w:type="dxa" w:w="3024"/>
            <w:tcMar>
              <w:top w:w="80" w:type="dxa"/>
              <w:start w:w="120" w:type="dxa"/>
              <w:bottom w:w="80" w:type="dxa"/>
              <w:end w:w="120" w:type="dxa"/>
            </w:tcMar>
            <w:vAlign w:val="center"/>
          </w:tcPr>
          <w:p>
            <w:pPr>
              <w:spacing w:after="0"/>
            </w:pPr>
            <w:r>
              <w:rPr>
                <w:rFonts w:ascii="Calibri" w:hAnsi="Calibri"/>
                <w:b w:val="0"/>
                <w:i w:val="0"/>
                <w:color w:val="222222"/>
                <w:sz w:val="17"/>
              </w:rPr>
              <w:t>Prototype activity/logs</w:t>
            </w:r>
          </w:p>
        </w:tc>
        <w:tc>
          <w:tcPr>
            <w:tcW w:type="dxa" w:w="4680"/>
            <w:tcMar>
              <w:top w:w="80" w:type="dxa"/>
              <w:start w:w="120" w:type="dxa"/>
              <w:bottom w:w="80" w:type="dxa"/>
              <w:end w:w="120" w:type="dxa"/>
            </w:tcMar>
            <w:vAlign w:val="center"/>
          </w:tcPr>
          <w:p>
            <w:pPr>
              <w:spacing w:after="0"/>
            </w:pPr>
            <w:r>
              <w:rPr>
                <w:rFonts w:ascii="Calibri" w:hAnsi="Calibri"/>
                <w:b w:val="0"/>
                <w:i w:val="0"/>
                <w:color w:val="222222"/>
                <w:sz w:val="17"/>
              </w:rPr>
              <w:t>Immutable audit, monitoring, alerting and support model</w:t>
            </w:r>
          </w:p>
        </w:tc>
      </w:tr>
      <w:tr>
        <w:tc>
          <w:tcPr>
            <w:tcW w:type="dxa" w:w="1656"/>
            <w:tcMar>
              <w:top w:w="80" w:type="dxa"/>
              <w:start w:w="120" w:type="dxa"/>
              <w:bottom w:w="80" w:type="dxa"/>
              <w:end w:w="120" w:type="dxa"/>
            </w:tcMar>
            <w:vAlign w:val="center"/>
          </w:tcPr>
          <w:p>
            <w:pPr>
              <w:spacing w:after="0"/>
            </w:pPr>
            <w:r>
              <w:rPr>
                <w:rFonts w:ascii="Calibri" w:hAnsi="Calibri"/>
                <w:b w:val="0"/>
                <w:i w:val="0"/>
                <w:color w:val="222222"/>
                <w:sz w:val="17"/>
              </w:rPr>
              <w:t>Availability/DR</w:t>
            </w:r>
          </w:p>
        </w:tc>
        <w:tc>
          <w:tcPr>
            <w:tcW w:type="dxa" w:w="3024"/>
            <w:tcMar>
              <w:top w:w="80" w:type="dxa"/>
              <w:start w:w="120" w:type="dxa"/>
              <w:bottom w:w="80" w:type="dxa"/>
              <w:end w:w="120" w:type="dxa"/>
            </w:tcMar>
            <w:vAlign w:val="center"/>
          </w:tcPr>
          <w:p>
            <w:pPr>
              <w:spacing w:after="0"/>
            </w:pPr>
            <w:r>
              <w:rPr>
                <w:rFonts w:ascii="Calibri" w:hAnsi="Calibri"/>
                <w:b w:val="0"/>
                <w:i w:val="0"/>
                <w:color w:val="222222"/>
                <w:sz w:val="17"/>
              </w:rPr>
              <w:t>Prototype hosting</w:t>
            </w:r>
          </w:p>
        </w:tc>
        <w:tc>
          <w:tcPr>
            <w:tcW w:type="dxa" w:w="4680"/>
            <w:tcMar>
              <w:top w:w="80" w:type="dxa"/>
              <w:start w:w="120" w:type="dxa"/>
              <w:bottom w:w="80" w:type="dxa"/>
              <w:end w:w="120" w:type="dxa"/>
            </w:tcMar>
            <w:vAlign w:val="center"/>
          </w:tcPr>
          <w:p>
            <w:pPr>
              <w:spacing w:after="0"/>
            </w:pPr>
            <w:r>
              <w:rPr>
                <w:rFonts w:ascii="Calibri" w:hAnsi="Calibri"/>
                <w:b w:val="0"/>
                <w:i w:val="0"/>
                <w:color w:val="222222"/>
                <w:sz w:val="17"/>
              </w:rPr>
              <w:t>Availability, backup, DR testing and operational SLAs</w:t>
            </w:r>
          </w:p>
        </w:tc>
      </w:tr>
      <w:tr>
        <w:tc>
          <w:tcPr>
            <w:tcW w:type="dxa" w:w="1656"/>
            <w:tcMar>
              <w:top w:w="80" w:type="dxa"/>
              <w:start w:w="120" w:type="dxa"/>
              <w:bottom w:w="80" w:type="dxa"/>
              <w:end w:w="120" w:type="dxa"/>
            </w:tcMar>
            <w:vAlign w:val="center"/>
          </w:tcPr>
          <w:p>
            <w:pPr>
              <w:spacing w:after="0"/>
            </w:pPr>
            <w:r>
              <w:rPr>
                <w:rFonts w:ascii="Calibri" w:hAnsi="Calibri"/>
                <w:b w:val="0"/>
                <w:i w:val="0"/>
                <w:color w:val="222222"/>
                <w:sz w:val="17"/>
              </w:rPr>
              <w:t>Testing/governance</w:t>
            </w:r>
          </w:p>
        </w:tc>
        <w:tc>
          <w:tcPr>
            <w:tcW w:type="dxa" w:w="3024"/>
            <w:tcMar>
              <w:top w:w="80" w:type="dxa"/>
              <w:start w:w="120" w:type="dxa"/>
              <w:bottom w:w="80" w:type="dxa"/>
              <w:end w:w="120" w:type="dxa"/>
            </w:tcMar>
            <w:vAlign w:val="center"/>
          </w:tcPr>
          <w:p>
            <w:pPr>
              <w:spacing w:after="0"/>
            </w:pPr>
            <w:r>
              <w:rPr>
                <w:rFonts w:ascii="Calibri" w:hAnsi="Calibri"/>
                <w:b w:val="0"/>
                <w:i w:val="0"/>
                <w:color w:val="222222"/>
                <w:sz w:val="17"/>
              </w:rPr>
              <w:t>Hackathon verification</w:t>
            </w:r>
          </w:p>
        </w:tc>
        <w:tc>
          <w:tcPr>
            <w:tcW w:type="dxa" w:w="4680"/>
            <w:tcMar>
              <w:top w:w="80" w:type="dxa"/>
              <w:start w:w="120" w:type="dxa"/>
              <w:bottom w:w="80" w:type="dxa"/>
              <w:end w:w="120" w:type="dxa"/>
            </w:tcMar>
            <w:vAlign w:val="center"/>
          </w:tcPr>
          <w:p>
            <w:pPr>
              <w:spacing w:after="0"/>
            </w:pPr>
            <w:r>
              <w:rPr>
                <w:rFonts w:ascii="Calibri" w:hAnsi="Calibri"/>
                <w:b w:val="0"/>
                <w:i w:val="0"/>
                <w:color w:val="222222"/>
                <w:sz w:val="17"/>
              </w:rPr>
              <w:t>UAT, performance, accessibility, change and data governance</w:t>
            </w:r>
          </w:p>
        </w:tc>
      </w:tr>
    </w:tbl>
    <w:p>
      <w:pPr>
        <w:spacing w:after="40" w:line="264" w:lineRule="auto"/>
      </w:pPr>
      <w:r>
        <w:rPr>
          <w:rFonts w:ascii="Calibri" w:hAnsi="Calibri"/>
          <w:b w:val="0"/>
          <w:i w:val="0"/>
          <w:color w:val="000000"/>
          <w:sz w:val="22"/>
        </w:rPr>
      </w:r>
    </w:p>
    <w:p>
      <w:r>
        <w:br w:type="page"/>
      </w:r>
    </w:p>
    <w:p>
      <w:pPr>
        <w:pStyle w:val="Heading1"/>
        <w:keepNext/>
      </w:pPr>
      <w:r>
        <w:t>Security and privacy</w:t>
      </w:r>
    </w:p>
    <w:p>
      <w:pPr>
        <w:spacing w:after="120" w:line="264" w:lineRule="auto"/>
      </w:pPr>
      <w:r>
        <w:rPr>
          <w:rFonts w:ascii="Calibri" w:hAnsi="Calibri"/>
          <w:b w:val="0"/>
          <w:i w:val="0"/>
          <w:color w:val="000000"/>
          <w:sz w:val="22"/>
        </w:rPr>
        <w:t>The demo uses synthetic identities and data. No AWS credentials, tokens, internal IPs, private infrastructure names, real mapped destinations or passwords belong in this document. A production design would require enterprise privacy, security, retention, access-control and audit review.</w:t>
      </w:r>
    </w:p>
    <w:p>
      <w:r>
        <w:br w:type="page"/>
      </w:r>
    </w:p>
    <w:p>
      <w:pPr>
        <w:pStyle w:val="Heading1"/>
        <w:keepNext/>
      </w:pPr>
      <w:r>
        <w:t>Investment and cost considerations</w:t>
      </w:r>
    </w:p>
    <w:p>
      <w:pPr>
        <w:spacing w:after="120" w:line="264" w:lineRule="auto"/>
      </w:pPr>
      <w:r>
        <w:rPr>
          <w:rFonts w:ascii="Calibri" w:hAnsi="Calibri"/>
          <w:b w:val="0"/>
          <w:i w:val="0"/>
          <w:color w:val="000000"/>
          <w:sz w:val="22"/>
        </w:rPr>
        <w:t>Prototype incremental infrastructure cost may be low where existing hosting and open-source components are available. Production costs will be driven by Microsoft licensing (including Dataverse, Power Automate and Power BI), Azure consumption, Workday integration, implementation, testing, cybersecurity assessment, support, maintenance and training/change management. Actual enterprise pricing may differ substantially due to existing PPG agreements. No pricing quotation is asserted here.</w:t>
      </w:r>
    </w:p>
    <w:p>
      <w:r>
        <w:br w:type="page"/>
      </w:r>
    </w:p>
    <w:p>
      <w:pPr>
        <w:pStyle w:val="Heading1"/>
        <w:keepNext/>
      </w:pPr>
      <w:r>
        <w:t>ROI and success measures</w:t>
      </w:r>
    </w:p>
    <w:tbl>
      <w:tblPr>
        <w:tblStyle w:val="TableGrid"/>
        <w:tblW w:type="auto" w:w="0"/>
        <w:jc w:val="center"/>
        <w:tblLayout w:type="fixed"/>
        <w:tblLook w:firstColumn="1" w:firstRow="1" w:lastColumn="0" w:lastRow="0" w:noHBand="0" w:noVBand="1" w:val="04A0"/>
      </w:tblPr>
      <w:tblGrid>
        <w:gridCol w:w="4824"/>
        <w:gridCol w:w="4824"/>
      </w:tblGrid>
      <w:tr>
        <w:tc>
          <w:tcPr>
            <w:tcW w:type="dxa" w:w="3744"/>
            <w:shd w:fill="E8EEF5"/>
            <w:tcMar>
              <w:top w:w="80" w:type="dxa"/>
              <w:start w:w="120" w:type="dxa"/>
              <w:bottom w:w="80" w:type="dxa"/>
              <w:end w:w="120" w:type="dxa"/>
            </w:tcMar>
            <w:vAlign w:val="center"/>
          </w:tcPr>
          <w:p>
            <w:pPr>
              <w:spacing w:after="0"/>
            </w:pPr>
            <w:r>
              <w:rPr>
                <w:rFonts w:ascii="Calibri" w:hAnsi="Calibri"/>
                <w:b/>
                <w:i w:val="0"/>
                <w:color w:val="0B2545"/>
                <w:sz w:val="18"/>
              </w:rPr>
              <w:t>Measure</w:t>
            </w:r>
          </w:p>
        </w:tc>
        <w:tc>
          <w:tcPr>
            <w:tcW w:type="dxa" w:w="5616"/>
            <w:shd w:fill="E8EEF5"/>
            <w:tcMar>
              <w:top w:w="80" w:type="dxa"/>
              <w:start w:w="120" w:type="dxa"/>
              <w:bottom w:w="80" w:type="dxa"/>
              <w:end w:w="120" w:type="dxa"/>
            </w:tcMar>
            <w:vAlign w:val="center"/>
          </w:tcPr>
          <w:p>
            <w:pPr>
              <w:spacing w:after="0"/>
            </w:pPr>
            <w:r>
              <w:rPr>
                <w:rFonts w:ascii="Calibri" w:hAnsi="Calibri"/>
                <w:b/>
                <w:i w:val="0"/>
                <w:color w:val="0B2545"/>
                <w:sz w:val="18"/>
              </w:rPr>
              <w:t>Why it matters</w:t>
            </w:r>
          </w:p>
        </w:tc>
      </w:tr>
      <w:tr>
        <w:tc>
          <w:tcPr>
            <w:tcW w:type="dxa" w:w="3744"/>
            <w:tcMar>
              <w:top w:w="80" w:type="dxa"/>
              <w:start w:w="120" w:type="dxa"/>
              <w:bottom w:w="80" w:type="dxa"/>
              <w:end w:w="120" w:type="dxa"/>
            </w:tcMar>
            <w:vAlign w:val="center"/>
          </w:tcPr>
          <w:p>
            <w:pPr>
              <w:spacing w:after="0"/>
            </w:pPr>
            <w:r>
              <w:rPr>
                <w:rFonts w:ascii="Calibri" w:hAnsi="Calibri"/>
                <w:b w:val="0"/>
                <w:i w:val="0"/>
                <w:color w:val="222222"/>
                <w:sz w:val="17"/>
              </w:rPr>
              <w:t>Onboarding completion before Day 1</w:t>
            </w:r>
          </w:p>
        </w:tc>
        <w:tc>
          <w:tcPr>
            <w:tcW w:type="dxa" w:w="5616"/>
            <w:tcMar>
              <w:top w:w="80" w:type="dxa"/>
              <w:start w:w="120" w:type="dxa"/>
              <w:bottom w:w="80" w:type="dxa"/>
              <w:end w:w="120" w:type="dxa"/>
            </w:tcMar>
            <w:vAlign w:val="center"/>
          </w:tcPr>
          <w:p>
            <w:pPr>
              <w:spacing w:after="0"/>
            </w:pPr>
            <w:r>
              <w:rPr>
                <w:rFonts w:ascii="Calibri" w:hAnsi="Calibri"/>
                <w:b w:val="0"/>
                <w:i w:val="0"/>
                <w:color w:val="222222"/>
                <w:sz w:val="17"/>
              </w:rPr>
              <w:t>Tests whether lifecycle coordination improves readiness.</w:t>
            </w:r>
          </w:p>
        </w:tc>
      </w:tr>
      <w:tr>
        <w:tc>
          <w:tcPr>
            <w:tcW w:type="dxa" w:w="3744"/>
            <w:tcMar>
              <w:top w:w="80" w:type="dxa"/>
              <w:start w:w="120" w:type="dxa"/>
              <w:bottom w:w="80" w:type="dxa"/>
              <w:end w:w="120" w:type="dxa"/>
            </w:tcMar>
            <w:vAlign w:val="center"/>
          </w:tcPr>
          <w:p>
            <w:pPr>
              <w:spacing w:after="0"/>
            </w:pPr>
            <w:r>
              <w:rPr>
                <w:rFonts w:ascii="Calibri" w:hAnsi="Calibri"/>
                <w:b w:val="0"/>
                <w:i w:val="0"/>
                <w:color w:val="222222"/>
                <w:sz w:val="17"/>
              </w:rPr>
              <w:t>Day 1 Readiness and task SLA</w:t>
            </w:r>
          </w:p>
        </w:tc>
        <w:tc>
          <w:tcPr>
            <w:tcW w:type="dxa" w:w="5616"/>
            <w:tcMar>
              <w:top w:w="80" w:type="dxa"/>
              <w:start w:w="120" w:type="dxa"/>
              <w:bottom w:w="80" w:type="dxa"/>
              <w:end w:w="120" w:type="dxa"/>
            </w:tcMar>
            <w:vAlign w:val="center"/>
          </w:tcPr>
          <w:p>
            <w:pPr>
              <w:spacing w:after="0"/>
            </w:pPr>
            <w:r>
              <w:rPr>
                <w:rFonts w:ascii="Calibri" w:hAnsi="Calibri"/>
                <w:b w:val="0"/>
                <w:i w:val="0"/>
                <w:color w:val="222222"/>
                <w:sz w:val="17"/>
              </w:rPr>
              <w:t>Measures timeliness and unresolved work.</w:t>
            </w:r>
          </w:p>
        </w:tc>
      </w:tr>
      <w:tr>
        <w:tc>
          <w:tcPr>
            <w:tcW w:type="dxa" w:w="3744"/>
            <w:tcMar>
              <w:top w:w="80" w:type="dxa"/>
              <w:start w:w="120" w:type="dxa"/>
              <w:bottom w:w="80" w:type="dxa"/>
              <w:end w:w="120" w:type="dxa"/>
            </w:tcMar>
            <w:vAlign w:val="center"/>
          </w:tcPr>
          <w:p>
            <w:pPr>
              <w:spacing w:after="0"/>
            </w:pPr>
            <w:r>
              <w:rPr>
                <w:rFonts w:ascii="Calibri" w:hAnsi="Calibri"/>
                <w:b w:val="0"/>
                <w:i w:val="0"/>
                <w:color w:val="222222"/>
                <w:sz w:val="17"/>
              </w:rPr>
              <w:t>Overdue tasks and manual follow-ups</w:t>
            </w:r>
          </w:p>
        </w:tc>
        <w:tc>
          <w:tcPr>
            <w:tcW w:type="dxa" w:w="5616"/>
            <w:tcMar>
              <w:top w:w="80" w:type="dxa"/>
              <w:start w:w="120" w:type="dxa"/>
              <w:bottom w:w="80" w:type="dxa"/>
              <w:end w:w="120" w:type="dxa"/>
            </w:tcMar>
            <w:vAlign w:val="center"/>
          </w:tcPr>
          <w:p>
            <w:pPr>
              <w:spacing w:after="0"/>
            </w:pPr>
            <w:r>
              <w:rPr>
                <w:rFonts w:ascii="Calibri" w:hAnsi="Calibri"/>
                <w:b w:val="0"/>
                <w:i w:val="0"/>
                <w:color w:val="222222"/>
                <w:sz w:val="17"/>
              </w:rPr>
              <w:t>Shows bottlenecks and chasing effort.</w:t>
            </w:r>
          </w:p>
        </w:tc>
      </w:tr>
      <w:tr>
        <w:tc>
          <w:tcPr>
            <w:tcW w:type="dxa" w:w="3744"/>
            <w:tcMar>
              <w:top w:w="80" w:type="dxa"/>
              <w:start w:w="120" w:type="dxa"/>
              <w:bottom w:w="80" w:type="dxa"/>
              <w:end w:w="120" w:type="dxa"/>
            </w:tcMar>
            <w:vAlign w:val="center"/>
          </w:tcPr>
          <w:p>
            <w:pPr>
              <w:spacing w:after="0"/>
            </w:pPr>
            <w:r>
              <w:rPr>
                <w:rFonts w:ascii="Calibri" w:hAnsi="Calibri"/>
                <w:b w:val="0"/>
                <w:i w:val="0"/>
                <w:color w:val="222222"/>
                <w:sz w:val="17"/>
              </w:rPr>
              <w:t>Offboarding closure by last working day</w:t>
            </w:r>
          </w:p>
        </w:tc>
        <w:tc>
          <w:tcPr>
            <w:tcW w:type="dxa" w:w="5616"/>
            <w:tcMar>
              <w:top w:w="80" w:type="dxa"/>
              <w:start w:w="120" w:type="dxa"/>
              <w:bottom w:w="80" w:type="dxa"/>
              <w:end w:w="120" w:type="dxa"/>
            </w:tcMar>
            <w:vAlign w:val="center"/>
          </w:tcPr>
          <w:p>
            <w:pPr>
              <w:spacing w:after="0"/>
            </w:pPr>
            <w:r>
              <w:rPr>
                <w:rFonts w:ascii="Calibri" w:hAnsi="Calibri"/>
                <w:b w:val="0"/>
                <w:i w:val="0"/>
                <w:color w:val="222222"/>
                <w:sz w:val="17"/>
              </w:rPr>
              <w:t>Tests exit-control completion.</w:t>
            </w:r>
          </w:p>
        </w:tc>
      </w:tr>
      <w:tr>
        <w:tc>
          <w:tcPr>
            <w:tcW w:type="dxa" w:w="3744"/>
            <w:tcMar>
              <w:top w:w="80" w:type="dxa"/>
              <w:start w:w="120" w:type="dxa"/>
              <w:bottom w:w="80" w:type="dxa"/>
              <w:end w:w="120" w:type="dxa"/>
            </w:tcMar>
            <w:vAlign w:val="center"/>
          </w:tcPr>
          <w:p>
            <w:pPr>
              <w:spacing w:after="0"/>
            </w:pPr>
            <w:r>
              <w:rPr>
                <w:rFonts w:ascii="Calibri" w:hAnsi="Calibri"/>
                <w:b w:val="0"/>
                <w:i w:val="0"/>
                <w:color w:val="222222"/>
                <w:sz w:val="17"/>
              </w:rPr>
              <w:t>Delayed account termination</w:t>
            </w:r>
          </w:p>
        </w:tc>
        <w:tc>
          <w:tcPr>
            <w:tcW w:type="dxa" w:w="5616"/>
            <w:tcMar>
              <w:top w:w="80" w:type="dxa"/>
              <w:start w:w="120" w:type="dxa"/>
              <w:bottom w:w="80" w:type="dxa"/>
              <w:end w:w="120" w:type="dxa"/>
            </w:tcMar>
            <w:vAlign w:val="center"/>
          </w:tcPr>
          <w:p>
            <w:pPr>
              <w:spacing w:after="0"/>
            </w:pPr>
            <w:r>
              <w:rPr>
                <w:rFonts w:ascii="Calibri" w:hAnsi="Calibri"/>
                <w:b w:val="0"/>
                <w:i w:val="0"/>
                <w:color w:val="222222"/>
                <w:sz w:val="17"/>
              </w:rPr>
              <w:t>Signals security/control risk.</w:t>
            </w:r>
          </w:p>
        </w:tc>
      </w:tr>
      <w:tr>
        <w:tc>
          <w:tcPr>
            <w:tcW w:type="dxa" w:w="3744"/>
            <w:tcMar>
              <w:top w:w="80" w:type="dxa"/>
              <w:start w:w="120" w:type="dxa"/>
              <w:bottom w:w="80" w:type="dxa"/>
              <w:end w:w="120" w:type="dxa"/>
            </w:tcMar>
            <w:vAlign w:val="center"/>
          </w:tcPr>
          <w:p>
            <w:pPr>
              <w:spacing w:after="0"/>
            </w:pPr>
            <w:r>
              <w:rPr>
                <w:rFonts w:ascii="Calibri" w:hAnsi="Calibri"/>
                <w:b w:val="0"/>
                <w:i w:val="0"/>
                <w:color w:val="222222"/>
                <w:sz w:val="17"/>
              </w:rPr>
              <w:t>Case volume and stakeholder satisfaction</w:t>
            </w:r>
          </w:p>
        </w:tc>
        <w:tc>
          <w:tcPr>
            <w:tcW w:type="dxa" w:w="5616"/>
            <w:tcMar>
              <w:top w:w="80" w:type="dxa"/>
              <w:start w:w="120" w:type="dxa"/>
              <w:bottom w:w="80" w:type="dxa"/>
              <w:end w:w="120" w:type="dxa"/>
            </w:tcMar>
            <w:vAlign w:val="center"/>
          </w:tcPr>
          <w:p>
            <w:pPr>
              <w:spacing w:after="0"/>
            </w:pPr>
            <w:r>
              <w:rPr>
                <w:rFonts w:ascii="Calibri" w:hAnsi="Calibri"/>
                <w:b w:val="0"/>
                <w:i w:val="0"/>
                <w:color w:val="222222"/>
                <w:sz w:val="17"/>
              </w:rPr>
              <w:t>Validates adoption and operational fit.</w:t>
            </w:r>
          </w:p>
        </w:tc>
      </w:tr>
    </w:tbl>
    <w:p>
      <w:pPr>
        <w:spacing w:after="40" w:line="264" w:lineRule="auto"/>
      </w:pPr>
      <w:r>
        <w:rPr>
          <w:rFonts w:ascii="Calibri" w:hAnsi="Calibri"/>
          <w:b w:val="0"/>
          <w:i w:val="0"/>
          <w:color w:val="000000"/>
          <w:sz w:val="22"/>
        </w:rPr>
      </w:r>
    </w:p>
    <w:p>
      <w:r>
        <w:br w:type="page"/>
      </w:r>
    </w:p>
    <w:p>
      <w:pPr>
        <w:pStyle w:val="Heading1"/>
        <w:keepNext/>
      </w:pPr>
      <w:r>
        <w:t>Roadmap</w:t>
      </w:r>
    </w:p>
    <w:tbl>
      <w:tblPr>
        <w:tblStyle w:val="TableGrid"/>
        <w:tblW w:type="auto" w:w="0"/>
        <w:jc w:val="center"/>
        <w:tblLayout w:type="fixed"/>
        <w:tblLook w:firstColumn="1" w:firstRow="1" w:lastColumn="0" w:lastRow="0" w:noHBand="0" w:noVBand="1" w:val="04A0"/>
      </w:tblPr>
      <w:tblGrid>
        <w:gridCol w:w="4824"/>
        <w:gridCol w:w="4824"/>
      </w:tblGrid>
      <w:tr>
        <w:tc>
          <w:tcPr>
            <w:tcW w:type="dxa" w:w="2880"/>
            <w:shd w:fill="E8EEF5"/>
            <w:tcMar>
              <w:top w:w="80" w:type="dxa"/>
              <w:start w:w="120" w:type="dxa"/>
              <w:bottom w:w="80" w:type="dxa"/>
              <w:end w:w="120" w:type="dxa"/>
            </w:tcMar>
            <w:vAlign w:val="center"/>
          </w:tcPr>
          <w:p>
            <w:pPr>
              <w:spacing w:after="0"/>
            </w:pPr>
            <w:r>
              <w:rPr>
                <w:rFonts w:ascii="Calibri" w:hAnsi="Calibri"/>
                <w:b/>
                <w:i w:val="0"/>
                <w:color w:val="0B2545"/>
                <w:sz w:val="18"/>
              </w:rPr>
              <w:t>Stage</w:t>
            </w:r>
          </w:p>
        </w:tc>
        <w:tc>
          <w:tcPr>
            <w:tcW w:type="dxa" w:w="6480"/>
            <w:shd w:fill="E8EEF5"/>
            <w:tcMar>
              <w:top w:w="80" w:type="dxa"/>
              <w:start w:w="120" w:type="dxa"/>
              <w:bottom w:w="80" w:type="dxa"/>
              <w:end w:w="120" w:type="dxa"/>
            </w:tcMar>
            <w:vAlign w:val="center"/>
          </w:tcPr>
          <w:p>
            <w:pPr>
              <w:spacing w:after="0"/>
            </w:pPr>
            <w:r>
              <w:rPr>
                <w:rFonts w:ascii="Calibri" w:hAnsi="Calibri"/>
                <w:b/>
                <w:i w:val="0"/>
                <w:color w:val="0B2545"/>
                <w:sz w:val="18"/>
              </w:rPr>
              <w:t>Outcome</w:t>
            </w:r>
          </w:p>
        </w:tc>
      </w:tr>
      <w:tr>
        <w:tc>
          <w:tcPr>
            <w:tcW w:type="dxa" w:w="2880"/>
            <w:tcMar>
              <w:top w:w="80" w:type="dxa"/>
              <w:start w:w="120" w:type="dxa"/>
              <w:bottom w:w="80" w:type="dxa"/>
              <w:end w:w="120" w:type="dxa"/>
            </w:tcMar>
            <w:vAlign w:val="center"/>
          </w:tcPr>
          <w:p>
            <w:pPr>
              <w:spacing w:after="0"/>
            </w:pPr>
            <w:r>
              <w:rPr>
                <w:rFonts w:ascii="Calibri" w:hAnsi="Calibri"/>
                <w:b w:val="0"/>
                <w:i w:val="0"/>
                <w:color w:val="222222"/>
                <w:sz w:val="17"/>
              </w:rPr>
              <w:t>1 — Hackathon Prototype</w:t>
            </w:r>
          </w:p>
        </w:tc>
        <w:tc>
          <w:tcPr>
            <w:tcW w:type="dxa" w:w="6480"/>
            <w:tcMar>
              <w:top w:w="80" w:type="dxa"/>
              <w:start w:w="120" w:type="dxa"/>
              <w:bottom w:w="80" w:type="dxa"/>
              <w:end w:w="120" w:type="dxa"/>
            </w:tcMar>
            <w:vAlign w:val="center"/>
          </w:tcPr>
          <w:p>
            <w:pPr>
              <w:spacing w:after="0"/>
            </w:pPr>
            <w:r>
              <w:rPr>
                <w:rFonts w:ascii="Calibri" w:hAnsi="Calibri"/>
                <w:b w:val="0"/>
                <w:i w:val="0"/>
                <w:color w:val="222222"/>
                <w:sz w:val="17"/>
              </w:rPr>
              <w:t>Completed concept demonstration.</w:t>
            </w:r>
          </w:p>
        </w:tc>
      </w:tr>
      <w:tr>
        <w:tc>
          <w:tcPr>
            <w:tcW w:type="dxa" w:w="2880"/>
            <w:tcMar>
              <w:top w:w="80" w:type="dxa"/>
              <w:start w:w="120" w:type="dxa"/>
              <w:bottom w:w="80" w:type="dxa"/>
              <w:end w:w="120" w:type="dxa"/>
            </w:tcMar>
            <w:vAlign w:val="center"/>
          </w:tcPr>
          <w:p>
            <w:pPr>
              <w:spacing w:after="0"/>
            </w:pPr>
            <w:r>
              <w:rPr>
                <w:rFonts w:ascii="Calibri" w:hAnsi="Calibri"/>
                <w:b w:val="0"/>
                <w:i w:val="0"/>
                <w:color w:val="222222"/>
                <w:sz w:val="17"/>
              </w:rPr>
              <w:t>2 — Enterprise Validation</w:t>
            </w:r>
          </w:p>
        </w:tc>
        <w:tc>
          <w:tcPr>
            <w:tcW w:type="dxa" w:w="6480"/>
            <w:tcMar>
              <w:top w:w="80" w:type="dxa"/>
              <w:start w:w="120" w:type="dxa"/>
              <w:bottom w:w="80" w:type="dxa"/>
              <w:end w:w="120" w:type="dxa"/>
            </w:tcMar>
            <w:vAlign w:val="center"/>
          </w:tcPr>
          <w:p>
            <w:pPr>
              <w:spacing w:after="0"/>
            </w:pPr>
            <w:r>
              <w:rPr>
                <w:rFonts w:ascii="Calibri" w:hAnsi="Calibri"/>
                <w:b w:val="0"/>
                <w:i w:val="0"/>
                <w:color w:val="222222"/>
                <w:sz w:val="17"/>
              </w:rPr>
              <w:t>Architecture, security and Workday integration review.</w:t>
            </w:r>
          </w:p>
        </w:tc>
      </w:tr>
      <w:tr>
        <w:tc>
          <w:tcPr>
            <w:tcW w:type="dxa" w:w="2880"/>
            <w:tcMar>
              <w:top w:w="80" w:type="dxa"/>
              <w:start w:w="120" w:type="dxa"/>
              <w:bottom w:w="80" w:type="dxa"/>
              <w:end w:w="120" w:type="dxa"/>
            </w:tcMar>
            <w:vAlign w:val="center"/>
          </w:tcPr>
          <w:p>
            <w:pPr>
              <w:spacing w:after="0"/>
            </w:pPr>
            <w:r>
              <w:rPr>
                <w:rFonts w:ascii="Calibri" w:hAnsi="Calibri"/>
                <w:b w:val="0"/>
                <w:i w:val="0"/>
                <w:color w:val="222222"/>
                <w:sz w:val="17"/>
              </w:rPr>
              <w:t>3 — Production Foundation</w:t>
            </w:r>
          </w:p>
        </w:tc>
        <w:tc>
          <w:tcPr>
            <w:tcW w:type="dxa" w:w="6480"/>
            <w:tcMar>
              <w:top w:w="80" w:type="dxa"/>
              <w:start w:w="120" w:type="dxa"/>
              <w:bottom w:w="80" w:type="dxa"/>
              <w:end w:w="120" w:type="dxa"/>
            </w:tcMar>
            <w:vAlign w:val="center"/>
          </w:tcPr>
          <w:p>
            <w:pPr>
              <w:spacing w:after="0"/>
            </w:pPr>
            <w:r>
              <w:rPr>
                <w:rFonts w:ascii="Calibri" w:hAnsi="Calibri"/>
                <w:b w:val="0"/>
                <w:i w:val="0"/>
                <w:color w:val="222222"/>
                <w:sz w:val="17"/>
              </w:rPr>
              <w:t>Entra ID, Dataverse, environments and security baseline.</w:t>
            </w:r>
          </w:p>
        </w:tc>
      </w:tr>
      <w:tr>
        <w:tc>
          <w:tcPr>
            <w:tcW w:type="dxa" w:w="2880"/>
            <w:tcMar>
              <w:top w:w="80" w:type="dxa"/>
              <w:start w:w="120" w:type="dxa"/>
              <w:bottom w:w="80" w:type="dxa"/>
              <w:end w:w="120" w:type="dxa"/>
            </w:tcMar>
            <w:vAlign w:val="center"/>
          </w:tcPr>
          <w:p>
            <w:pPr>
              <w:spacing w:after="0"/>
            </w:pPr>
            <w:r>
              <w:rPr>
                <w:rFonts w:ascii="Calibri" w:hAnsi="Calibri"/>
                <w:b w:val="0"/>
                <w:i w:val="0"/>
                <w:color w:val="222222"/>
                <w:sz w:val="17"/>
              </w:rPr>
              <w:t>4 — Integration &amp; Automation</w:t>
            </w:r>
          </w:p>
        </w:tc>
        <w:tc>
          <w:tcPr>
            <w:tcW w:type="dxa" w:w="6480"/>
            <w:tcMar>
              <w:top w:w="80" w:type="dxa"/>
              <w:start w:w="120" w:type="dxa"/>
              <w:bottom w:w="80" w:type="dxa"/>
              <w:end w:w="120" w:type="dxa"/>
            </w:tcMar>
            <w:vAlign w:val="center"/>
          </w:tcPr>
          <w:p>
            <w:pPr>
              <w:spacing w:after="0"/>
            </w:pPr>
            <w:r>
              <w:rPr>
                <w:rFonts w:ascii="Calibri" w:hAnsi="Calibri"/>
                <w:b w:val="0"/>
                <w:i w:val="0"/>
                <w:color w:val="222222"/>
                <w:sz w:val="17"/>
              </w:rPr>
              <w:t>Workday, Power Automate and Microsoft 365 integration.</w:t>
            </w:r>
          </w:p>
        </w:tc>
      </w:tr>
      <w:tr>
        <w:tc>
          <w:tcPr>
            <w:tcW w:type="dxa" w:w="2880"/>
            <w:tcMar>
              <w:top w:w="80" w:type="dxa"/>
              <w:start w:w="120" w:type="dxa"/>
              <w:bottom w:w="80" w:type="dxa"/>
              <w:end w:w="120" w:type="dxa"/>
            </w:tcMar>
            <w:vAlign w:val="center"/>
          </w:tcPr>
          <w:p>
            <w:pPr>
              <w:spacing w:after="0"/>
            </w:pPr>
            <w:r>
              <w:rPr>
                <w:rFonts w:ascii="Calibri" w:hAnsi="Calibri"/>
                <w:b w:val="0"/>
                <w:i w:val="0"/>
                <w:color w:val="222222"/>
                <w:sz w:val="17"/>
              </w:rPr>
              <w:t>5 — Reporting</w:t>
            </w:r>
          </w:p>
        </w:tc>
        <w:tc>
          <w:tcPr>
            <w:tcW w:type="dxa" w:w="6480"/>
            <w:tcMar>
              <w:top w:w="80" w:type="dxa"/>
              <w:start w:w="120" w:type="dxa"/>
              <w:bottom w:w="80" w:type="dxa"/>
              <w:end w:w="120" w:type="dxa"/>
            </w:tcMar>
            <w:vAlign w:val="center"/>
          </w:tcPr>
          <w:p>
            <w:pPr>
              <w:spacing w:after="0"/>
            </w:pPr>
            <w:r>
              <w:rPr>
                <w:rFonts w:ascii="Calibri" w:hAnsi="Calibri"/>
                <w:b w:val="0"/>
                <w:i w:val="0"/>
                <w:color w:val="222222"/>
                <w:sz w:val="17"/>
              </w:rPr>
              <w:t>Power BI and SLA analytics.</w:t>
            </w:r>
          </w:p>
        </w:tc>
      </w:tr>
      <w:tr>
        <w:tc>
          <w:tcPr>
            <w:tcW w:type="dxa" w:w="2880"/>
            <w:tcMar>
              <w:top w:w="80" w:type="dxa"/>
              <w:start w:w="120" w:type="dxa"/>
              <w:bottom w:w="80" w:type="dxa"/>
              <w:end w:w="120" w:type="dxa"/>
            </w:tcMar>
            <w:vAlign w:val="center"/>
          </w:tcPr>
          <w:p>
            <w:pPr>
              <w:spacing w:after="0"/>
            </w:pPr>
            <w:r>
              <w:rPr>
                <w:rFonts w:ascii="Calibri" w:hAnsi="Calibri"/>
                <w:b w:val="0"/>
                <w:i w:val="0"/>
                <w:color w:val="222222"/>
                <w:sz w:val="17"/>
              </w:rPr>
              <w:t>6 — Pilot</w:t>
            </w:r>
          </w:p>
        </w:tc>
        <w:tc>
          <w:tcPr>
            <w:tcW w:type="dxa" w:w="6480"/>
            <w:tcMar>
              <w:top w:w="80" w:type="dxa"/>
              <w:start w:w="120" w:type="dxa"/>
              <w:bottom w:w="80" w:type="dxa"/>
              <w:end w:w="120" w:type="dxa"/>
            </w:tcMar>
            <w:vAlign w:val="center"/>
          </w:tcPr>
          <w:p>
            <w:pPr>
              <w:spacing w:after="0"/>
            </w:pPr>
            <w:r>
              <w:rPr>
                <w:rFonts w:ascii="Calibri" w:hAnsi="Calibri"/>
                <w:b w:val="0"/>
                <w:i w:val="0"/>
                <w:color w:val="222222"/>
                <w:sz w:val="17"/>
              </w:rPr>
              <w:t>Controlled Malaysia pilot.</w:t>
            </w:r>
          </w:p>
        </w:tc>
      </w:tr>
      <w:tr>
        <w:tc>
          <w:tcPr>
            <w:tcW w:type="dxa" w:w="2880"/>
            <w:tcMar>
              <w:top w:w="80" w:type="dxa"/>
              <w:start w:w="120" w:type="dxa"/>
              <w:bottom w:w="80" w:type="dxa"/>
              <w:end w:w="120" w:type="dxa"/>
            </w:tcMar>
            <w:vAlign w:val="center"/>
          </w:tcPr>
          <w:p>
            <w:pPr>
              <w:spacing w:after="0"/>
            </w:pPr>
            <w:r>
              <w:rPr>
                <w:rFonts w:ascii="Calibri" w:hAnsi="Calibri"/>
                <w:b w:val="0"/>
                <w:i w:val="0"/>
                <w:color w:val="222222"/>
                <w:sz w:val="17"/>
              </w:rPr>
              <w:t>7 — Scale</w:t>
            </w:r>
          </w:p>
        </w:tc>
        <w:tc>
          <w:tcPr>
            <w:tcW w:type="dxa" w:w="6480"/>
            <w:tcMar>
              <w:top w:w="80" w:type="dxa"/>
              <w:start w:w="120" w:type="dxa"/>
              <w:bottom w:w="80" w:type="dxa"/>
              <w:end w:w="120" w:type="dxa"/>
            </w:tcMar>
            <w:vAlign w:val="center"/>
          </w:tcPr>
          <w:p>
            <w:pPr>
              <w:spacing w:after="0"/>
            </w:pPr>
            <w:r>
              <w:rPr>
                <w:rFonts w:ascii="Calibri" w:hAnsi="Calibri"/>
                <w:b w:val="0"/>
                <w:i w:val="0"/>
                <w:color w:val="222222"/>
                <w:sz w:val="17"/>
              </w:rPr>
              <w:t>Regional/global rollout if pilot proves successful.</w:t>
            </w:r>
          </w:p>
        </w:tc>
      </w:tr>
    </w:tbl>
    <w:p>
      <w:pPr>
        <w:spacing w:after="40" w:line="264" w:lineRule="auto"/>
      </w:pPr>
      <w:r>
        <w:rPr>
          <w:rFonts w:ascii="Calibri" w:hAnsi="Calibri"/>
          <w:b w:val="0"/>
          <w:i w:val="0"/>
          <w:color w:val="000000"/>
          <w:sz w:val="22"/>
        </w:rPr>
      </w:r>
    </w:p>
    <w:p>
      <w:r>
        <w:br w:type="page"/>
      </w:r>
    </w:p>
    <w:p>
      <w:pPr>
        <w:pStyle w:val="Heading1"/>
        <w:keepNext/>
      </w:pPr>
      <w:r>
        <w:t>Risks and limitations</w:t>
      </w:r>
    </w:p>
    <w:p>
      <w:pPr>
        <w:pStyle w:val="ListBullet"/>
        <w:spacing w:after="60" w:line="276" w:lineRule="auto"/>
      </w:pPr>
      <w:r>
        <w:t>Workday is a mock, not a live integration.</w:t>
      </w:r>
    </w:p>
    <w:p>
      <w:pPr>
        <w:pStyle w:val="ListBullet"/>
        <w:spacing w:after="60" w:line="276" w:lineRule="auto"/>
      </w:pPr>
      <w:r>
        <w:t>Authentication uses demo accounts, not Entra ID.</w:t>
      </w:r>
    </w:p>
    <w:p>
      <w:pPr>
        <w:pStyle w:val="ListBullet"/>
        <w:spacing w:after="60" w:line="276" w:lineRule="auto"/>
      </w:pPr>
      <w:r>
        <w:t>Automation is simulated; no live Power Automate connection is claimed.</w:t>
      </w:r>
    </w:p>
    <w:p>
      <w:pPr>
        <w:pStyle w:val="ListBullet"/>
        <w:spacing w:after="60" w:line="276" w:lineRule="auto"/>
      </w:pPr>
      <w:r>
        <w:t>Persistence is prototype/local rather than an enterprise data platform.</w:t>
      </w:r>
    </w:p>
    <w:p>
      <w:pPr>
        <w:pStyle w:val="ListBullet"/>
        <w:spacing w:after="60" w:line="276" w:lineRule="auto"/>
      </w:pPr>
      <w:r>
        <w:t>AWS SES is a prototype-only optional email route; M365 is recommended for production.</w:t>
      </w:r>
    </w:p>
    <w:p>
      <w:pPr>
        <w:pStyle w:val="ListBullet"/>
        <w:spacing w:after="60" w:line="276" w:lineRule="auto"/>
      </w:pPr>
      <w:r>
        <w:t>Dataverse, Power BI and enterprise monitoring are not implemented.</w:t>
      </w:r>
    </w:p>
    <w:p>
      <w:r>
        <w:br w:type="page"/>
      </w:r>
    </w:p>
    <w:p>
      <w:pPr>
        <w:pStyle w:val="Heading1"/>
        <w:keepNext/>
      </w:pPr>
      <w:r>
        <w:t>5–10 minute demo guide</w:t>
      </w:r>
    </w:p>
    <w:p>
      <w:pPr>
        <w:pStyle w:val="ListNumber"/>
        <w:spacing w:after="60" w:line="276" w:lineRule="auto"/>
      </w:pPr>
      <w:r>
        <w:t>Introduce the business problem and OneFlow as the coordination layer, not a Workday replacement.</w:t>
      </w:r>
    </w:p>
    <w:p>
      <w:pPr>
        <w:pStyle w:val="ListNumber"/>
        <w:spacing w:after="60" w:line="276" w:lineRule="auto"/>
      </w:pPr>
      <w:r>
        <w:t>Show Project Hub and Workday versus OneFlow.</w:t>
      </w:r>
    </w:p>
    <w:p>
      <w:pPr>
        <w:pStyle w:val="ListNumber"/>
        <w:spacing w:after="60" w:line="276" w:lineRule="auto"/>
      </w:pPr>
      <w:r>
        <w:t>Login as Admin and show Dashboard, Workday mock and Lifecycle Cases.</w:t>
      </w:r>
    </w:p>
    <w:p>
      <w:pPr>
        <w:pStyle w:val="ListNumber"/>
        <w:spacing w:after="60" w:line="276" w:lineRule="auto"/>
      </w:pPr>
      <w:r>
        <w:t>Open Nabila onboarding, readiness and employee journey.</w:t>
      </w:r>
    </w:p>
    <w:p>
      <w:pPr>
        <w:pStyle w:val="ListNumber"/>
        <w:spacing w:after="60" w:line="276" w:lineRule="auto"/>
      </w:pPr>
      <w:r>
        <w:t>Switch to IT Security for role dashboard and My Tasks.</w:t>
      </w:r>
    </w:p>
    <w:p>
      <w:pPr>
        <w:pStyle w:val="ListNumber"/>
        <w:spacing w:after="60" w:line="276" w:lineRule="auto"/>
      </w:pPr>
      <w:r>
        <w:t>Show Nabila forms/inbox, then Email Delivery mapping and Send Test Email (only with an approved safe destination).</w:t>
      </w:r>
    </w:p>
    <w:p>
      <w:pPr>
        <w:pStyle w:val="ListNumber"/>
        <w:spacing w:after="60" w:line="276" w:lineRule="auto"/>
      </w:pPr>
      <w:r>
        <w:t>Show Hamdan offboarding and Exit Clearance.</w:t>
      </w:r>
    </w:p>
    <w:p>
      <w:pPr>
        <w:pStyle w:val="ListNumber"/>
        <w:spacing w:after="60" w:line="276" w:lineRule="auto"/>
      </w:pPr>
      <w:r>
        <w:t>Show Reports and Automation Simulation.</w:t>
      </w:r>
    </w:p>
    <w:p>
      <w:pPr>
        <w:pStyle w:val="ListNumber"/>
        <w:spacing w:after="60" w:line="276" w:lineRule="auto"/>
      </w:pPr>
      <w:r>
        <w:t>Close on the proposed Microsoft-first production architecture, benefits and next steps.</w:t>
      </w:r>
    </w:p>
    <w:p>
      <w:r>
        <w:br w:type="page"/>
      </w:r>
    </w:p>
    <w:p>
      <w:pPr>
        <w:pStyle w:val="Heading1"/>
        <w:keepNext/>
      </w:pPr>
      <w:r>
        <w:t>FAQ</w:t>
      </w:r>
    </w:p>
    <w:tbl>
      <w:tblPr>
        <w:tblStyle w:val="TableGrid"/>
        <w:tblW w:type="auto" w:w="0"/>
        <w:jc w:val="center"/>
        <w:tblLayout w:type="fixed"/>
        <w:tblLook w:firstColumn="1" w:firstRow="1" w:lastColumn="0" w:lastRow="0" w:noHBand="0" w:noVBand="1" w:val="04A0"/>
      </w:tblPr>
      <w:tblGrid>
        <w:gridCol w:w="4824"/>
        <w:gridCol w:w="4824"/>
      </w:tblGrid>
      <w:tr>
        <w:tc>
          <w:tcPr>
            <w:tcW w:type="dxa" w:w="3024"/>
            <w:shd w:fill="E8EEF5"/>
            <w:tcMar>
              <w:top w:w="80" w:type="dxa"/>
              <w:start w:w="120" w:type="dxa"/>
              <w:bottom w:w="80" w:type="dxa"/>
              <w:end w:w="120" w:type="dxa"/>
            </w:tcMar>
            <w:vAlign w:val="center"/>
          </w:tcPr>
          <w:p>
            <w:pPr>
              <w:spacing w:after="0"/>
            </w:pPr>
            <w:r>
              <w:rPr>
                <w:rFonts w:ascii="Calibri" w:hAnsi="Calibri"/>
                <w:b/>
                <w:i w:val="0"/>
                <w:color w:val="0B2545"/>
                <w:sz w:val="18"/>
              </w:rPr>
              <w:t>Question</w:t>
            </w:r>
          </w:p>
        </w:tc>
        <w:tc>
          <w:tcPr>
            <w:tcW w:type="dxa" w:w="6336"/>
            <w:shd w:fill="E8EEF5"/>
            <w:tcMar>
              <w:top w:w="80" w:type="dxa"/>
              <w:start w:w="120" w:type="dxa"/>
              <w:bottom w:w="80" w:type="dxa"/>
              <w:end w:w="120" w:type="dxa"/>
            </w:tcMar>
            <w:vAlign w:val="center"/>
          </w:tcPr>
          <w:p>
            <w:pPr>
              <w:spacing w:after="0"/>
            </w:pPr>
            <w:r>
              <w:rPr>
                <w:rFonts w:ascii="Calibri" w:hAnsi="Calibri"/>
                <w:b/>
                <w:i w:val="0"/>
                <w:color w:val="0B2545"/>
                <w:sz w:val="18"/>
              </w:rPr>
              <w:t>Answer</w:t>
            </w:r>
          </w:p>
        </w:tc>
      </w:tr>
      <w:tr>
        <w:tc>
          <w:tcPr>
            <w:tcW w:type="dxa" w:w="3024"/>
            <w:tcMar>
              <w:top w:w="80" w:type="dxa"/>
              <w:start w:w="120" w:type="dxa"/>
              <w:bottom w:w="80" w:type="dxa"/>
              <w:end w:w="120" w:type="dxa"/>
            </w:tcMar>
            <w:vAlign w:val="center"/>
          </w:tcPr>
          <w:p>
            <w:pPr>
              <w:spacing w:after="0"/>
            </w:pPr>
            <w:r>
              <w:rPr>
                <w:rFonts w:ascii="Calibri" w:hAnsi="Calibri"/>
                <w:b w:val="0"/>
                <w:i w:val="0"/>
                <w:color w:val="222222"/>
                <w:sz w:val="17"/>
              </w:rPr>
              <w:t>Is OneFlow a Workday replacement?</w:t>
            </w:r>
          </w:p>
        </w:tc>
        <w:tc>
          <w:tcPr>
            <w:tcW w:type="dxa" w:w="6336"/>
            <w:tcMar>
              <w:top w:w="80" w:type="dxa"/>
              <w:start w:w="120" w:type="dxa"/>
              <w:bottom w:w="80" w:type="dxa"/>
              <w:end w:w="120" w:type="dxa"/>
            </w:tcMar>
            <w:vAlign w:val="center"/>
          </w:tcPr>
          <w:p>
            <w:pPr>
              <w:spacing w:after="0"/>
            </w:pPr>
            <w:r>
              <w:rPr>
                <w:rFonts w:ascii="Calibri" w:hAnsi="Calibri"/>
                <w:b w:val="0"/>
                <w:i w:val="0"/>
                <w:color w:val="222222"/>
                <w:sz w:val="17"/>
              </w:rPr>
              <w:t>No. Workday remains the HR source; OneFlow coordinates the downstream lifecycle experience.</w:t>
            </w:r>
          </w:p>
        </w:tc>
      </w:tr>
      <w:tr>
        <w:tc>
          <w:tcPr>
            <w:tcW w:type="dxa" w:w="3024"/>
            <w:tcMar>
              <w:top w:w="80" w:type="dxa"/>
              <w:start w:w="120" w:type="dxa"/>
              <w:bottom w:w="80" w:type="dxa"/>
              <w:end w:w="120" w:type="dxa"/>
            </w:tcMar>
            <w:vAlign w:val="center"/>
          </w:tcPr>
          <w:p>
            <w:pPr>
              <w:spacing w:after="0"/>
            </w:pPr>
            <w:r>
              <w:rPr>
                <w:rFonts w:ascii="Calibri" w:hAnsi="Calibri"/>
                <w:b w:val="0"/>
                <w:i w:val="0"/>
                <w:color w:val="222222"/>
                <w:sz w:val="17"/>
              </w:rPr>
              <w:t>Is the prototype production-ready?</w:t>
            </w:r>
          </w:p>
        </w:tc>
        <w:tc>
          <w:tcPr>
            <w:tcW w:type="dxa" w:w="6336"/>
            <w:tcMar>
              <w:top w:w="80" w:type="dxa"/>
              <w:start w:w="120" w:type="dxa"/>
              <w:bottom w:w="80" w:type="dxa"/>
              <w:end w:w="120" w:type="dxa"/>
            </w:tcMar>
            <w:vAlign w:val="center"/>
          </w:tcPr>
          <w:p>
            <w:pPr>
              <w:spacing w:after="0"/>
            </w:pPr>
            <w:r>
              <w:rPr>
                <w:rFonts w:ascii="Calibri" w:hAnsi="Calibri"/>
                <w:b w:val="0"/>
                <w:i w:val="0"/>
                <w:color w:val="222222"/>
                <w:sz w:val="17"/>
              </w:rPr>
              <w:t>No. It validates the solution concept; integrations, identity, governed data and controls remain future work.</w:t>
            </w:r>
          </w:p>
        </w:tc>
      </w:tr>
      <w:tr>
        <w:tc>
          <w:tcPr>
            <w:tcW w:type="dxa" w:w="3024"/>
            <w:tcMar>
              <w:top w:w="80" w:type="dxa"/>
              <w:start w:w="120" w:type="dxa"/>
              <w:bottom w:w="80" w:type="dxa"/>
              <w:end w:w="120" w:type="dxa"/>
            </w:tcMar>
            <w:vAlign w:val="center"/>
          </w:tcPr>
          <w:p>
            <w:pPr>
              <w:spacing w:after="0"/>
            </w:pPr>
            <w:r>
              <w:rPr>
                <w:rFonts w:ascii="Calibri" w:hAnsi="Calibri"/>
                <w:b w:val="0"/>
                <w:i w:val="0"/>
                <w:color w:val="222222"/>
                <w:sz w:val="17"/>
              </w:rPr>
              <w:t>What is real versus simulated?</w:t>
            </w:r>
          </w:p>
        </w:tc>
        <w:tc>
          <w:tcPr>
            <w:tcW w:type="dxa" w:w="6336"/>
            <w:tcMar>
              <w:top w:w="80" w:type="dxa"/>
              <w:start w:w="120" w:type="dxa"/>
              <w:bottom w:w="80" w:type="dxa"/>
              <w:end w:w="120" w:type="dxa"/>
            </w:tcMar>
            <w:vAlign w:val="center"/>
          </w:tcPr>
          <w:p>
            <w:pPr>
              <w:spacing w:after="0"/>
            </w:pPr>
            <w:r>
              <w:rPr>
                <w:rFonts w:ascii="Calibri" w:hAnsi="Calibri"/>
                <w:b w:val="0"/>
                <w:i w:val="0"/>
                <w:color w:val="222222"/>
                <w:sz w:val="17"/>
              </w:rPr>
              <w:t>The user experience, role ownership, cases, journeys, forms and prototype reporting are implemented. Workday and automation are simulated; SES is optional prototype test delivery.</w:t>
            </w:r>
          </w:p>
        </w:tc>
      </w:tr>
      <w:tr>
        <w:tc>
          <w:tcPr>
            <w:tcW w:type="dxa" w:w="3024"/>
            <w:tcMar>
              <w:top w:w="80" w:type="dxa"/>
              <w:start w:w="120" w:type="dxa"/>
              <w:bottom w:w="80" w:type="dxa"/>
              <w:end w:w="120" w:type="dxa"/>
            </w:tcMar>
            <w:vAlign w:val="center"/>
          </w:tcPr>
          <w:p>
            <w:pPr>
              <w:spacing w:after="0"/>
            </w:pPr>
            <w:r>
              <w:rPr>
                <w:rFonts w:ascii="Calibri" w:hAnsi="Calibri"/>
                <w:b w:val="0"/>
                <w:i w:val="0"/>
                <w:color w:val="222222"/>
                <w:sz w:val="17"/>
              </w:rPr>
              <w:t>Why progress it?</w:t>
            </w:r>
          </w:p>
        </w:tc>
        <w:tc>
          <w:tcPr>
            <w:tcW w:type="dxa" w:w="6336"/>
            <w:tcMar>
              <w:top w:w="80" w:type="dxa"/>
              <w:start w:w="120" w:type="dxa"/>
              <w:bottom w:w="80" w:type="dxa"/>
              <w:end w:w="120" w:type="dxa"/>
            </w:tcMar>
            <w:vAlign w:val="center"/>
          </w:tcPr>
          <w:p>
            <w:pPr>
              <w:spacing w:after="0"/>
            </w:pPr>
            <w:r>
              <w:rPr>
                <w:rFonts w:ascii="Calibri" w:hAnsi="Calibri"/>
                <w:b w:val="0"/>
                <w:i w:val="0"/>
                <w:color w:val="222222"/>
                <w:sz w:val="17"/>
              </w:rPr>
              <w:t>It makes a complex cross-functional lifecycle visible as a coherent, owned journey and provides a clear validation path.</w:t>
            </w:r>
          </w:p>
        </w:tc>
      </w:tr>
    </w:tbl>
    <w:p>
      <w:pPr>
        <w:spacing w:after="40" w:line="264" w:lineRule="auto"/>
      </w:pPr>
      <w:r>
        <w:rPr>
          <w:rFonts w:ascii="Calibri" w:hAnsi="Calibri"/>
          <w:b w:val="0"/>
          <w:i w:val="0"/>
          <w:color w:val="000000"/>
          <w:sz w:val="22"/>
        </w:rPr>
      </w:r>
    </w:p>
    <w:p>
      <w:r>
        <w:br w:type="page"/>
      </w:r>
    </w:p>
    <w:p>
      <w:pPr>
        <w:pStyle w:val="Heading1"/>
        <w:keepNext/>
      </w:pPr>
      <w:r>
        <w:t>Conclusion</w:t>
      </w:r>
    </w:p>
    <w:p>
      <w:pPr>
        <w:spacing w:after="120" w:line="264" w:lineRule="auto"/>
      </w:pPr>
      <w:r>
        <w:rPr>
          <w:rFonts w:ascii="Calibri" w:hAnsi="Calibri"/>
          <w:b w:val="0"/>
          <w:i w:val="0"/>
          <w:color w:val="000000"/>
          <w:sz w:val="22"/>
        </w:rPr>
        <w:t>The hackathon proved that an employee lifecycle event can be expressed as a connected, role-owned experience rather than a collection of disconnected follow-ups. OneFlow demonstrates meaningful value: shared visibility, clearer ownership, employee-facing journeys and readiness or clearance tracking. Further evaluation is justified because the next steps are clear and bounded: validate enterprise architecture and security, connect approved Workday events, establish identity and governed data, automate workflows and pilot measurable outcomes.</w:t>
      </w:r>
    </w:p>
    <w:p>
      <w:r>
        <w:br w:type="page"/>
      </w:r>
    </w:p>
    <w:p>
      <w:pPr>
        <w:pStyle w:val="Heading1"/>
        <w:keepNext/>
      </w:pPr>
      <w:r>
        <w:t>Appendix — verification notes</w:t>
      </w:r>
    </w:p>
    <w:p>
      <w:pPr>
        <w:spacing w:after="120" w:line="264" w:lineRule="auto"/>
      </w:pPr>
      <w:r>
        <w:rPr>
          <w:rFonts w:ascii="Calibri" w:hAnsi="Calibri"/>
          <w:b w:val="0"/>
          <w:i w:val="0"/>
          <w:color w:val="000000"/>
          <w:sz w:val="22"/>
        </w:rPr>
        <w:t>Repository review confirmed the current routes and features described in this document, the mock Workday data set of five synthetic employees, demo roles, optional server-side SES workflow and explicit simulation mode for automation. The exact original hackathon question was not found. Automated live UI capture could not complete because the available browser controller was not connected and headless capture remained on the application loading state; therefore no unverified product screenshots were inserted.</w:t>
      </w:r>
    </w:p>
    <w:sectPr w:rsidR="00FC693F" w:rsidRPr="0006063C" w:rsidSect="00034616">
      <w:headerReference w:type="default" r:id="rId9"/>
      <w:footerReference w:type="default" r:id="rId10"/>
      <w:pgSz w:w="12240" w:h="15840"/>
      <w:pgMar w:top="1224" w:right="1296" w:bottom="1224" w:left="1296"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667085"/>
        <w:sz w:val="16"/>
      </w:rPr>
      <w:t xml:space="preserve">Team Error 404  •  PPG AEN Hackathon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val="0"/>
        <w:i w:val="0"/>
        <w:color w:val="667085"/>
        <w:sz w:val="16"/>
      </w:rPr>
      <w:t>OneFlow | Solution Proposal and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