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99ABC" w14:textId="77777777" w:rsidR="001A4644" w:rsidRDefault="00165985">
      <w:pPr>
        <w:spacing w:after="60" w:line="300" w:lineRule="auto"/>
      </w:pPr>
      <w:r>
        <w:rPr>
          <w:b/>
          <w:color w:val="0B2545"/>
          <w:sz w:val="60"/>
        </w:rPr>
        <w:t>OneFlow</w:t>
      </w:r>
    </w:p>
    <w:p w14:paraId="7A01E480" w14:textId="77777777" w:rsidR="001A4644" w:rsidRDefault="00165985">
      <w:pPr>
        <w:spacing w:line="300" w:lineRule="auto"/>
      </w:pPr>
      <w:r>
        <w:rPr>
          <w:b/>
          <w:color w:val="1F4D78"/>
          <w:sz w:val="34"/>
        </w:rPr>
        <w:t>Employee Lifecycle Orchestration</w:t>
      </w:r>
    </w:p>
    <w:p w14:paraId="35A80A45" w14:textId="77777777" w:rsidR="001A4644" w:rsidRDefault="00165985">
      <w:pPr>
        <w:spacing w:after="440" w:line="300" w:lineRule="auto"/>
      </w:pPr>
      <w:r>
        <w:rPr>
          <w:color w:val="5B677A"/>
          <w:sz w:val="23"/>
        </w:rPr>
        <w:t>Current application guide, hackathon demo manual and production-direction assessment</w:t>
      </w:r>
    </w:p>
    <w:tbl>
      <w:tblPr>
        <w:tblStyle w:val="TableGrid"/>
        <w:tblW w:w="0" w:type="auto"/>
        <w:jc w:val="center"/>
        <w:tblLayout w:type="fixed"/>
        <w:tblLook w:val="04A0" w:firstRow="1" w:lastRow="0" w:firstColumn="1" w:lastColumn="0" w:noHBand="0" w:noVBand="1"/>
      </w:tblPr>
      <w:tblGrid>
        <w:gridCol w:w="2500"/>
        <w:gridCol w:w="6860"/>
      </w:tblGrid>
      <w:tr w:rsidR="001A4644" w14:paraId="1C098D99" w14:textId="77777777">
        <w:trPr>
          <w:jc w:val="center"/>
        </w:trPr>
        <w:tc>
          <w:tcPr>
            <w:tcW w:w="2500" w:type="dxa"/>
            <w:shd w:val="clear" w:color="auto" w:fill="E8EEF5"/>
            <w:vAlign w:val="center"/>
          </w:tcPr>
          <w:p w14:paraId="0A9ED801" w14:textId="77777777" w:rsidR="001A4644" w:rsidRDefault="00165985">
            <w:r>
              <w:rPr>
                <w:b/>
                <w:color w:val="0B2545"/>
                <w:sz w:val="19"/>
              </w:rPr>
              <w:t>Document control</w:t>
            </w:r>
          </w:p>
        </w:tc>
        <w:tc>
          <w:tcPr>
            <w:tcW w:w="6860" w:type="dxa"/>
            <w:shd w:val="clear" w:color="auto" w:fill="E8EEF5"/>
            <w:vAlign w:val="center"/>
          </w:tcPr>
          <w:p w14:paraId="0AD1572A" w14:textId="77777777" w:rsidR="001A4644" w:rsidRDefault="00165985">
            <w:r>
              <w:rPr>
                <w:b/>
                <w:color w:val="0B2545"/>
                <w:sz w:val="19"/>
              </w:rPr>
              <w:t>Value</w:t>
            </w:r>
          </w:p>
        </w:tc>
      </w:tr>
      <w:tr w:rsidR="001A4644" w14:paraId="52215B6C" w14:textId="77777777">
        <w:trPr>
          <w:jc w:val="center"/>
        </w:trPr>
        <w:tc>
          <w:tcPr>
            <w:tcW w:w="2500" w:type="dxa"/>
            <w:vAlign w:val="center"/>
          </w:tcPr>
          <w:p w14:paraId="3589E7EC" w14:textId="77777777" w:rsidR="001A4644" w:rsidRDefault="00165985">
            <w:pPr>
              <w:spacing w:after="20"/>
            </w:pPr>
            <w:r>
              <w:rPr>
                <w:sz w:val="19"/>
              </w:rPr>
              <w:t>Official demo</w:t>
            </w:r>
          </w:p>
        </w:tc>
        <w:tc>
          <w:tcPr>
            <w:tcW w:w="6860" w:type="dxa"/>
            <w:vAlign w:val="center"/>
          </w:tcPr>
          <w:p w14:paraId="06930B33" w14:textId="77777777" w:rsidR="001A4644" w:rsidRDefault="00165985">
            <w:pPr>
              <w:spacing w:after="20"/>
            </w:pPr>
            <w:r>
              <w:rPr>
                <w:sz w:val="19"/>
              </w:rPr>
              <w:t>https://oneflow.highrulez.com</w:t>
            </w:r>
          </w:p>
        </w:tc>
      </w:tr>
      <w:tr w:rsidR="001A4644" w14:paraId="01363296" w14:textId="77777777">
        <w:trPr>
          <w:jc w:val="center"/>
        </w:trPr>
        <w:tc>
          <w:tcPr>
            <w:tcW w:w="2500" w:type="dxa"/>
            <w:vAlign w:val="center"/>
          </w:tcPr>
          <w:p w14:paraId="64BD2B67" w14:textId="77777777" w:rsidR="001A4644" w:rsidRDefault="00165985">
            <w:pPr>
              <w:spacing w:after="20"/>
            </w:pPr>
            <w:r>
              <w:rPr>
                <w:sz w:val="19"/>
              </w:rPr>
              <w:t>Status</w:t>
            </w:r>
          </w:p>
        </w:tc>
        <w:tc>
          <w:tcPr>
            <w:tcW w:w="6860" w:type="dxa"/>
            <w:vAlign w:val="center"/>
          </w:tcPr>
          <w:p w14:paraId="48370135" w14:textId="77777777" w:rsidR="001A4644" w:rsidRDefault="00165985">
            <w:pPr>
              <w:spacing w:after="20"/>
            </w:pPr>
            <w:r>
              <w:rPr>
                <w:sz w:val="19"/>
              </w:rPr>
              <w:t>Hackathon prototype with synthetic data</w:t>
            </w:r>
          </w:p>
        </w:tc>
      </w:tr>
      <w:tr w:rsidR="001A4644" w14:paraId="2512ABF6" w14:textId="77777777">
        <w:trPr>
          <w:jc w:val="center"/>
        </w:trPr>
        <w:tc>
          <w:tcPr>
            <w:tcW w:w="2500" w:type="dxa"/>
            <w:vAlign w:val="center"/>
          </w:tcPr>
          <w:p w14:paraId="173F604A" w14:textId="77777777" w:rsidR="001A4644" w:rsidRDefault="00165985">
            <w:pPr>
              <w:spacing w:after="20"/>
            </w:pPr>
            <w:r>
              <w:rPr>
                <w:sz w:val="19"/>
              </w:rPr>
              <w:t>Last refreshed</w:t>
            </w:r>
          </w:p>
        </w:tc>
        <w:tc>
          <w:tcPr>
            <w:tcW w:w="6860" w:type="dxa"/>
            <w:vAlign w:val="center"/>
          </w:tcPr>
          <w:p w14:paraId="755DA869" w14:textId="77777777" w:rsidR="001A4644" w:rsidRDefault="00165985">
            <w:pPr>
              <w:spacing w:after="20"/>
            </w:pPr>
            <w:r>
              <w:rPr>
                <w:sz w:val="19"/>
              </w:rPr>
              <w:t>20 August 2026</w:t>
            </w:r>
          </w:p>
        </w:tc>
      </w:tr>
      <w:tr w:rsidR="001A4644" w14:paraId="7FE6D448" w14:textId="77777777">
        <w:trPr>
          <w:jc w:val="center"/>
        </w:trPr>
        <w:tc>
          <w:tcPr>
            <w:tcW w:w="2500" w:type="dxa"/>
            <w:vAlign w:val="center"/>
          </w:tcPr>
          <w:p w14:paraId="585BB623" w14:textId="77777777" w:rsidR="001A4644" w:rsidRDefault="00165985">
            <w:pPr>
              <w:spacing w:after="20"/>
            </w:pPr>
            <w:r>
              <w:rPr>
                <w:sz w:val="19"/>
              </w:rPr>
              <w:t>Project team</w:t>
            </w:r>
          </w:p>
        </w:tc>
        <w:tc>
          <w:tcPr>
            <w:tcW w:w="6860" w:type="dxa"/>
            <w:vAlign w:val="center"/>
          </w:tcPr>
          <w:p w14:paraId="51673847" w14:textId="77777777" w:rsidR="001A4644" w:rsidRDefault="00165985">
            <w:pPr>
              <w:spacing w:after="20"/>
            </w:pPr>
            <w:r>
              <w:rPr>
                <w:sz w:val="19"/>
              </w:rPr>
              <w:t>Team Error 404</w:t>
            </w:r>
          </w:p>
        </w:tc>
      </w:tr>
    </w:tbl>
    <w:p w14:paraId="556ABBDA" w14:textId="77777777" w:rsidR="001A4644" w:rsidRDefault="001A4644">
      <w:pPr>
        <w:spacing w:after="40"/>
      </w:pPr>
    </w:p>
    <w:p w14:paraId="7AB57109" w14:textId="77777777" w:rsidR="001A4644" w:rsidRDefault="00165985">
      <w:pPr>
        <w:spacing w:after="80" w:line="300" w:lineRule="auto"/>
      </w:pPr>
      <w:r>
        <w:rPr>
          <w:b/>
          <w:color w:val="0B2545"/>
          <w:sz w:val="24"/>
        </w:rPr>
        <w:t>Team Error 404</w:t>
      </w:r>
    </w:p>
    <w:p w14:paraId="1DBE541E" w14:textId="77777777" w:rsidR="001A4644" w:rsidRDefault="00165985">
      <w:pPr>
        <w:pStyle w:val="ListBullet"/>
        <w:spacing w:after="60" w:line="288" w:lineRule="auto"/>
      </w:pPr>
      <w:r>
        <w:t>Thamotharan, Renuka Malar</w:t>
      </w:r>
    </w:p>
    <w:p w14:paraId="29ADC177" w14:textId="77777777" w:rsidR="001A4644" w:rsidRDefault="00165985">
      <w:pPr>
        <w:pStyle w:val="ListBullet"/>
        <w:spacing w:after="60" w:line="288" w:lineRule="auto"/>
      </w:pPr>
      <w:r>
        <w:t>Ramachandran, Yuganeswary</w:t>
      </w:r>
    </w:p>
    <w:p w14:paraId="09E3BF69" w14:textId="77777777" w:rsidR="001A4644" w:rsidRDefault="00165985">
      <w:pPr>
        <w:pStyle w:val="ListBullet"/>
        <w:spacing w:after="60" w:line="288" w:lineRule="auto"/>
      </w:pPr>
      <w:r>
        <w:t>Hairul Afizee</w:t>
      </w:r>
    </w:p>
    <w:p w14:paraId="0132D612" w14:textId="77777777" w:rsidR="001A4644" w:rsidRDefault="00165985">
      <w:pPr>
        <w:pStyle w:val="ListBullet"/>
        <w:spacing w:after="60" w:line="288" w:lineRule="auto"/>
      </w:pPr>
      <w:r>
        <w:t>Bashari, Noorliana</w:t>
      </w:r>
    </w:p>
    <w:p w14:paraId="164B297D" w14:textId="77777777" w:rsidR="001A4644" w:rsidRDefault="00165985">
      <w:pPr>
        <w:spacing w:after="240" w:line="300" w:lineRule="auto"/>
      </w:pPr>
      <w:r>
        <w:rPr>
          <w:b/>
          <w:color w:val="1F4D78"/>
        </w:rPr>
        <w:t>OneFlow is a demo application. It does not replace Workday and it is not a production system.</w:t>
      </w:r>
    </w:p>
    <w:p w14:paraId="5C8355AF" w14:textId="77777777" w:rsidR="001A4644" w:rsidRDefault="00165985">
      <w:pPr>
        <w:pStyle w:val="Heading1"/>
        <w:spacing w:before="320" w:after="120"/>
      </w:pPr>
      <w:r>
        <w:rPr>
          <w:rFonts w:ascii="Calibri" w:hAnsi="Calibri"/>
          <w:color w:val="2E74B5"/>
          <w:sz w:val="32"/>
        </w:rPr>
        <w:t>1. Purpose and scope</w:t>
      </w:r>
    </w:p>
    <w:p w14:paraId="357B0589" w14:textId="77777777" w:rsidR="001A4644" w:rsidRDefault="00165985">
      <w:pPr>
        <w:spacing w:after="120" w:line="300" w:lineRule="auto"/>
      </w:pPr>
      <w:r>
        <w:rPr>
          <w:sz w:val="22"/>
        </w:rPr>
        <w:t>OneFlow coordinates the work that follows an employee lifecycle event. A source HR platform such as Workday remains the system of record; OneFlow gives HR, IT, Facilities, Finance, managers and employees a shared view of ownership, readiness, clearance, messages, forms and progress.</w:t>
      </w:r>
    </w:p>
    <w:tbl>
      <w:tblPr>
        <w:tblStyle w:val="TableGrid"/>
        <w:tblW w:w="0" w:type="auto"/>
        <w:jc w:val="center"/>
        <w:tblLayout w:type="fixed"/>
        <w:tblLook w:val="04A0" w:firstRow="1" w:lastRow="0" w:firstColumn="1" w:lastColumn="0" w:noHBand="0" w:noVBand="1"/>
      </w:tblPr>
      <w:tblGrid>
        <w:gridCol w:w="2400"/>
        <w:gridCol w:w="3550"/>
        <w:gridCol w:w="3410"/>
      </w:tblGrid>
      <w:tr w:rsidR="001A4644" w14:paraId="1D36931A" w14:textId="77777777">
        <w:trPr>
          <w:jc w:val="center"/>
        </w:trPr>
        <w:tc>
          <w:tcPr>
            <w:tcW w:w="2400" w:type="dxa"/>
            <w:shd w:val="clear" w:color="auto" w:fill="E8EEF5"/>
            <w:vAlign w:val="center"/>
          </w:tcPr>
          <w:p w14:paraId="4B902A97" w14:textId="77777777" w:rsidR="001A4644" w:rsidRDefault="00165985">
            <w:r>
              <w:rPr>
                <w:b/>
                <w:color w:val="0B2545"/>
                <w:sz w:val="19"/>
              </w:rPr>
              <w:t>Business problem</w:t>
            </w:r>
          </w:p>
        </w:tc>
        <w:tc>
          <w:tcPr>
            <w:tcW w:w="3550" w:type="dxa"/>
            <w:shd w:val="clear" w:color="auto" w:fill="E8EEF5"/>
            <w:vAlign w:val="center"/>
          </w:tcPr>
          <w:p w14:paraId="74BECA2E" w14:textId="77777777" w:rsidR="001A4644" w:rsidRDefault="00165985">
            <w:r>
              <w:rPr>
                <w:b/>
                <w:color w:val="0B2545"/>
                <w:sz w:val="19"/>
              </w:rPr>
              <w:t>OneFlow capability</w:t>
            </w:r>
          </w:p>
        </w:tc>
        <w:tc>
          <w:tcPr>
            <w:tcW w:w="3410" w:type="dxa"/>
            <w:shd w:val="clear" w:color="auto" w:fill="E8EEF5"/>
            <w:vAlign w:val="center"/>
          </w:tcPr>
          <w:p w14:paraId="565F330E" w14:textId="77777777" w:rsidR="001A4644" w:rsidRDefault="00165985">
            <w:r>
              <w:rPr>
                <w:b/>
                <w:color w:val="0B2545"/>
                <w:sz w:val="19"/>
              </w:rPr>
              <w:t>Benefit</w:t>
            </w:r>
          </w:p>
        </w:tc>
      </w:tr>
      <w:tr w:rsidR="001A4644" w14:paraId="0416E02C" w14:textId="77777777">
        <w:trPr>
          <w:jc w:val="center"/>
        </w:trPr>
        <w:tc>
          <w:tcPr>
            <w:tcW w:w="2400" w:type="dxa"/>
            <w:vAlign w:val="center"/>
          </w:tcPr>
          <w:p w14:paraId="51B61F51" w14:textId="77777777" w:rsidR="001A4644" w:rsidRDefault="00165985">
            <w:pPr>
              <w:spacing w:after="20"/>
            </w:pPr>
            <w:r>
              <w:rPr>
                <w:sz w:val="19"/>
              </w:rPr>
              <w:t>Fragmented follow-up</w:t>
            </w:r>
          </w:p>
        </w:tc>
        <w:tc>
          <w:tcPr>
            <w:tcW w:w="3550" w:type="dxa"/>
            <w:vAlign w:val="center"/>
          </w:tcPr>
          <w:p w14:paraId="52DC3C38" w14:textId="77777777" w:rsidR="001A4644" w:rsidRDefault="00165985">
            <w:pPr>
              <w:spacing w:after="20"/>
            </w:pPr>
            <w:r>
              <w:rPr>
                <w:sz w:val="19"/>
              </w:rPr>
              <w:t>Lifecycle cases, activity and notifications</w:t>
            </w:r>
          </w:p>
        </w:tc>
        <w:tc>
          <w:tcPr>
            <w:tcW w:w="3410" w:type="dxa"/>
            <w:vAlign w:val="center"/>
          </w:tcPr>
          <w:p w14:paraId="65FF095B" w14:textId="77777777" w:rsidR="001A4644" w:rsidRDefault="00165985">
            <w:pPr>
              <w:spacing w:after="20"/>
            </w:pPr>
            <w:r>
              <w:rPr>
                <w:sz w:val="19"/>
              </w:rPr>
              <w:t>A single operational view</w:t>
            </w:r>
          </w:p>
        </w:tc>
      </w:tr>
      <w:tr w:rsidR="001A4644" w14:paraId="5482E66A" w14:textId="77777777">
        <w:trPr>
          <w:jc w:val="center"/>
        </w:trPr>
        <w:tc>
          <w:tcPr>
            <w:tcW w:w="2400" w:type="dxa"/>
            <w:vAlign w:val="center"/>
          </w:tcPr>
          <w:p w14:paraId="7CA2B1FA" w14:textId="77777777" w:rsidR="001A4644" w:rsidRDefault="00165985">
            <w:pPr>
              <w:spacing w:after="20"/>
            </w:pPr>
            <w:r>
              <w:rPr>
                <w:sz w:val="19"/>
              </w:rPr>
              <w:t>Unclear ownership</w:t>
            </w:r>
          </w:p>
        </w:tc>
        <w:tc>
          <w:tcPr>
            <w:tcW w:w="3550" w:type="dxa"/>
            <w:vAlign w:val="center"/>
          </w:tcPr>
          <w:p w14:paraId="0892B44B" w14:textId="77777777" w:rsidR="001A4644" w:rsidRDefault="00165985">
            <w:pPr>
              <w:spacing w:after="20"/>
            </w:pPr>
            <w:r>
              <w:rPr>
                <w:sz w:val="19"/>
              </w:rPr>
              <w:t>Role-based task queues and dashboards</w:t>
            </w:r>
          </w:p>
        </w:tc>
        <w:tc>
          <w:tcPr>
            <w:tcW w:w="3410" w:type="dxa"/>
            <w:vAlign w:val="center"/>
          </w:tcPr>
          <w:p w14:paraId="7F1B4715" w14:textId="77777777" w:rsidR="001A4644" w:rsidRDefault="00165985">
            <w:pPr>
              <w:spacing w:after="20"/>
            </w:pPr>
            <w:r>
              <w:rPr>
                <w:sz w:val="19"/>
              </w:rPr>
              <w:t>Clear accountable teams</w:t>
            </w:r>
          </w:p>
        </w:tc>
      </w:tr>
      <w:tr w:rsidR="001A4644" w14:paraId="31EBAF4E" w14:textId="77777777">
        <w:trPr>
          <w:jc w:val="center"/>
        </w:trPr>
        <w:tc>
          <w:tcPr>
            <w:tcW w:w="2400" w:type="dxa"/>
            <w:vAlign w:val="center"/>
          </w:tcPr>
          <w:p w14:paraId="3CCE5F07" w14:textId="77777777" w:rsidR="001A4644" w:rsidRDefault="00165985">
            <w:pPr>
              <w:spacing w:after="20"/>
            </w:pPr>
            <w:r>
              <w:rPr>
                <w:sz w:val="19"/>
              </w:rPr>
              <w:t>Late readiness checks</w:t>
            </w:r>
          </w:p>
        </w:tc>
        <w:tc>
          <w:tcPr>
            <w:tcW w:w="3550" w:type="dxa"/>
            <w:vAlign w:val="center"/>
          </w:tcPr>
          <w:p w14:paraId="5420664F" w14:textId="77777777" w:rsidR="001A4644" w:rsidRDefault="00165985">
            <w:pPr>
              <w:spacing w:after="20"/>
            </w:pPr>
            <w:r>
              <w:rPr>
                <w:sz w:val="19"/>
              </w:rPr>
              <w:t>Day 1 and clearance indicators</w:t>
            </w:r>
          </w:p>
        </w:tc>
        <w:tc>
          <w:tcPr>
            <w:tcW w:w="3410" w:type="dxa"/>
            <w:vAlign w:val="center"/>
          </w:tcPr>
          <w:p w14:paraId="7A01CB93" w14:textId="77777777" w:rsidR="001A4644" w:rsidRDefault="00165985">
            <w:pPr>
              <w:spacing w:after="20"/>
            </w:pPr>
            <w:r>
              <w:rPr>
                <w:sz w:val="19"/>
              </w:rPr>
              <w:t>Earlier intervention</w:t>
            </w:r>
          </w:p>
        </w:tc>
      </w:tr>
      <w:tr w:rsidR="001A4644" w14:paraId="5A342C7B" w14:textId="77777777">
        <w:trPr>
          <w:jc w:val="center"/>
        </w:trPr>
        <w:tc>
          <w:tcPr>
            <w:tcW w:w="2400" w:type="dxa"/>
            <w:vAlign w:val="center"/>
          </w:tcPr>
          <w:p w14:paraId="39B10234" w14:textId="77777777" w:rsidR="001A4644" w:rsidRDefault="00165985">
            <w:pPr>
              <w:spacing w:after="20"/>
            </w:pPr>
            <w:r>
              <w:rPr>
                <w:sz w:val="19"/>
              </w:rPr>
              <w:t>Offboarding risk</w:t>
            </w:r>
          </w:p>
        </w:tc>
        <w:tc>
          <w:tcPr>
            <w:tcW w:w="3550" w:type="dxa"/>
            <w:vAlign w:val="center"/>
          </w:tcPr>
          <w:p w14:paraId="56AE4793" w14:textId="77777777" w:rsidR="001A4644" w:rsidRDefault="00165985">
            <w:pPr>
              <w:spacing w:after="20"/>
            </w:pPr>
            <w:r>
              <w:rPr>
                <w:sz w:val="19"/>
              </w:rPr>
              <w:t>Access, asset and clearance tracking</w:t>
            </w:r>
          </w:p>
        </w:tc>
        <w:tc>
          <w:tcPr>
            <w:tcW w:w="3410" w:type="dxa"/>
            <w:vAlign w:val="center"/>
          </w:tcPr>
          <w:p w14:paraId="76FCC590" w14:textId="77777777" w:rsidR="001A4644" w:rsidRDefault="00165985">
            <w:pPr>
              <w:spacing w:after="20"/>
            </w:pPr>
            <w:r>
              <w:rPr>
                <w:sz w:val="19"/>
              </w:rPr>
              <w:t>More visible exit controls</w:t>
            </w:r>
          </w:p>
        </w:tc>
      </w:tr>
      <w:tr w:rsidR="001A4644" w14:paraId="7AED48C7" w14:textId="77777777">
        <w:trPr>
          <w:jc w:val="center"/>
        </w:trPr>
        <w:tc>
          <w:tcPr>
            <w:tcW w:w="2400" w:type="dxa"/>
            <w:vAlign w:val="center"/>
          </w:tcPr>
          <w:p w14:paraId="1E9B5E9A" w14:textId="77777777" w:rsidR="001A4644" w:rsidRDefault="00165985">
            <w:pPr>
              <w:spacing w:after="20"/>
            </w:pPr>
            <w:r>
              <w:rPr>
                <w:sz w:val="19"/>
              </w:rPr>
              <w:t>Manual status reporting</w:t>
            </w:r>
          </w:p>
        </w:tc>
        <w:tc>
          <w:tcPr>
            <w:tcW w:w="3550" w:type="dxa"/>
            <w:vAlign w:val="center"/>
          </w:tcPr>
          <w:p w14:paraId="4988ED59" w14:textId="77777777" w:rsidR="001A4644" w:rsidRDefault="00165985">
            <w:pPr>
              <w:spacing w:after="20"/>
            </w:pPr>
            <w:r>
              <w:rPr>
                <w:sz w:val="19"/>
              </w:rPr>
              <w:t>Lifecycle and bottleneck reports</w:t>
            </w:r>
          </w:p>
        </w:tc>
        <w:tc>
          <w:tcPr>
            <w:tcW w:w="3410" w:type="dxa"/>
            <w:vAlign w:val="center"/>
          </w:tcPr>
          <w:p w14:paraId="25063A0A" w14:textId="77777777" w:rsidR="001A4644" w:rsidRDefault="00165985">
            <w:pPr>
              <w:spacing w:after="20"/>
            </w:pPr>
            <w:r>
              <w:rPr>
                <w:sz w:val="19"/>
              </w:rPr>
              <w:t>Faster operational review</w:t>
            </w:r>
          </w:p>
        </w:tc>
      </w:tr>
    </w:tbl>
    <w:p w14:paraId="7C0DEE81" w14:textId="77777777" w:rsidR="001A4644" w:rsidRDefault="001A4644">
      <w:pPr>
        <w:spacing w:after="40"/>
      </w:pPr>
    </w:p>
    <w:p w14:paraId="3D83C093" w14:textId="77777777" w:rsidR="001A4644" w:rsidRDefault="00165985">
      <w:pPr>
        <w:pStyle w:val="Heading1"/>
        <w:spacing w:before="320" w:after="120"/>
      </w:pPr>
      <w:r>
        <w:rPr>
          <w:rFonts w:ascii="Calibri" w:hAnsi="Calibri"/>
          <w:color w:val="2E74B5"/>
          <w:sz w:val="32"/>
        </w:rPr>
        <w:t>2. Accessing OneFlow</w:t>
      </w:r>
    </w:p>
    <w:p w14:paraId="027FAF08" w14:textId="77777777" w:rsidR="001A4644" w:rsidRDefault="00165985">
      <w:pPr>
        <w:spacing w:after="120" w:line="300" w:lineRule="auto"/>
      </w:pPr>
      <w:r>
        <w:rPr>
          <w:sz w:val="22"/>
        </w:rPr>
        <w:t>Open the official demo at https://oneflow.highrulez.com. The login screen presents OneFlow on the left and the demo workspace on the right. It supports either manual sign-in or a quick login card for a synthetic demo role.</w:t>
      </w:r>
    </w:p>
    <w:p w14:paraId="776A8165" w14:textId="77777777" w:rsidR="001A4644" w:rsidRDefault="00165985">
      <w:pPr>
        <w:pStyle w:val="Heading2"/>
        <w:spacing w:after="120"/>
      </w:pPr>
      <w:r>
        <w:rPr>
          <w:rFonts w:ascii="Calibri" w:hAnsi="Calibri"/>
          <w:color w:val="2E74B5"/>
        </w:rPr>
        <w:t>Manual login</w:t>
      </w:r>
    </w:p>
    <w:p w14:paraId="4BF30870" w14:textId="77777777" w:rsidR="001A4644" w:rsidRDefault="00165985">
      <w:pPr>
        <w:pStyle w:val="ListNumber"/>
        <w:spacing w:after="80" w:line="288" w:lineRule="auto"/>
      </w:pPr>
      <w:r>
        <w:t>Open https://oneflow.highrulez.com.</w:t>
      </w:r>
    </w:p>
    <w:p w14:paraId="45978E20" w14:textId="77777777" w:rsidR="001A4644" w:rsidRDefault="00165985">
      <w:pPr>
        <w:pStyle w:val="ListNumber"/>
        <w:spacing w:after="80" w:line="288" w:lineRule="auto"/>
      </w:pPr>
      <w:r>
        <w:t>Enter the provided demo email and password.</w:t>
      </w:r>
    </w:p>
    <w:p w14:paraId="62342881" w14:textId="77777777" w:rsidR="001A4644" w:rsidRDefault="00165985">
      <w:pPr>
        <w:pStyle w:val="ListNumber"/>
        <w:spacing w:after="80" w:line="288" w:lineRule="auto"/>
      </w:pPr>
      <w:r>
        <w:t>Select Sign in. OneFlow opens the role-appropriate workspace.</w:t>
      </w:r>
    </w:p>
    <w:p w14:paraId="0602D6A0" w14:textId="77777777" w:rsidR="001A4644" w:rsidRDefault="00165985">
      <w:pPr>
        <w:pStyle w:val="Heading2"/>
        <w:spacing w:after="120"/>
      </w:pPr>
      <w:r>
        <w:rPr>
          <w:rFonts w:ascii="Calibri" w:hAnsi="Calibri"/>
          <w:color w:val="2E74B5"/>
        </w:rPr>
        <w:lastRenderedPageBreak/>
        <w:t>Demo quick login</w:t>
      </w:r>
    </w:p>
    <w:p w14:paraId="35F071F8" w14:textId="77777777" w:rsidR="001A4644" w:rsidRDefault="00165985">
      <w:pPr>
        <w:spacing w:after="120" w:line="300" w:lineRule="auto"/>
      </w:pPr>
      <w:r>
        <w:rPr>
          <w:sz w:val="22"/>
        </w:rPr>
        <w:t>Select any Employee Journey or Demo Account card. Clicking the card signs into that synthetic role and opens its normal destination. Use the login page again to switch roles.</w:t>
      </w:r>
    </w:p>
    <w:tbl>
      <w:tblPr>
        <w:tblStyle w:val="TableGrid"/>
        <w:tblW w:w="0" w:type="auto"/>
        <w:jc w:val="center"/>
        <w:tblLayout w:type="fixed"/>
        <w:tblLook w:val="04A0" w:firstRow="1" w:lastRow="0" w:firstColumn="1" w:lastColumn="0" w:noHBand="0" w:noVBand="1"/>
      </w:tblPr>
      <w:tblGrid>
        <w:gridCol w:w="2600"/>
        <w:gridCol w:w="6760"/>
      </w:tblGrid>
      <w:tr w:rsidR="001A4644" w14:paraId="383446D8" w14:textId="77777777">
        <w:trPr>
          <w:jc w:val="center"/>
        </w:trPr>
        <w:tc>
          <w:tcPr>
            <w:tcW w:w="2600" w:type="dxa"/>
            <w:shd w:val="clear" w:color="auto" w:fill="E8EEF5"/>
            <w:vAlign w:val="center"/>
          </w:tcPr>
          <w:p w14:paraId="6451199F" w14:textId="77777777" w:rsidR="001A4644" w:rsidRDefault="00165985">
            <w:r>
              <w:rPr>
                <w:b/>
                <w:color w:val="0B2545"/>
                <w:sz w:val="19"/>
              </w:rPr>
              <w:t>Group</w:t>
            </w:r>
          </w:p>
        </w:tc>
        <w:tc>
          <w:tcPr>
            <w:tcW w:w="6760" w:type="dxa"/>
            <w:shd w:val="clear" w:color="auto" w:fill="E8EEF5"/>
            <w:vAlign w:val="center"/>
          </w:tcPr>
          <w:p w14:paraId="1650E37F" w14:textId="77777777" w:rsidR="001A4644" w:rsidRDefault="00165985">
            <w:r>
              <w:rPr>
                <w:b/>
                <w:color w:val="0B2545"/>
                <w:sz w:val="19"/>
              </w:rPr>
              <w:t>Demo accounts</w:t>
            </w:r>
          </w:p>
        </w:tc>
      </w:tr>
      <w:tr w:rsidR="001A4644" w14:paraId="44A0776A" w14:textId="77777777">
        <w:trPr>
          <w:jc w:val="center"/>
        </w:trPr>
        <w:tc>
          <w:tcPr>
            <w:tcW w:w="2600" w:type="dxa"/>
            <w:vAlign w:val="center"/>
          </w:tcPr>
          <w:p w14:paraId="488E9FCA" w14:textId="77777777" w:rsidR="001A4644" w:rsidRDefault="00165985">
            <w:pPr>
              <w:spacing w:after="20"/>
            </w:pPr>
            <w:r>
              <w:rPr>
                <w:sz w:val="19"/>
              </w:rPr>
              <w:t>Administration</w:t>
            </w:r>
          </w:p>
        </w:tc>
        <w:tc>
          <w:tcPr>
            <w:tcW w:w="6760" w:type="dxa"/>
            <w:vAlign w:val="center"/>
          </w:tcPr>
          <w:p w14:paraId="2294E1A0" w14:textId="77777777" w:rsidR="001A4644" w:rsidRDefault="00165985">
            <w:pPr>
              <w:spacing w:after="20"/>
            </w:pPr>
            <w:r>
              <w:rPr>
                <w:sz w:val="19"/>
              </w:rPr>
              <w:t>OneFlow Admin</w:t>
            </w:r>
          </w:p>
        </w:tc>
      </w:tr>
      <w:tr w:rsidR="001A4644" w14:paraId="497F3348" w14:textId="77777777">
        <w:trPr>
          <w:jc w:val="center"/>
        </w:trPr>
        <w:tc>
          <w:tcPr>
            <w:tcW w:w="2600" w:type="dxa"/>
            <w:vAlign w:val="center"/>
          </w:tcPr>
          <w:p w14:paraId="5B11F180" w14:textId="77777777" w:rsidR="001A4644" w:rsidRDefault="00165985">
            <w:pPr>
              <w:spacing w:after="20"/>
            </w:pPr>
            <w:r>
              <w:rPr>
                <w:sz w:val="19"/>
              </w:rPr>
              <w:t>People &amp; Management</w:t>
            </w:r>
          </w:p>
        </w:tc>
        <w:tc>
          <w:tcPr>
            <w:tcW w:w="6760" w:type="dxa"/>
            <w:vAlign w:val="center"/>
          </w:tcPr>
          <w:p w14:paraId="5A6AAD17" w14:textId="77777777" w:rsidR="001A4644" w:rsidRDefault="00165985">
            <w:pPr>
              <w:spacing w:after="20"/>
            </w:pPr>
            <w:r>
              <w:rPr>
                <w:sz w:val="19"/>
              </w:rPr>
              <w:t>Soh, Shi Rui Sherry; Sarah Tan</w:t>
            </w:r>
          </w:p>
        </w:tc>
      </w:tr>
      <w:tr w:rsidR="001A4644" w14:paraId="06F8EBB3" w14:textId="77777777">
        <w:trPr>
          <w:jc w:val="center"/>
        </w:trPr>
        <w:tc>
          <w:tcPr>
            <w:tcW w:w="2600" w:type="dxa"/>
            <w:vAlign w:val="center"/>
          </w:tcPr>
          <w:p w14:paraId="2FDF2886" w14:textId="77777777" w:rsidR="001A4644" w:rsidRDefault="00165985">
            <w:pPr>
              <w:spacing w:after="20"/>
            </w:pPr>
            <w:r>
              <w:rPr>
                <w:sz w:val="19"/>
              </w:rPr>
              <w:t>Technology</w:t>
            </w:r>
          </w:p>
        </w:tc>
        <w:tc>
          <w:tcPr>
            <w:tcW w:w="6760" w:type="dxa"/>
            <w:vAlign w:val="center"/>
          </w:tcPr>
          <w:p w14:paraId="1F226E94" w14:textId="77777777" w:rsidR="001A4644" w:rsidRDefault="00165985">
            <w:pPr>
              <w:spacing w:after="20"/>
            </w:pPr>
            <w:r>
              <w:rPr>
                <w:sz w:val="19"/>
              </w:rPr>
              <w:t>Mohd Azli, Amirul Mukhlis; Zulfikar Zikri, Nuqman Haziq</w:t>
            </w:r>
          </w:p>
        </w:tc>
      </w:tr>
      <w:tr w:rsidR="001A4644" w14:paraId="35AD672B" w14:textId="77777777">
        <w:trPr>
          <w:jc w:val="center"/>
        </w:trPr>
        <w:tc>
          <w:tcPr>
            <w:tcW w:w="2600" w:type="dxa"/>
            <w:vAlign w:val="center"/>
          </w:tcPr>
          <w:p w14:paraId="1676F3E4" w14:textId="77777777" w:rsidR="001A4644" w:rsidRDefault="00165985">
            <w:pPr>
              <w:spacing w:after="20"/>
            </w:pPr>
            <w:r>
              <w:rPr>
                <w:sz w:val="19"/>
              </w:rPr>
              <w:t>Operations</w:t>
            </w:r>
          </w:p>
        </w:tc>
        <w:tc>
          <w:tcPr>
            <w:tcW w:w="6760" w:type="dxa"/>
            <w:vAlign w:val="center"/>
          </w:tcPr>
          <w:p w14:paraId="6C773EB4" w14:textId="77777777" w:rsidR="001A4644" w:rsidRDefault="00165985">
            <w:pPr>
              <w:spacing w:after="20"/>
            </w:pPr>
            <w:r>
              <w:rPr>
                <w:sz w:val="19"/>
              </w:rPr>
              <w:t>Nur Aisyah; Bashari, Noorliana (MAL); Michael Wong</w:t>
            </w:r>
          </w:p>
        </w:tc>
      </w:tr>
      <w:tr w:rsidR="001A4644" w14:paraId="739FC15B" w14:textId="77777777">
        <w:trPr>
          <w:jc w:val="center"/>
        </w:trPr>
        <w:tc>
          <w:tcPr>
            <w:tcW w:w="2600" w:type="dxa"/>
            <w:vAlign w:val="center"/>
          </w:tcPr>
          <w:p w14:paraId="585BA620" w14:textId="77777777" w:rsidR="001A4644" w:rsidRDefault="00165985">
            <w:pPr>
              <w:spacing w:after="20"/>
            </w:pPr>
            <w:r>
              <w:rPr>
                <w:sz w:val="19"/>
              </w:rPr>
              <w:t>Specialist Functions</w:t>
            </w:r>
          </w:p>
        </w:tc>
        <w:tc>
          <w:tcPr>
            <w:tcW w:w="6760" w:type="dxa"/>
            <w:vAlign w:val="center"/>
          </w:tcPr>
          <w:p w14:paraId="4F00FABB" w14:textId="77777777" w:rsidR="001A4644" w:rsidRDefault="00165985">
            <w:pPr>
              <w:spacing w:after="20"/>
            </w:pPr>
            <w:r>
              <w:rPr>
                <w:sz w:val="19"/>
              </w:rPr>
              <w:t>Quality Representative; Product Stewardship Representative</w:t>
            </w:r>
          </w:p>
        </w:tc>
      </w:tr>
      <w:tr w:rsidR="001A4644" w14:paraId="57674E62" w14:textId="77777777">
        <w:trPr>
          <w:jc w:val="center"/>
        </w:trPr>
        <w:tc>
          <w:tcPr>
            <w:tcW w:w="2600" w:type="dxa"/>
            <w:vAlign w:val="center"/>
          </w:tcPr>
          <w:p w14:paraId="52C9AFB3" w14:textId="77777777" w:rsidR="001A4644" w:rsidRDefault="00165985">
            <w:pPr>
              <w:spacing w:after="20"/>
            </w:pPr>
            <w:r>
              <w:rPr>
                <w:sz w:val="19"/>
              </w:rPr>
              <w:t>Employee Journeys</w:t>
            </w:r>
          </w:p>
        </w:tc>
        <w:tc>
          <w:tcPr>
            <w:tcW w:w="6760" w:type="dxa"/>
            <w:vAlign w:val="center"/>
          </w:tcPr>
          <w:p w14:paraId="1E6658BF" w14:textId="77777777" w:rsidR="001A4644" w:rsidRDefault="00165985">
            <w:pPr>
              <w:spacing w:after="20"/>
            </w:pPr>
            <w:r>
              <w:rPr>
                <w:sz w:val="19"/>
              </w:rPr>
              <w:t>Aziz, Nabila; Hamdan, Muhamad Asyraf Naqiyuddin</w:t>
            </w:r>
          </w:p>
        </w:tc>
      </w:tr>
    </w:tbl>
    <w:p w14:paraId="3136EBE1" w14:textId="77777777" w:rsidR="001A4644" w:rsidRDefault="001A4644">
      <w:pPr>
        <w:spacing w:after="40"/>
      </w:pPr>
    </w:p>
    <w:p w14:paraId="2303EE42" w14:textId="77777777" w:rsidR="001A4644" w:rsidRDefault="00165985">
      <w:pPr>
        <w:pStyle w:val="Heading1"/>
        <w:spacing w:before="320" w:after="120"/>
      </w:pPr>
      <w:r>
        <w:rPr>
          <w:rFonts w:ascii="Calibri" w:hAnsi="Calibri"/>
          <w:color w:val="2E74B5"/>
          <w:sz w:val="32"/>
        </w:rPr>
        <w:t>3. User manual</w:t>
      </w:r>
    </w:p>
    <w:p w14:paraId="68D81372" w14:textId="77777777" w:rsidR="001A4644" w:rsidRDefault="00165985">
      <w:pPr>
        <w:pStyle w:val="Heading2"/>
        <w:spacing w:after="120"/>
      </w:pPr>
      <w:r>
        <w:rPr>
          <w:rFonts w:ascii="Calibri" w:hAnsi="Calibri"/>
          <w:color w:val="2E74B5"/>
        </w:rPr>
        <w:t>Admin Dashboard</w:t>
      </w:r>
    </w:p>
    <w:p w14:paraId="446EE277" w14:textId="77777777" w:rsidR="001A4644" w:rsidRDefault="00165985">
      <w:pPr>
        <w:spacing w:after="120" w:line="300" w:lineRule="auto"/>
      </w:pPr>
      <w:r>
        <w:rPr>
          <w:sz w:val="22"/>
        </w:rPr>
        <w:t>OneFlow Admin uses the dashboard to monitor lifecycle health, readiness or clearance progress, blocked or overdue work, responsible teams and upcoming joiners or leavers. The dashboard is a summary; My Tasks is the operational queue.</w:t>
      </w:r>
    </w:p>
    <w:p w14:paraId="6CF2D834" w14:textId="77777777" w:rsidR="001A4644" w:rsidRDefault="00165985">
      <w:pPr>
        <w:pStyle w:val="Heading2"/>
        <w:spacing w:after="120"/>
      </w:pPr>
      <w:r>
        <w:rPr>
          <w:rFonts w:ascii="Calibri" w:hAnsi="Calibri"/>
          <w:color w:val="2E74B5"/>
        </w:rPr>
        <w:t>Employees and Lifecycle Cases</w:t>
      </w:r>
    </w:p>
    <w:p w14:paraId="3B5D2F16" w14:textId="77777777" w:rsidR="001A4644" w:rsidRDefault="00165985">
      <w:pPr>
        <w:spacing w:after="120" w:line="300" w:lineRule="auto"/>
      </w:pPr>
      <w:r>
        <w:rPr>
          <w:sz w:val="22"/>
        </w:rPr>
        <w:t>Employees shows the synthetic workforce directory and lifecycle status. Lifecycle Cases brings onboarding and offboarding work together so an administrator can open a case, inspect task ownership, review progress, examine activity and follow the employee journey.</w:t>
      </w:r>
    </w:p>
    <w:p w14:paraId="00E443ED" w14:textId="77777777" w:rsidR="001A4644" w:rsidRDefault="00165985">
      <w:pPr>
        <w:pStyle w:val="Heading2"/>
        <w:spacing w:after="120"/>
      </w:pPr>
      <w:r>
        <w:rPr>
          <w:rFonts w:ascii="Calibri" w:hAnsi="Calibri"/>
          <w:color w:val="2E74B5"/>
        </w:rPr>
        <w:t>My Tasks and role dashboards</w:t>
      </w:r>
    </w:p>
    <w:p w14:paraId="500E81E9" w14:textId="77777777" w:rsidR="001A4644" w:rsidRDefault="00165985">
      <w:pPr>
        <w:spacing w:after="120" w:line="300" w:lineRule="auto"/>
      </w:pPr>
      <w:r>
        <w:rPr>
          <w:sz w:val="22"/>
        </w:rPr>
        <w:t>Role dashboards provide priorities such as open work, due dates, needs attention, current employee journeys and upcoming work. My Tasks is the action queue: use it to review responsible team, status and due date, then open an item to take a permitted action. HR, IT Security, Onsite IT, Facilities, Finance, Hiring Manager, Corporate Card, Quality and Product Stewardship each see their relevant work.</w:t>
      </w:r>
    </w:p>
    <w:p w14:paraId="579AA4EE" w14:textId="77777777" w:rsidR="001A4644" w:rsidRDefault="00165985">
      <w:pPr>
        <w:pStyle w:val="Heading2"/>
        <w:spacing w:after="120"/>
      </w:pPr>
      <w:r>
        <w:rPr>
          <w:rFonts w:ascii="Calibri" w:hAnsi="Calibri"/>
          <w:color w:val="2E74B5"/>
        </w:rPr>
        <w:t>Reports, Mock Inbox and Automation</w:t>
      </w:r>
    </w:p>
    <w:p w14:paraId="62B6293B" w14:textId="77777777" w:rsidR="001A4644" w:rsidRDefault="00165985">
      <w:pPr>
        <w:spacing w:after="120" w:line="300" w:lineRule="auto"/>
      </w:pPr>
      <w:r>
        <w:rPr>
          <w:sz w:val="22"/>
        </w:rPr>
        <w:t>Reports presents lifecycle, readiness and bottleneck views. Mock Inbox provides the safe in-app notification record used by the prototype. Automation shows the prototype automation simulation and lifecycle activity; it is not live Power Automate.</w:t>
      </w:r>
    </w:p>
    <w:p w14:paraId="0158B66C" w14:textId="77777777" w:rsidR="001A4644" w:rsidRDefault="00165985">
      <w:pPr>
        <w:pStyle w:val="Heading2"/>
        <w:spacing w:after="120"/>
      </w:pPr>
      <w:r>
        <w:rPr>
          <w:rFonts w:ascii="Calibri" w:hAnsi="Calibri"/>
          <w:color w:val="2E74B5"/>
        </w:rPr>
        <w:t>Settings</w:t>
      </w:r>
    </w:p>
    <w:p w14:paraId="435AF59F" w14:textId="77777777" w:rsidR="001A4644" w:rsidRDefault="00165985">
      <w:pPr>
        <w:spacing w:after="120" w:line="300" w:lineRule="auto"/>
      </w:pPr>
      <w:r>
        <w:rPr>
          <w:sz w:val="22"/>
        </w:rPr>
        <w:t>Settings groups administrative controls, including Email Delivery. Where reset controls are displayed, they restore the synthetic demo state for the next walkthrough.</w:t>
      </w:r>
    </w:p>
    <w:p w14:paraId="138DAAEF" w14:textId="77777777" w:rsidR="001A4644" w:rsidRDefault="00165985">
      <w:pPr>
        <w:pStyle w:val="Heading1"/>
        <w:spacing w:before="320" w:after="120"/>
      </w:pPr>
      <w:r>
        <w:rPr>
          <w:rFonts w:ascii="Calibri" w:hAnsi="Calibri"/>
          <w:color w:val="2E74B5"/>
          <w:sz w:val="32"/>
        </w:rPr>
        <w:lastRenderedPageBreak/>
        <w:t>4. How to send a test email</w:t>
      </w:r>
    </w:p>
    <w:p w14:paraId="3CE34D6B" w14:textId="77777777" w:rsidR="001A4644" w:rsidRDefault="00165985">
      <w:pPr>
        <w:spacing w:after="120" w:line="300" w:lineRule="auto"/>
      </w:pPr>
      <w:r>
        <w:rPr>
          <w:b/>
          <w:color w:val="1F4D78"/>
        </w:rPr>
        <w:t>AWS SES is a prototype delivery capability. AWS credentials are configured server-side; administrators do not paste access keys or secret keys into the browser.</w:t>
      </w:r>
    </w:p>
    <w:p w14:paraId="771DDD5B" w14:textId="77777777" w:rsidR="001A4644" w:rsidRDefault="00165985">
      <w:pPr>
        <w:pStyle w:val="ListNumber"/>
        <w:spacing w:after="80" w:line="288" w:lineRule="auto"/>
      </w:pPr>
      <w:r>
        <w:t>Sign in at https://oneflow.highrulez.com using OneFlow Admin.</w:t>
      </w:r>
    </w:p>
    <w:p w14:paraId="4FC1E3F1" w14:textId="77777777" w:rsidR="001A4644" w:rsidRDefault="00165985">
      <w:pPr>
        <w:pStyle w:val="ListNumber"/>
        <w:spacing w:after="80" w:line="288" w:lineRule="auto"/>
      </w:pPr>
      <w:r>
        <w:t>Open Settings, then select Email Delivery.</w:t>
      </w:r>
    </w:p>
    <w:p w14:paraId="5C52865E" w14:textId="77777777" w:rsidR="001A4644" w:rsidRDefault="00165985">
      <w:pPr>
        <w:pStyle w:val="ListNumber"/>
        <w:spacing w:after="80" w:line="288" w:lineRule="auto"/>
      </w:pPr>
      <w:r>
        <w:t>Review Delivery Configuration, AWS region, sender details and application URL. The page reports that credentials are managed server-side.</w:t>
      </w:r>
    </w:p>
    <w:p w14:paraId="64F99A9D" w14:textId="77777777" w:rsidR="001A4644" w:rsidRDefault="00165985">
      <w:pPr>
        <w:pStyle w:val="ListNumber"/>
        <w:spacing w:after="80" w:line="288" w:lineRule="auto"/>
      </w:pPr>
      <w:r>
        <w:t>Under Recipient Mappings, find the synthetic OneFlow identity required for the test, for example nabila.aziz@ppg-demo.com.</w:t>
      </w:r>
    </w:p>
    <w:p w14:paraId="56AD6A67" w14:textId="77777777" w:rsidR="001A4644" w:rsidRDefault="00165985">
      <w:pPr>
        <w:pStyle w:val="ListNumber"/>
        <w:spacing w:after="80" w:line="288" w:lineRule="auto"/>
      </w:pPr>
      <w:r>
        <w:t>Enter the administrator-approved test mailbox as the Delivery Destination and save the recipient mappings.</w:t>
      </w:r>
    </w:p>
    <w:p w14:paraId="55D7C470" w14:textId="77777777" w:rsidR="001A4644" w:rsidRDefault="00165985">
      <w:pPr>
        <w:pStyle w:val="ListNumber"/>
        <w:spacing w:after="80" w:line="288" w:lineRule="auto"/>
      </w:pPr>
      <w:r>
        <w:t>In the test-email controls, select the simulated OneFlow recipient and choose Send Test Email.</w:t>
      </w:r>
    </w:p>
    <w:p w14:paraId="5197E06B" w14:textId="77777777" w:rsidR="001A4644" w:rsidRDefault="00165985">
      <w:pPr>
        <w:pStyle w:val="ListNumber"/>
        <w:spacing w:after="80" w:line="288" w:lineRule="auto"/>
      </w:pPr>
      <w:r>
        <w:t>Check the mapped destination mailbox and review the delivery result or mock notification record where available.</w:t>
      </w:r>
    </w:p>
    <w:p w14:paraId="4A8939A5" w14:textId="77777777" w:rsidR="001A4644" w:rsidRDefault="00165985">
      <w:pPr>
        <w:spacing w:after="120" w:line="300" w:lineRule="auto"/>
      </w:pPr>
      <w:r>
        <w:rPr>
          <w:i/>
          <w:color w:val="5B677A"/>
        </w:rPr>
        <w:t>Mapping concept: the synthetic identity remains inside OneFlow. The Delivery Destination determines the real test mailbox used by AWS SES.</w:t>
      </w:r>
    </w:p>
    <w:tbl>
      <w:tblPr>
        <w:tblStyle w:val="TableGrid"/>
        <w:tblW w:w="0" w:type="auto"/>
        <w:jc w:val="center"/>
        <w:tblLayout w:type="fixed"/>
        <w:tblLook w:val="04A0" w:firstRow="1" w:lastRow="0" w:firstColumn="1" w:lastColumn="0" w:noHBand="0" w:noVBand="1"/>
      </w:tblPr>
      <w:tblGrid>
        <w:gridCol w:w="4200"/>
        <w:gridCol w:w="5160"/>
      </w:tblGrid>
      <w:tr w:rsidR="001A4644" w14:paraId="7BE9D09E" w14:textId="77777777">
        <w:trPr>
          <w:jc w:val="center"/>
        </w:trPr>
        <w:tc>
          <w:tcPr>
            <w:tcW w:w="4200" w:type="dxa"/>
            <w:shd w:val="clear" w:color="auto" w:fill="E8EEF5"/>
            <w:vAlign w:val="center"/>
          </w:tcPr>
          <w:p w14:paraId="0D754171" w14:textId="77777777" w:rsidR="001A4644" w:rsidRDefault="00165985">
            <w:r>
              <w:rPr>
                <w:b/>
                <w:color w:val="0B2545"/>
                <w:sz w:val="19"/>
              </w:rPr>
              <w:t>Synthetic demo identity</w:t>
            </w:r>
          </w:p>
        </w:tc>
        <w:tc>
          <w:tcPr>
            <w:tcW w:w="5160" w:type="dxa"/>
            <w:shd w:val="clear" w:color="auto" w:fill="E8EEF5"/>
            <w:vAlign w:val="center"/>
          </w:tcPr>
          <w:p w14:paraId="665C3F00" w14:textId="77777777" w:rsidR="001A4644" w:rsidRDefault="00165985">
            <w:r>
              <w:rPr>
                <w:b/>
                <w:color w:val="0B2545"/>
                <w:sz w:val="19"/>
              </w:rPr>
              <w:t>Purpose</w:t>
            </w:r>
          </w:p>
        </w:tc>
      </w:tr>
      <w:tr w:rsidR="001A4644" w14:paraId="7D335911" w14:textId="77777777">
        <w:trPr>
          <w:jc w:val="center"/>
        </w:trPr>
        <w:tc>
          <w:tcPr>
            <w:tcW w:w="4200" w:type="dxa"/>
            <w:vAlign w:val="center"/>
          </w:tcPr>
          <w:p w14:paraId="53F533A2" w14:textId="77777777" w:rsidR="001A4644" w:rsidRDefault="00165985">
            <w:pPr>
              <w:spacing w:after="20"/>
            </w:pPr>
            <w:r>
              <w:rPr>
                <w:sz w:val="19"/>
              </w:rPr>
              <w:t>admin@ppg-demo.com</w:t>
            </w:r>
          </w:p>
        </w:tc>
        <w:tc>
          <w:tcPr>
            <w:tcW w:w="5160" w:type="dxa"/>
            <w:vAlign w:val="center"/>
          </w:tcPr>
          <w:p w14:paraId="00CABFF9" w14:textId="77777777" w:rsidR="001A4644" w:rsidRDefault="00165985">
            <w:pPr>
              <w:spacing w:after="20"/>
            </w:pPr>
            <w:r>
              <w:rPr>
                <w:sz w:val="19"/>
              </w:rPr>
              <w:t>Administrator workflow</w:t>
            </w:r>
          </w:p>
        </w:tc>
      </w:tr>
      <w:tr w:rsidR="001A4644" w14:paraId="1B2D8CB7" w14:textId="77777777">
        <w:trPr>
          <w:jc w:val="center"/>
        </w:trPr>
        <w:tc>
          <w:tcPr>
            <w:tcW w:w="4200" w:type="dxa"/>
            <w:vAlign w:val="center"/>
          </w:tcPr>
          <w:p w14:paraId="35ECE86C" w14:textId="77777777" w:rsidR="001A4644" w:rsidRDefault="00165985">
            <w:pPr>
              <w:spacing w:after="20"/>
            </w:pPr>
            <w:r>
              <w:rPr>
                <w:sz w:val="19"/>
              </w:rPr>
              <w:t>sherry.soh@ppg-demo.com</w:t>
            </w:r>
          </w:p>
        </w:tc>
        <w:tc>
          <w:tcPr>
            <w:tcW w:w="5160" w:type="dxa"/>
            <w:vAlign w:val="center"/>
          </w:tcPr>
          <w:p w14:paraId="5C9D575E" w14:textId="77777777" w:rsidR="001A4644" w:rsidRDefault="00165985">
            <w:pPr>
              <w:spacing w:after="20"/>
            </w:pPr>
            <w:r>
              <w:rPr>
                <w:sz w:val="19"/>
              </w:rPr>
              <w:t>HR workflow</w:t>
            </w:r>
          </w:p>
        </w:tc>
      </w:tr>
      <w:tr w:rsidR="001A4644" w14:paraId="2908CF35" w14:textId="77777777">
        <w:trPr>
          <w:jc w:val="center"/>
        </w:trPr>
        <w:tc>
          <w:tcPr>
            <w:tcW w:w="4200" w:type="dxa"/>
            <w:vAlign w:val="center"/>
          </w:tcPr>
          <w:p w14:paraId="3D7BFA9C" w14:textId="77777777" w:rsidR="001A4644" w:rsidRDefault="00165985">
            <w:pPr>
              <w:spacing w:after="20"/>
            </w:pPr>
            <w:r>
              <w:rPr>
                <w:sz w:val="19"/>
              </w:rPr>
              <w:t>amirul.azli@ppg-demo.com</w:t>
            </w:r>
          </w:p>
        </w:tc>
        <w:tc>
          <w:tcPr>
            <w:tcW w:w="5160" w:type="dxa"/>
            <w:vAlign w:val="center"/>
          </w:tcPr>
          <w:p w14:paraId="5849FA01" w14:textId="77777777" w:rsidR="001A4644" w:rsidRDefault="00165985">
            <w:pPr>
              <w:spacing w:after="20"/>
            </w:pPr>
            <w:r>
              <w:rPr>
                <w:sz w:val="19"/>
              </w:rPr>
              <w:t>IT Security workflow</w:t>
            </w:r>
          </w:p>
        </w:tc>
      </w:tr>
      <w:tr w:rsidR="001A4644" w14:paraId="34816E82" w14:textId="77777777">
        <w:trPr>
          <w:jc w:val="center"/>
        </w:trPr>
        <w:tc>
          <w:tcPr>
            <w:tcW w:w="4200" w:type="dxa"/>
            <w:vAlign w:val="center"/>
          </w:tcPr>
          <w:p w14:paraId="5201EBBC" w14:textId="77777777" w:rsidR="001A4644" w:rsidRDefault="00165985">
            <w:pPr>
              <w:spacing w:after="20"/>
            </w:pPr>
            <w:r>
              <w:rPr>
                <w:sz w:val="19"/>
              </w:rPr>
              <w:t>nuqman.zulfikar@ppg-demo.com</w:t>
            </w:r>
          </w:p>
        </w:tc>
        <w:tc>
          <w:tcPr>
            <w:tcW w:w="5160" w:type="dxa"/>
            <w:vAlign w:val="center"/>
          </w:tcPr>
          <w:p w14:paraId="2EBD7014" w14:textId="77777777" w:rsidR="001A4644" w:rsidRDefault="00165985">
            <w:pPr>
              <w:spacing w:after="20"/>
            </w:pPr>
            <w:r>
              <w:rPr>
                <w:sz w:val="19"/>
              </w:rPr>
              <w:t>Onsite IT workflow</w:t>
            </w:r>
          </w:p>
        </w:tc>
      </w:tr>
      <w:tr w:rsidR="001A4644" w14:paraId="423FC925" w14:textId="77777777">
        <w:trPr>
          <w:jc w:val="center"/>
        </w:trPr>
        <w:tc>
          <w:tcPr>
            <w:tcW w:w="4200" w:type="dxa"/>
            <w:vAlign w:val="center"/>
          </w:tcPr>
          <w:p w14:paraId="64793064" w14:textId="77777777" w:rsidR="001A4644" w:rsidRDefault="00165985">
            <w:pPr>
              <w:spacing w:after="20"/>
            </w:pPr>
            <w:r>
              <w:rPr>
                <w:sz w:val="19"/>
              </w:rPr>
              <w:t>noorliana.bashari@ppg-demo.com</w:t>
            </w:r>
          </w:p>
        </w:tc>
        <w:tc>
          <w:tcPr>
            <w:tcW w:w="5160" w:type="dxa"/>
            <w:vAlign w:val="center"/>
          </w:tcPr>
          <w:p w14:paraId="18424AE4" w14:textId="77777777" w:rsidR="001A4644" w:rsidRDefault="00165985">
            <w:pPr>
              <w:spacing w:after="20"/>
            </w:pPr>
            <w:r>
              <w:rPr>
                <w:sz w:val="19"/>
              </w:rPr>
              <w:t>Finance workflow</w:t>
            </w:r>
          </w:p>
        </w:tc>
      </w:tr>
      <w:tr w:rsidR="001A4644" w14:paraId="1D1FE50D" w14:textId="77777777">
        <w:trPr>
          <w:jc w:val="center"/>
        </w:trPr>
        <w:tc>
          <w:tcPr>
            <w:tcW w:w="4200" w:type="dxa"/>
            <w:vAlign w:val="center"/>
          </w:tcPr>
          <w:p w14:paraId="241472C0" w14:textId="77777777" w:rsidR="001A4644" w:rsidRDefault="00165985">
            <w:pPr>
              <w:spacing w:after="20"/>
            </w:pPr>
            <w:r>
              <w:rPr>
                <w:sz w:val="19"/>
              </w:rPr>
              <w:t>nabila.aziz@ppg-demo.com</w:t>
            </w:r>
          </w:p>
        </w:tc>
        <w:tc>
          <w:tcPr>
            <w:tcW w:w="5160" w:type="dxa"/>
            <w:vAlign w:val="center"/>
          </w:tcPr>
          <w:p w14:paraId="3F82EF37" w14:textId="77777777" w:rsidR="001A4644" w:rsidRDefault="00165985">
            <w:pPr>
              <w:spacing w:after="20"/>
            </w:pPr>
            <w:r>
              <w:rPr>
                <w:sz w:val="19"/>
              </w:rPr>
              <w:t>Onboarding employee journey</w:t>
            </w:r>
          </w:p>
        </w:tc>
      </w:tr>
      <w:tr w:rsidR="001A4644" w14:paraId="3C62C217" w14:textId="77777777">
        <w:trPr>
          <w:jc w:val="center"/>
        </w:trPr>
        <w:tc>
          <w:tcPr>
            <w:tcW w:w="4200" w:type="dxa"/>
            <w:vAlign w:val="center"/>
          </w:tcPr>
          <w:p w14:paraId="6BA2F5EB" w14:textId="77777777" w:rsidR="001A4644" w:rsidRDefault="00165985">
            <w:pPr>
              <w:spacing w:after="20"/>
            </w:pPr>
            <w:r>
              <w:rPr>
                <w:sz w:val="19"/>
              </w:rPr>
              <w:t>muhamad.asyraf.hamdan@ppg-demo.com</w:t>
            </w:r>
          </w:p>
        </w:tc>
        <w:tc>
          <w:tcPr>
            <w:tcW w:w="5160" w:type="dxa"/>
            <w:vAlign w:val="center"/>
          </w:tcPr>
          <w:p w14:paraId="65C11C2C" w14:textId="77777777" w:rsidR="001A4644" w:rsidRDefault="00165985">
            <w:pPr>
              <w:spacing w:after="20"/>
            </w:pPr>
            <w:r>
              <w:rPr>
                <w:sz w:val="19"/>
              </w:rPr>
              <w:t>Offboarding employee journey</w:t>
            </w:r>
          </w:p>
        </w:tc>
      </w:tr>
    </w:tbl>
    <w:p w14:paraId="33BCBABB" w14:textId="77777777" w:rsidR="001A4644" w:rsidRDefault="001A4644">
      <w:pPr>
        <w:spacing w:after="40"/>
      </w:pPr>
    </w:p>
    <w:p w14:paraId="6A54719F" w14:textId="77777777" w:rsidR="001A4644" w:rsidRDefault="00165985">
      <w:pPr>
        <w:pStyle w:val="Heading2"/>
        <w:spacing w:after="120"/>
      </w:pPr>
      <w:r>
        <w:rPr>
          <w:rFonts w:ascii="Calibri" w:hAnsi="Calibri"/>
          <w:color w:val="2E74B5"/>
        </w:rPr>
        <w:t>Test-email troubleshooting</w:t>
      </w:r>
    </w:p>
    <w:tbl>
      <w:tblPr>
        <w:tblStyle w:val="TableGrid"/>
        <w:tblW w:w="0" w:type="auto"/>
        <w:jc w:val="center"/>
        <w:tblLayout w:type="fixed"/>
        <w:tblLook w:val="04A0" w:firstRow="1" w:lastRow="0" w:firstColumn="1" w:lastColumn="0" w:noHBand="0" w:noVBand="1"/>
      </w:tblPr>
      <w:tblGrid>
        <w:gridCol w:w="2700"/>
        <w:gridCol w:w="6660"/>
      </w:tblGrid>
      <w:tr w:rsidR="001A4644" w14:paraId="6A4F840F" w14:textId="77777777">
        <w:trPr>
          <w:jc w:val="center"/>
        </w:trPr>
        <w:tc>
          <w:tcPr>
            <w:tcW w:w="2700" w:type="dxa"/>
            <w:shd w:val="clear" w:color="auto" w:fill="E8EEF5"/>
            <w:vAlign w:val="center"/>
          </w:tcPr>
          <w:p w14:paraId="4497CADC" w14:textId="77777777" w:rsidR="001A4644" w:rsidRDefault="00165985">
            <w:r>
              <w:rPr>
                <w:b/>
                <w:color w:val="0B2545"/>
                <w:sz w:val="19"/>
              </w:rPr>
              <w:t>Problem</w:t>
            </w:r>
          </w:p>
        </w:tc>
        <w:tc>
          <w:tcPr>
            <w:tcW w:w="6660" w:type="dxa"/>
            <w:shd w:val="clear" w:color="auto" w:fill="E8EEF5"/>
            <w:vAlign w:val="center"/>
          </w:tcPr>
          <w:p w14:paraId="0E4E3B8F" w14:textId="77777777" w:rsidR="001A4644" w:rsidRDefault="00165985">
            <w:r>
              <w:rPr>
                <w:b/>
                <w:color w:val="0B2545"/>
                <w:sz w:val="19"/>
              </w:rPr>
              <w:t>Check</w:t>
            </w:r>
          </w:p>
        </w:tc>
      </w:tr>
      <w:tr w:rsidR="001A4644" w14:paraId="18378446" w14:textId="77777777">
        <w:trPr>
          <w:jc w:val="center"/>
        </w:trPr>
        <w:tc>
          <w:tcPr>
            <w:tcW w:w="2700" w:type="dxa"/>
            <w:vAlign w:val="center"/>
          </w:tcPr>
          <w:p w14:paraId="078A2C9D" w14:textId="77777777" w:rsidR="001A4644" w:rsidRDefault="00165985">
            <w:pPr>
              <w:spacing w:after="20"/>
            </w:pPr>
            <w:r>
              <w:rPr>
                <w:sz w:val="19"/>
              </w:rPr>
              <w:t>Recipient did not receive email</w:t>
            </w:r>
          </w:p>
        </w:tc>
        <w:tc>
          <w:tcPr>
            <w:tcW w:w="6660" w:type="dxa"/>
            <w:vAlign w:val="center"/>
          </w:tcPr>
          <w:p w14:paraId="5ADE2B7F" w14:textId="77777777" w:rsidR="001A4644" w:rsidRDefault="00165985">
            <w:pPr>
              <w:spacing w:after="20"/>
            </w:pPr>
            <w:r>
              <w:rPr>
                <w:sz w:val="19"/>
              </w:rPr>
              <w:t>Confirm that a recipient mapping exists and the mapped destination is correct.</w:t>
            </w:r>
          </w:p>
        </w:tc>
      </w:tr>
      <w:tr w:rsidR="001A4644" w14:paraId="4331D968" w14:textId="77777777">
        <w:trPr>
          <w:jc w:val="center"/>
        </w:trPr>
        <w:tc>
          <w:tcPr>
            <w:tcW w:w="2700" w:type="dxa"/>
            <w:vAlign w:val="center"/>
          </w:tcPr>
          <w:p w14:paraId="24DA42CE" w14:textId="77777777" w:rsidR="001A4644" w:rsidRDefault="00165985">
            <w:pPr>
              <w:spacing w:after="20"/>
            </w:pPr>
            <w:r>
              <w:rPr>
                <w:sz w:val="19"/>
              </w:rPr>
              <w:t>Credentials not configured</w:t>
            </w:r>
          </w:p>
        </w:tc>
        <w:tc>
          <w:tcPr>
            <w:tcW w:w="6660" w:type="dxa"/>
            <w:vAlign w:val="center"/>
          </w:tcPr>
          <w:p w14:paraId="6441965A" w14:textId="77777777" w:rsidR="001A4644" w:rsidRDefault="00165985">
            <w:pPr>
              <w:spacing w:after="20"/>
            </w:pPr>
            <w:r>
              <w:rPr>
                <w:sz w:val="19"/>
              </w:rPr>
              <w:t>Confirm AWS credentials are configured server-side; never enter credentials in the UI.</w:t>
            </w:r>
          </w:p>
        </w:tc>
      </w:tr>
      <w:tr w:rsidR="001A4644" w14:paraId="037CC776" w14:textId="77777777">
        <w:trPr>
          <w:jc w:val="center"/>
        </w:trPr>
        <w:tc>
          <w:tcPr>
            <w:tcW w:w="2700" w:type="dxa"/>
            <w:vAlign w:val="center"/>
          </w:tcPr>
          <w:p w14:paraId="6A6E3508" w14:textId="77777777" w:rsidR="001A4644" w:rsidRDefault="00165985">
            <w:pPr>
              <w:spacing w:after="20"/>
            </w:pPr>
            <w:r>
              <w:rPr>
                <w:sz w:val="19"/>
              </w:rPr>
              <w:t>SignatureDoesNotMatch</w:t>
            </w:r>
          </w:p>
        </w:tc>
        <w:tc>
          <w:tcPr>
            <w:tcW w:w="6660" w:type="dxa"/>
            <w:vAlign w:val="center"/>
          </w:tcPr>
          <w:p w14:paraId="20F57456" w14:textId="77777777" w:rsidR="001A4644" w:rsidRDefault="00165985">
            <w:pPr>
              <w:spacing w:after="20"/>
            </w:pPr>
            <w:r>
              <w:rPr>
                <w:sz w:val="19"/>
              </w:rPr>
              <w:t>Check the server-side key/secret pair and selected AWS region.</w:t>
            </w:r>
          </w:p>
        </w:tc>
      </w:tr>
      <w:tr w:rsidR="001A4644" w14:paraId="0FD1E3AB" w14:textId="77777777">
        <w:trPr>
          <w:jc w:val="center"/>
        </w:trPr>
        <w:tc>
          <w:tcPr>
            <w:tcW w:w="2700" w:type="dxa"/>
            <w:vAlign w:val="center"/>
          </w:tcPr>
          <w:p w14:paraId="64FCA087" w14:textId="77777777" w:rsidR="001A4644" w:rsidRDefault="00165985">
            <w:pPr>
              <w:spacing w:after="20"/>
            </w:pPr>
            <w:r>
              <w:rPr>
                <w:sz w:val="19"/>
              </w:rPr>
              <w:t>Sender rejected</w:t>
            </w:r>
          </w:p>
        </w:tc>
        <w:tc>
          <w:tcPr>
            <w:tcW w:w="6660" w:type="dxa"/>
            <w:vAlign w:val="center"/>
          </w:tcPr>
          <w:p w14:paraId="4AA750C1" w14:textId="77777777" w:rsidR="001A4644" w:rsidRDefault="00165985">
            <w:pPr>
              <w:spacing w:after="20"/>
            </w:pPr>
            <w:r>
              <w:rPr>
                <w:sz w:val="19"/>
              </w:rPr>
              <w:t>Confirm the SES sender identity and sender configuration are allowed.</w:t>
            </w:r>
          </w:p>
        </w:tc>
      </w:tr>
      <w:tr w:rsidR="001A4644" w14:paraId="38165E7A" w14:textId="77777777">
        <w:trPr>
          <w:jc w:val="center"/>
        </w:trPr>
        <w:tc>
          <w:tcPr>
            <w:tcW w:w="2700" w:type="dxa"/>
            <w:vAlign w:val="center"/>
          </w:tcPr>
          <w:p w14:paraId="0217CBA6" w14:textId="77777777" w:rsidR="001A4644" w:rsidRDefault="00165985">
            <w:pPr>
              <w:spacing w:after="20"/>
            </w:pPr>
            <w:r>
              <w:rPr>
                <w:sz w:val="19"/>
              </w:rPr>
              <w:t>Settings cannot save</w:t>
            </w:r>
          </w:p>
        </w:tc>
        <w:tc>
          <w:tcPr>
            <w:tcW w:w="6660" w:type="dxa"/>
            <w:vAlign w:val="center"/>
          </w:tcPr>
          <w:p w14:paraId="65EC5F71" w14:textId="77777777" w:rsidR="001A4644" w:rsidRDefault="00165985">
            <w:pPr>
              <w:spacing w:after="20"/>
            </w:pPr>
            <w:r>
              <w:rPr>
                <w:sz w:val="19"/>
              </w:rPr>
              <w:t>Check the persistent settings path and Docker data-directory permissions, then inspect application logs.</w:t>
            </w:r>
          </w:p>
        </w:tc>
      </w:tr>
    </w:tbl>
    <w:p w14:paraId="4D33326E" w14:textId="77777777" w:rsidR="001A4644" w:rsidRDefault="001A4644">
      <w:pPr>
        <w:spacing w:after="40"/>
      </w:pPr>
    </w:p>
    <w:p w14:paraId="40228412" w14:textId="77777777" w:rsidR="001A4644" w:rsidRDefault="00165985">
      <w:pPr>
        <w:pStyle w:val="Heading1"/>
        <w:spacing w:before="320" w:after="120"/>
      </w:pPr>
      <w:r>
        <w:rPr>
          <w:rFonts w:ascii="Calibri" w:hAnsi="Calibri"/>
          <w:color w:val="2E74B5"/>
          <w:sz w:val="32"/>
        </w:rPr>
        <w:t>5. Employee journeys</w:t>
      </w:r>
    </w:p>
    <w:p w14:paraId="073185C7" w14:textId="77777777" w:rsidR="001A4644" w:rsidRDefault="00165985">
      <w:pPr>
        <w:pStyle w:val="Heading2"/>
        <w:spacing w:after="120"/>
      </w:pPr>
      <w:r>
        <w:rPr>
          <w:rFonts w:ascii="Calibri" w:hAnsi="Calibri"/>
          <w:color w:val="2E74B5"/>
        </w:rPr>
        <w:t>Aziz, Nabila - onboarding employee</w:t>
      </w:r>
    </w:p>
    <w:p w14:paraId="11E5D19A" w14:textId="77777777" w:rsidR="001A4644" w:rsidRDefault="00165985">
      <w:pPr>
        <w:spacing w:after="120" w:line="300" w:lineRule="auto"/>
      </w:pPr>
      <w:r>
        <w:rPr>
          <w:sz w:val="22"/>
        </w:rPr>
        <w:t xml:space="preserve">Aziz, Nabila is the preboarding walkthrough. My Onboarding presents the Day 1 readiness view, countdown, next action, actions remaining and journey progress. My Tasks shows assigned work; My Inbox shows notifications; My Forms shows induction and access-card forms; My Profile presents the synthetic employee </w:t>
      </w:r>
      <w:r>
        <w:rPr>
          <w:sz w:val="22"/>
        </w:rPr>
        <w:lastRenderedPageBreak/>
        <w:t>information. Together these views make it clear what Nabila must do, what is due and what remains before Day 1.</w:t>
      </w:r>
    </w:p>
    <w:p w14:paraId="38A6BE2A" w14:textId="77777777" w:rsidR="001A4644" w:rsidRDefault="00165985">
      <w:pPr>
        <w:pStyle w:val="Heading2"/>
        <w:spacing w:after="120"/>
      </w:pPr>
      <w:r>
        <w:rPr>
          <w:rFonts w:ascii="Calibri" w:hAnsi="Calibri"/>
          <w:color w:val="2E74B5"/>
        </w:rPr>
        <w:t>Hamdan, Muhamad Asyraf Naqiyuddin - offboarding employee</w:t>
      </w:r>
    </w:p>
    <w:p w14:paraId="6FDA1417" w14:textId="77777777" w:rsidR="001A4644" w:rsidRDefault="00165985">
      <w:pPr>
        <w:spacing w:after="120" w:line="300" w:lineRule="auto"/>
      </w:pPr>
      <w:r>
        <w:rPr>
          <w:sz w:val="22"/>
        </w:rPr>
        <w:t>Hamdan is the offboarding walkthrough. My Offboarding presents exit progress, exit-clearance actions, messages and forms. From the administrator and department view, the same lifecycle case supports access removal, asset return, financial and manager actions, with progress and activity visible to the responsible teams.</w:t>
      </w:r>
    </w:p>
    <w:p w14:paraId="1C41B776" w14:textId="77777777" w:rsidR="001A4644" w:rsidRDefault="00165985">
      <w:pPr>
        <w:pStyle w:val="Heading2"/>
        <w:spacing w:after="120"/>
      </w:pPr>
      <w:r>
        <w:rPr>
          <w:rFonts w:ascii="Calibri" w:hAnsi="Calibri"/>
          <w:color w:val="2E74B5"/>
        </w:rPr>
        <w:t>Forms and profile</w:t>
      </w:r>
    </w:p>
    <w:p w14:paraId="2027DC25" w14:textId="77777777" w:rsidR="001A4644" w:rsidRDefault="00165985">
      <w:pPr>
        <w:spacing w:after="120" w:line="300" w:lineRule="auto"/>
      </w:pPr>
      <w:r>
        <w:rPr>
          <w:sz w:val="22"/>
        </w:rPr>
        <w:t>My Forms lists available forms and their progress, with Start or Continue actions where applicable. My Profile is the employee-facing reference for the synthetic profile. These are prototype views and use synthetic demonstration data.</w:t>
      </w:r>
    </w:p>
    <w:p w14:paraId="34354CB6" w14:textId="77777777" w:rsidR="001A4644" w:rsidRDefault="00165985">
      <w:pPr>
        <w:pStyle w:val="Heading1"/>
        <w:spacing w:before="320" w:after="120"/>
      </w:pPr>
      <w:r>
        <w:rPr>
          <w:rFonts w:ascii="Calibri" w:hAnsi="Calibri"/>
          <w:color w:val="2E74B5"/>
          <w:sz w:val="32"/>
        </w:rPr>
        <w:t>6. Workday demo and current data</w:t>
      </w:r>
    </w:p>
    <w:p w14:paraId="7BCCB0B7" w14:textId="77777777" w:rsidR="001A4644" w:rsidRDefault="00165985">
      <w:pPr>
        <w:spacing w:after="120" w:line="300" w:lineRule="auto"/>
      </w:pPr>
      <w:r>
        <w:rPr>
          <w:sz w:val="22"/>
        </w:rPr>
        <w:t>PPG Workday Demo is a mock source application. No real Workday API is connected. It demonstrates how a source HR lifecycle change can be represented before OneFlow coordinates the downstream work.</w:t>
      </w:r>
    </w:p>
    <w:tbl>
      <w:tblPr>
        <w:tblStyle w:val="TableGrid"/>
        <w:tblW w:w="0" w:type="auto"/>
        <w:jc w:val="center"/>
        <w:tblLayout w:type="fixed"/>
        <w:tblLook w:val="04A0" w:firstRow="1" w:lastRow="0" w:firstColumn="1" w:lastColumn="0" w:noHBand="0" w:noVBand="1"/>
      </w:tblPr>
      <w:tblGrid>
        <w:gridCol w:w="3900"/>
        <w:gridCol w:w="2000"/>
        <w:gridCol w:w="3460"/>
      </w:tblGrid>
      <w:tr w:rsidR="001A4644" w14:paraId="20FE033E" w14:textId="77777777">
        <w:trPr>
          <w:jc w:val="center"/>
        </w:trPr>
        <w:tc>
          <w:tcPr>
            <w:tcW w:w="3900" w:type="dxa"/>
            <w:shd w:val="clear" w:color="auto" w:fill="E8EEF5"/>
            <w:vAlign w:val="center"/>
          </w:tcPr>
          <w:p w14:paraId="76A44B12" w14:textId="77777777" w:rsidR="001A4644" w:rsidRDefault="00165985">
            <w:r>
              <w:rPr>
                <w:b/>
                <w:color w:val="0B2545"/>
                <w:sz w:val="19"/>
              </w:rPr>
              <w:t>Worker</w:t>
            </w:r>
          </w:p>
        </w:tc>
        <w:tc>
          <w:tcPr>
            <w:tcW w:w="2000" w:type="dxa"/>
            <w:shd w:val="clear" w:color="auto" w:fill="E8EEF5"/>
            <w:vAlign w:val="center"/>
          </w:tcPr>
          <w:p w14:paraId="17E0F5A4" w14:textId="77777777" w:rsidR="001A4644" w:rsidRDefault="00165985">
            <w:r>
              <w:rPr>
                <w:b/>
                <w:color w:val="0B2545"/>
                <w:sz w:val="19"/>
              </w:rPr>
              <w:t>Lifecycle status</w:t>
            </w:r>
          </w:p>
        </w:tc>
        <w:tc>
          <w:tcPr>
            <w:tcW w:w="3460" w:type="dxa"/>
            <w:shd w:val="clear" w:color="auto" w:fill="E8EEF5"/>
            <w:vAlign w:val="center"/>
          </w:tcPr>
          <w:p w14:paraId="2C3C510C" w14:textId="77777777" w:rsidR="001A4644" w:rsidRDefault="00165985">
            <w:r>
              <w:rPr>
                <w:b/>
                <w:color w:val="0B2545"/>
                <w:sz w:val="19"/>
              </w:rPr>
              <w:t>Location</w:t>
            </w:r>
          </w:p>
        </w:tc>
      </w:tr>
      <w:tr w:rsidR="001A4644" w14:paraId="0D884EBE" w14:textId="77777777">
        <w:trPr>
          <w:jc w:val="center"/>
        </w:trPr>
        <w:tc>
          <w:tcPr>
            <w:tcW w:w="3900" w:type="dxa"/>
            <w:vAlign w:val="center"/>
          </w:tcPr>
          <w:p w14:paraId="4BCF18BF" w14:textId="77777777" w:rsidR="001A4644" w:rsidRDefault="00165985">
            <w:pPr>
              <w:spacing w:after="20"/>
            </w:pPr>
            <w:r>
              <w:rPr>
                <w:sz w:val="19"/>
              </w:rPr>
              <w:t>Thamotharan, Renuka Malar</w:t>
            </w:r>
          </w:p>
        </w:tc>
        <w:tc>
          <w:tcPr>
            <w:tcW w:w="2000" w:type="dxa"/>
            <w:vAlign w:val="center"/>
          </w:tcPr>
          <w:p w14:paraId="62F52C34" w14:textId="77777777" w:rsidR="001A4644" w:rsidRDefault="00165985">
            <w:pPr>
              <w:spacing w:after="20"/>
            </w:pPr>
            <w:r>
              <w:rPr>
                <w:sz w:val="19"/>
              </w:rPr>
              <w:t>Active</w:t>
            </w:r>
          </w:p>
        </w:tc>
        <w:tc>
          <w:tcPr>
            <w:tcW w:w="3460" w:type="dxa"/>
            <w:vAlign w:val="center"/>
          </w:tcPr>
          <w:p w14:paraId="72ADB867" w14:textId="77777777" w:rsidR="001A4644" w:rsidRDefault="00165985">
            <w:pPr>
              <w:spacing w:after="20"/>
            </w:pPr>
            <w:r>
              <w:rPr>
                <w:sz w:val="19"/>
              </w:rPr>
              <w:t>Malaysia - UOA Business Park</w:t>
            </w:r>
          </w:p>
        </w:tc>
      </w:tr>
      <w:tr w:rsidR="001A4644" w14:paraId="29104CF8" w14:textId="77777777">
        <w:trPr>
          <w:jc w:val="center"/>
        </w:trPr>
        <w:tc>
          <w:tcPr>
            <w:tcW w:w="3900" w:type="dxa"/>
            <w:vAlign w:val="center"/>
          </w:tcPr>
          <w:p w14:paraId="4141844C" w14:textId="77777777" w:rsidR="001A4644" w:rsidRDefault="00165985">
            <w:pPr>
              <w:spacing w:after="20"/>
            </w:pPr>
            <w:r>
              <w:rPr>
                <w:sz w:val="19"/>
              </w:rPr>
              <w:t>Aziz, Nabila</w:t>
            </w:r>
          </w:p>
        </w:tc>
        <w:tc>
          <w:tcPr>
            <w:tcW w:w="2000" w:type="dxa"/>
            <w:vAlign w:val="center"/>
          </w:tcPr>
          <w:p w14:paraId="097D3712" w14:textId="77777777" w:rsidR="001A4644" w:rsidRDefault="00165985">
            <w:pPr>
              <w:spacing w:after="20"/>
            </w:pPr>
            <w:r>
              <w:rPr>
                <w:sz w:val="19"/>
              </w:rPr>
              <w:t>Preboarding</w:t>
            </w:r>
          </w:p>
        </w:tc>
        <w:tc>
          <w:tcPr>
            <w:tcW w:w="3460" w:type="dxa"/>
            <w:vAlign w:val="center"/>
          </w:tcPr>
          <w:p w14:paraId="23B670C0" w14:textId="77777777" w:rsidR="001A4644" w:rsidRDefault="00165985">
            <w:pPr>
              <w:spacing w:after="20"/>
            </w:pPr>
            <w:r>
              <w:rPr>
                <w:sz w:val="19"/>
              </w:rPr>
              <w:t>Malaysia - UOA Business Park</w:t>
            </w:r>
          </w:p>
        </w:tc>
      </w:tr>
      <w:tr w:rsidR="001A4644" w14:paraId="351357CD" w14:textId="77777777">
        <w:trPr>
          <w:jc w:val="center"/>
        </w:trPr>
        <w:tc>
          <w:tcPr>
            <w:tcW w:w="3900" w:type="dxa"/>
            <w:vAlign w:val="center"/>
          </w:tcPr>
          <w:p w14:paraId="71658A0D" w14:textId="77777777" w:rsidR="001A4644" w:rsidRDefault="00165985">
            <w:pPr>
              <w:spacing w:after="20"/>
            </w:pPr>
            <w:r>
              <w:rPr>
                <w:sz w:val="19"/>
              </w:rPr>
              <w:t>Nagaraja, Umashangari</w:t>
            </w:r>
          </w:p>
        </w:tc>
        <w:tc>
          <w:tcPr>
            <w:tcW w:w="2000" w:type="dxa"/>
            <w:vAlign w:val="center"/>
          </w:tcPr>
          <w:p w14:paraId="5F6E0B42" w14:textId="77777777" w:rsidR="001A4644" w:rsidRDefault="00165985">
            <w:pPr>
              <w:spacing w:after="20"/>
            </w:pPr>
            <w:r>
              <w:rPr>
                <w:sz w:val="19"/>
              </w:rPr>
              <w:t>Active</w:t>
            </w:r>
          </w:p>
        </w:tc>
        <w:tc>
          <w:tcPr>
            <w:tcW w:w="3460" w:type="dxa"/>
            <w:vAlign w:val="center"/>
          </w:tcPr>
          <w:p w14:paraId="1BB2CA9B" w14:textId="77777777" w:rsidR="001A4644" w:rsidRDefault="00165985">
            <w:pPr>
              <w:spacing w:after="20"/>
            </w:pPr>
            <w:r>
              <w:rPr>
                <w:sz w:val="19"/>
              </w:rPr>
              <w:t>Malaysia - UOA Business Park</w:t>
            </w:r>
          </w:p>
        </w:tc>
      </w:tr>
      <w:tr w:rsidR="001A4644" w14:paraId="350C5547" w14:textId="77777777">
        <w:trPr>
          <w:jc w:val="center"/>
        </w:trPr>
        <w:tc>
          <w:tcPr>
            <w:tcW w:w="3900" w:type="dxa"/>
            <w:vAlign w:val="center"/>
          </w:tcPr>
          <w:p w14:paraId="421C35DB" w14:textId="77777777" w:rsidR="001A4644" w:rsidRDefault="00165985">
            <w:pPr>
              <w:spacing w:after="20"/>
            </w:pPr>
            <w:r>
              <w:rPr>
                <w:sz w:val="19"/>
              </w:rPr>
              <w:t>Ramachandran, Yuganeswary</w:t>
            </w:r>
          </w:p>
        </w:tc>
        <w:tc>
          <w:tcPr>
            <w:tcW w:w="2000" w:type="dxa"/>
            <w:vAlign w:val="center"/>
          </w:tcPr>
          <w:p w14:paraId="4F4AD8FE" w14:textId="77777777" w:rsidR="001A4644" w:rsidRDefault="00165985">
            <w:pPr>
              <w:spacing w:after="20"/>
            </w:pPr>
            <w:r>
              <w:rPr>
                <w:sz w:val="19"/>
              </w:rPr>
              <w:t>Active</w:t>
            </w:r>
          </w:p>
        </w:tc>
        <w:tc>
          <w:tcPr>
            <w:tcW w:w="3460" w:type="dxa"/>
            <w:vAlign w:val="center"/>
          </w:tcPr>
          <w:p w14:paraId="0573583A" w14:textId="77777777" w:rsidR="001A4644" w:rsidRDefault="00165985">
            <w:pPr>
              <w:spacing w:after="20"/>
            </w:pPr>
            <w:r>
              <w:rPr>
                <w:sz w:val="19"/>
              </w:rPr>
              <w:t>Malaysia - UOA Business Park</w:t>
            </w:r>
          </w:p>
        </w:tc>
      </w:tr>
      <w:tr w:rsidR="001A4644" w14:paraId="5D369633" w14:textId="77777777">
        <w:trPr>
          <w:jc w:val="center"/>
        </w:trPr>
        <w:tc>
          <w:tcPr>
            <w:tcW w:w="3900" w:type="dxa"/>
            <w:vAlign w:val="center"/>
          </w:tcPr>
          <w:p w14:paraId="35306514" w14:textId="77777777" w:rsidR="001A4644" w:rsidRDefault="00165985">
            <w:pPr>
              <w:spacing w:after="20"/>
            </w:pPr>
            <w:r>
              <w:rPr>
                <w:sz w:val="19"/>
              </w:rPr>
              <w:t>Hamdan, Muhamad Asyraf Naqiyuddin</w:t>
            </w:r>
          </w:p>
        </w:tc>
        <w:tc>
          <w:tcPr>
            <w:tcW w:w="2000" w:type="dxa"/>
            <w:vAlign w:val="center"/>
          </w:tcPr>
          <w:p w14:paraId="1CA27367" w14:textId="77777777" w:rsidR="001A4644" w:rsidRDefault="00165985">
            <w:pPr>
              <w:spacing w:after="20"/>
            </w:pPr>
            <w:r>
              <w:rPr>
                <w:sz w:val="19"/>
              </w:rPr>
              <w:t>Offboarding</w:t>
            </w:r>
          </w:p>
        </w:tc>
        <w:tc>
          <w:tcPr>
            <w:tcW w:w="3460" w:type="dxa"/>
            <w:vAlign w:val="center"/>
          </w:tcPr>
          <w:p w14:paraId="1F3206AB" w14:textId="77777777" w:rsidR="001A4644" w:rsidRDefault="00165985">
            <w:pPr>
              <w:spacing w:after="20"/>
            </w:pPr>
            <w:r>
              <w:rPr>
                <w:sz w:val="19"/>
              </w:rPr>
              <w:t>Malaysia - UOA Business Park</w:t>
            </w:r>
          </w:p>
        </w:tc>
      </w:tr>
    </w:tbl>
    <w:p w14:paraId="122D18B1" w14:textId="77777777" w:rsidR="001A4644" w:rsidRDefault="001A4644">
      <w:pPr>
        <w:spacing w:after="40"/>
      </w:pPr>
    </w:p>
    <w:p w14:paraId="671902EF" w14:textId="77777777" w:rsidR="001A4644" w:rsidRDefault="00165985">
      <w:pPr>
        <w:jc w:val="center"/>
      </w:pPr>
      <w:r>
        <w:rPr>
          <w:noProof/>
        </w:rPr>
        <w:drawing>
          <wp:inline distT="0" distB="0" distL="0" distR="0" wp14:anchorId="3AB53396" wp14:editId="5488E5BF">
            <wp:extent cx="5806440" cy="19354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ng"/>
                    <pic:cNvPicPr/>
                  </pic:nvPicPr>
                  <pic:blipFill>
                    <a:blip r:embed="rId8"/>
                    <a:stretch>
                      <a:fillRect/>
                    </a:stretch>
                  </pic:blipFill>
                  <pic:spPr>
                    <a:xfrm>
                      <a:off x="0" y="0"/>
                      <a:ext cx="5806440" cy="1935480"/>
                    </a:xfrm>
                    <a:prstGeom prst="rect">
                      <a:avLst/>
                    </a:prstGeom>
                  </pic:spPr>
                </pic:pic>
              </a:graphicData>
            </a:graphic>
          </wp:inline>
        </w:drawing>
      </w:r>
    </w:p>
    <w:p w14:paraId="45927359" w14:textId="77777777" w:rsidR="001A4644" w:rsidRDefault="00165985">
      <w:pPr>
        <w:spacing w:after="160" w:line="300" w:lineRule="auto"/>
        <w:jc w:val="center"/>
      </w:pPr>
      <w:r>
        <w:rPr>
          <w:i/>
          <w:color w:val="5B677A"/>
          <w:sz w:val="18"/>
        </w:rPr>
        <w:t>Figure 1 - Current hackathon prototype architecture</w:t>
      </w:r>
    </w:p>
    <w:p w14:paraId="1E600616" w14:textId="77777777" w:rsidR="001A4644" w:rsidRDefault="00165985">
      <w:pPr>
        <w:pStyle w:val="Heading1"/>
        <w:spacing w:before="320" w:after="120"/>
      </w:pPr>
      <w:r>
        <w:rPr>
          <w:rFonts w:ascii="Calibri" w:hAnsi="Calibri"/>
          <w:color w:val="2E74B5"/>
          <w:sz w:val="32"/>
        </w:rPr>
        <w:t>7. Prototype status and production direction</w:t>
      </w:r>
    </w:p>
    <w:tbl>
      <w:tblPr>
        <w:tblStyle w:val="TableGrid"/>
        <w:tblW w:w="0" w:type="auto"/>
        <w:jc w:val="center"/>
        <w:tblLayout w:type="fixed"/>
        <w:tblLook w:val="04A0" w:firstRow="1" w:lastRow="0" w:firstColumn="1" w:lastColumn="0" w:noHBand="0" w:noVBand="1"/>
      </w:tblPr>
      <w:tblGrid>
        <w:gridCol w:w="1650"/>
        <w:gridCol w:w="3700"/>
        <w:gridCol w:w="4010"/>
      </w:tblGrid>
      <w:tr w:rsidR="001A4644" w14:paraId="4BA7380D" w14:textId="77777777">
        <w:trPr>
          <w:jc w:val="center"/>
        </w:trPr>
        <w:tc>
          <w:tcPr>
            <w:tcW w:w="1650" w:type="dxa"/>
            <w:shd w:val="clear" w:color="auto" w:fill="E8EEF5"/>
            <w:vAlign w:val="center"/>
          </w:tcPr>
          <w:p w14:paraId="64D62AEB" w14:textId="77777777" w:rsidR="001A4644" w:rsidRDefault="00165985">
            <w:r>
              <w:rPr>
                <w:b/>
                <w:color w:val="0B2545"/>
                <w:sz w:val="19"/>
              </w:rPr>
              <w:t>Area</w:t>
            </w:r>
          </w:p>
        </w:tc>
        <w:tc>
          <w:tcPr>
            <w:tcW w:w="3700" w:type="dxa"/>
            <w:shd w:val="clear" w:color="auto" w:fill="E8EEF5"/>
            <w:vAlign w:val="center"/>
          </w:tcPr>
          <w:p w14:paraId="07396AAB" w14:textId="77777777" w:rsidR="001A4644" w:rsidRDefault="00165985">
            <w:r>
              <w:rPr>
                <w:b/>
                <w:color w:val="0B2545"/>
                <w:sz w:val="19"/>
              </w:rPr>
              <w:t>Current prototype</w:t>
            </w:r>
          </w:p>
        </w:tc>
        <w:tc>
          <w:tcPr>
            <w:tcW w:w="4010" w:type="dxa"/>
            <w:shd w:val="clear" w:color="auto" w:fill="E8EEF5"/>
            <w:vAlign w:val="center"/>
          </w:tcPr>
          <w:p w14:paraId="40BDC7CF" w14:textId="77777777" w:rsidR="001A4644" w:rsidRDefault="00165985">
            <w:r>
              <w:rPr>
                <w:b/>
                <w:color w:val="0B2545"/>
                <w:sz w:val="19"/>
              </w:rPr>
              <w:t>Production requirement</w:t>
            </w:r>
          </w:p>
        </w:tc>
      </w:tr>
      <w:tr w:rsidR="001A4644" w14:paraId="3374F8DD" w14:textId="77777777">
        <w:trPr>
          <w:jc w:val="center"/>
        </w:trPr>
        <w:tc>
          <w:tcPr>
            <w:tcW w:w="1650" w:type="dxa"/>
            <w:vAlign w:val="center"/>
          </w:tcPr>
          <w:p w14:paraId="691E1B1E" w14:textId="77777777" w:rsidR="001A4644" w:rsidRDefault="00165985">
            <w:pPr>
              <w:spacing w:after="20"/>
            </w:pPr>
            <w:r>
              <w:rPr>
                <w:sz w:val="19"/>
              </w:rPr>
              <w:t>HR source</w:t>
            </w:r>
          </w:p>
        </w:tc>
        <w:tc>
          <w:tcPr>
            <w:tcW w:w="3700" w:type="dxa"/>
            <w:vAlign w:val="center"/>
          </w:tcPr>
          <w:p w14:paraId="43034A48" w14:textId="77777777" w:rsidR="001A4644" w:rsidRDefault="00165985">
            <w:pPr>
              <w:spacing w:after="20"/>
            </w:pPr>
            <w:r>
              <w:rPr>
                <w:sz w:val="19"/>
              </w:rPr>
              <w:t>Mock Workday</w:t>
            </w:r>
          </w:p>
        </w:tc>
        <w:tc>
          <w:tcPr>
            <w:tcW w:w="4010" w:type="dxa"/>
            <w:vAlign w:val="center"/>
          </w:tcPr>
          <w:p w14:paraId="704573B6" w14:textId="77777777" w:rsidR="001A4644" w:rsidRDefault="00165985">
            <w:pPr>
              <w:spacing w:after="20"/>
            </w:pPr>
            <w:r>
              <w:rPr>
                <w:sz w:val="19"/>
              </w:rPr>
              <w:t>Approved Workday integration</w:t>
            </w:r>
          </w:p>
        </w:tc>
      </w:tr>
      <w:tr w:rsidR="001A4644" w14:paraId="33932150" w14:textId="77777777">
        <w:trPr>
          <w:jc w:val="center"/>
        </w:trPr>
        <w:tc>
          <w:tcPr>
            <w:tcW w:w="1650" w:type="dxa"/>
            <w:vAlign w:val="center"/>
          </w:tcPr>
          <w:p w14:paraId="297C17EB" w14:textId="77777777" w:rsidR="001A4644" w:rsidRDefault="00165985">
            <w:pPr>
              <w:spacing w:after="20"/>
            </w:pPr>
            <w:r>
              <w:rPr>
                <w:sz w:val="19"/>
              </w:rPr>
              <w:t>Identity</w:t>
            </w:r>
          </w:p>
        </w:tc>
        <w:tc>
          <w:tcPr>
            <w:tcW w:w="3700" w:type="dxa"/>
            <w:vAlign w:val="center"/>
          </w:tcPr>
          <w:p w14:paraId="18AE5FDA" w14:textId="77777777" w:rsidR="001A4644" w:rsidRDefault="00165985">
            <w:pPr>
              <w:spacing w:after="20"/>
            </w:pPr>
            <w:r>
              <w:rPr>
                <w:sz w:val="19"/>
              </w:rPr>
              <w:t>Demo login accounts</w:t>
            </w:r>
          </w:p>
        </w:tc>
        <w:tc>
          <w:tcPr>
            <w:tcW w:w="4010" w:type="dxa"/>
            <w:vAlign w:val="center"/>
          </w:tcPr>
          <w:p w14:paraId="749FDAA0" w14:textId="77777777" w:rsidR="001A4644" w:rsidRDefault="00165985">
            <w:pPr>
              <w:spacing w:after="20"/>
            </w:pPr>
            <w:r>
              <w:rPr>
                <w:sz w:val="19"/>
              </w:rPr>
              <w:t>Microsoft Entra ID, SSO and RBAC</w:t>
            </w:r>
          </w:p>
        </w:tc>
      </w:tr>
      <w:tr w:rsidR="001A4644" w14:paraId="3875A009" w14:textId="77777777">
        <w:trPr>
          <w:jc w:val="center"/>
        </w:trPr>
        <w:tc>
          <w:tcPr>
            <w:tcW w:w="1650" w:type="dxa"/>
            <w:vAlign w:val="center"/>
          </w:tcPr>
          <w:p w14:paraId="2E71D733" w14:textId="77777777" w:rsidR="001A4644" w:rsidRDefault="00165985">
            <w:pPr>
              <w:spacing w:after="20"/>
            </w:pPr>
            <w:r>
              <w:rPr>
                <w:sz w:val="19"/>
              </w:rPr>
              <w:t>Data</w:t>
            </w:r>
          </w:p>
        </w:tc>
        <w:tc>
          <w:tcPr>
            <w:tcW w:w="3700" w:type="dxa"/>
            <w:vAlign w:val="center"/>
          </w:tcPr>
          <w:p w14:paraId="605990E6" w14:textId="77777777" w:rsidR="001A4644" w:rsidRDefault="00165985">
            <w:pPr>
              <w:spacing w:after="20"/>
            </w:pPr>
            <w:r>
              <w:rPr>
                <w:sz w:val="19"/>
              </w:rPr>
              <w:t>Browser/local prototype data</w:t>
            </w:r>
          </w:p>
        </w:tc>
        <w:tc>
          <w:tcPr>
            <w:tcW w:w="4010" w:type="dxa"/>
            <w:vAlign w:val="center"/>
          </w:tcPr>
          <w:p w14:paraId="6718AB6F" w14:textId="77777777" w:rsidR="001A4644" w:rsidRDefault="00165985">
            <w:pPr>
              <w:spacing w:after="20"/>
            </w:pPr>
            <w:r>
              <w:rPr>
                <w:sz w:val="19"/>
              </w:rPr>
              <w:t>Dataverse or approved enterprise persistence</w:t>
            </w:r>
          </w:p>
        </w:tc>
      </w:tr>
      <w:tr w:rsidR="001A4644" w14:paraId="22DC90F9" w14:textId="77777777">
        <w:trPr>
          <w:jc w:val="center"/>
        </w:trPr>
        <w:tc>
          <w:tcPr>
            <w:tcW w:w="1650" w:type="dxa"/>
            <w:vAlign w:val="center"/>
          </w:tcPr>
          <w:p w14:paraId="13894387" w14:textId="77777777" w:rsidR="001A4644" w:rsidRDefault="00165985">
            <w:pPr>
              <w:spacing w:after="20"/>
            </w:pPr>
            <w:r>
              <w:rPr>
                <w:sz w:val="19"/>
              </w:rPr>
              <w:lastRenderedPageBreak/>
              <w:t>Automation</w:t>
            </w:r>
          </w:p>
        </w:tc>
        <w:tc>
          <w:tcPr>
            <w:tcW w:w="3700" w:type="dxa"/>
            <w:vAlign w:val="center"/>
          </w:tcPr>
          <w:p w14:paraId="13F045BF" w14:textId="77777777" w:rsidR="001A4644" w:rsidRDefault="00165985">
            <w:pPr>
              <w:spacing w:after="20"/>
            </w:pPr>
            <w:r>
              <w:rPr>
                <w:sz w:val="19"/>
              </w:rPr>
              <w:t>Simulation</w:t>
            </w:r>
          </w:p>
        </w:tc>
        <w:tc>
          <w:tcPr>
            <w:tcW w:w="4010" w:type="dxa"/>
            <w:vAlign w:val="center"/>
          </w:tcPr>
          <w:p w14:paraId="03B0709B" w14:textId="77777777" w:rsidR="001A4644" w:rsidRDefault="00165985">
            <w:pPr>
              <w:spacing w:after="20"/>
            </w:pPr>
            <w:r>
              <w:rPr>
                <w:sz w:val="19"/>
              </w:rPr>
              <w:t>Power Automate and approved integrations</w:t>
            </w:r>
          </w:p>
        </w:tc>
      </w:tr>
      <w:tr w:rsidR="001A4644" w14:paraId="621D39B3" w14:textId="77777777">
        <w:trPr>
          <w:jc w:val="center"/>
        </w:trPr>
        <w:tc>
          <w:tcPr>
            <w:tcW w:w="1650" w:type="dxa"/>
            <w:vAlign w:val="center"/>
          </w:tcPr>
          <w:p w14:paraId="02B26FCF" w14:textId="77777777" w:rsidR="001A4644" w:rsidRDefault="00165985">
            <w:pPr>
              <w:spacing w:after="20"/>
            </w:pPr>
            <w:r>
              <w:rPr>
                <w:sz w:val="19"/>
              </w:rPr>
              <w:t>Email</w:t>
            </w:r>
          </w:p>
        </w:tc>
        <w:tc>
          <w:tcPr>
            <w:tcW w:w="3700" w:type="dxa"/>
            <w:vAlign w:val="center"/>
          </w:tcPr>
          <w:p w14:paraId="12781964" w14:textId="77777777" w:rsidR="001A4644" w:rsidRDefault="00165985">
            <w:pPr>
              <w:spacing w:after="20"/>
            </w:pPr>
            <w:r>
              <w:rPr>
                <w:sz w:val="19"/>
              </w:rPr>
              <w:t>Mock Inbox and AWS SES test delivery</w:t>
            </w:r>
          </w:p>
        </w:tc>
        <w:tc>
          <w:tcPr>
            <w:tcW w:w="4010" w:type="dxa"/>
            <w:vAlign w:val="center"/>
          </w:tcPr>
          <w:p w14:paraId="2472C5DB" w14:textId="77777777" w:rsidR="001A4644" w:rsidRDefault="00165985">
            <w:pPr>
              <w:spacing w:after="20"/>
            </w:pPr>
            <w:r>
              <w:rPr>
                <w:sz w:val="19"/>
              </w:rPr>
              <w:t>Microsoft 365 / Outlook / Exchange Online</w:t>
            </w:r>
          </w:p>
        </w:tc>
      </w:tr>
      <w:tr w:rsidR="001A4644" w14:paraId="5EA15EB0" w14:textId="77777777">
        <w:trPr>
          <w:jc w:val="center"/>
        </w:trPr>
        <w:tc>
          <w:tcPr>
            <w:tcW w:w="1650" w:type="dxa"/>
            <w:vAlign w:val="center"/>
          </w:tcPr>
          <w:p w14:paraId="163B6B63" w14:textId="77777777" w:rsidR="001A4644" w:rsidRDefault="00165985">
            <w:pPr>
              <w:spacing w:after="20"/>
            </w:pPr>
            <w:r>
              <w:rPr>
                <w:sz w:val="19"/>
              </w:rPr>
              <w:t>Monitoring</w:t>
            </w:r>
          </w:p>
        </w:tc>
        <w:tc>
          <w:tcPr>
            <w:tcW w:w="3700" w:type="dxa"/>
            <w:vAlign w:val="center"/>
          </w:tcPr>
          <w:p w14:paraId="009362E6" w14:textId="77777777" w:rsidR="001A4644" w:rsidRDefault="00165985">
            <w:pPr>
              <w:spacing w:after="20"/>
            </w:pPr>
            <w:r>
              <w:rPr>
                <w:sz w:val="19"/>
              </w:rPr>
              <w:t>Demo visibility</w:t>
            </w:r>
          </w:p>
        </w:tc>
        <w:tc>
          <w:tcPr>
            <w:tcW w:w="4010" w:type="dxa"/>
            <w:vAlign w:val="center"/>
          </w:tcPr>
          <w:p w14:paraId="3145D24B" w14:textId="77777777" w:rsidR="001A4644" w:rsidRDefault="00165985">
            <w:pPr>
              <w:spacing w:after="20"/>
            </w:pPr>
            <w:r>
              <w:rPr>
                <w:sz w:val="19"/>
              </w:rPr>
              <w:t>Azure Monitor, Application Insights and governance</w:t>
            </w:r>
          </w:p>
        </w:tc>
      </w:tr>
    </w:tbl>
    <w:p w14:paraId="6FBA6A4D" w14:textId="77777777" w:rsidR="001A4644" w:rsidRDefault="001A4644">
      <w:pPr>
        <w:spacing w:after="40"/>
      </w:pPr>
    </w:p>
    <w:p w14:paraId="5D8D04C1" w14:textId="77777777" w:rsidR="001A4644" w:rsidRDefault="00165985">
      <w:pPr>
        <w:spacing w:after="120" w:line="300" w:lineRule="auto"/>
      </w:pPr>
      <w:r>
        <w:rPr>
          <w:b/>
          <w:color w:val="1F4D78"/>
        </w:rPr>
        <w:t>OneFlow currently uses AWS SES only as a prototype email-delivery capability. For a PPG production implementation, email and notification delivery should align with the organisation's existing Microsoft 365 environment.</w:t>
      </w:r>
    </w:p>
    <w:p w14:paraId="05FC58D4" w14:textId="77777777" w:rsidR="001A4644" w:rsidRDefault="00165985">
      <w:pPr>
        <w:jc w:val="center"/>
      </w:pPr>
      <w:r>
        <w:rPr>
          <w:noProof/>
        </w:rPr>
        <w:drawing>
          <wp:inline distT="0" distB="0" distL="0" distR="0" wp14:anchorId="22E2B937" wp14:editId="6EE82AE0">
            <wp:extent cx="5806440" cy="1935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ture.png"/>
                    <pic:cNvPicPr/>
                  </pic:nvPicPr>
                  <pic:blipFill>
                    <a:blip r:embed="rId9"/>
                    <a:stretch>
                      <a:fillRect/>
                    </a:stretch>
                  </pic:blipFill>
                  <pic:spPr>
                    <a:xfrm>
                      <a:off x="0" y="0"/>
                      <a:ext cx="5806440" cy="1935480"/>
                    </a:xfrm>
                    <a:prstGeom prst="rect">
                      <a:avLst/>
                    </a:prstGeom>
                  </pic:spPr>
                </pic:pic>
              </a:graphicData>
            </a:graphic>
          </wp:inline>
        </w:drawing>
      </w:r>
    </w:p>
    <w:p w14:paraId="3CE86208" w14:textId="77777777" w:rsidR="001A4644" w:rsidRDefault="00165985">
      <w:pPr>
        <w:spacing w:after="160" w:line="300" w:lineRule="auto"/>
        <w:jc w:val="center"/>
      </w:pPr>
      <w:r>
        <w:rPr>
          <w:i/>
          <w:color w:val="5B677A"/>
          <w:sz w:val="18"/>
        </w:rPr>
        <w:t>Figure 2 - Proposed Microsoft-first production architecture (not implemented)</w:t>
      </w:r>
    </w:p>
    <w:p w14:paraId="3A059C68" w14:textId="77777777" w:rsidR="001A4644" w:rsidRDefault="00165985">
      <w:pPr>
        <w:pStyle w:val="Heading1"/>
        <w:spacing w:before="320" w:after="120"/>
      </w:pPr>
      <w:r>
        <w:rPr>
          <w:rFonts w:ascii="Calibri" w:hAnsi="Calibri"/>
          <w:color w:val="2E74B5"/>
          <w:sz w:val="32"/>
        </w:rPr>
        <w:t>8. Deployment and settings persistence</w:t>
      </w:r>
    </w:p>
    <w:p w14:paraId="044E10E9" w14:textId="77777777" w:rsidR="001A4644" w:rsidRDefault="00165985">
      <w:pPr>
        <w:spacing w:after="120" w:line="300" w:lineRule="auto"/>
      </w:pPr>
      <w:r>
        <w:rPr>
          <w:sz w:val="22"/>
        </w:rPr>
        <w:t>Normal users and presenters access https://oneflow.highrulez.com. The public path is Cloudflare DNS and HTTPS, reverse proxy, OneFlow Docker and the Next.js application. Internal network values, credentials and host names are not part of normal user instructions.</w:t>
      </w:r>
    </w:p>
    <w:p w14:paraId="41EB66ED" w14:textId="77777777" w:rsidR="001A4644" w:rsidRDefault="00165985">
      <w:pPr>
        <w:jc w:val="center"/>
      </w:pPr>
      <w:r>
        <w:rPr>
          <w:noProof/>
        </w:rPr>
        <w:drawing>
          <wp:inline distT="0" distB="0" distL="0" distR="0" wp14:anchorId="5BC1C08B" wp14:editId="3304875D">
            <wp:extent cx="5806440" cy="19354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10"/>
                    <a:stretch>
                      <a:fillRect/>
                    </a:stretch>
                  </pic:blipFill>
                  <pic:spPr>
                    <a:xfrm>
                      <a:off x="0" y="0"/>
                      <a:ext cx="5806440" cy="1935480"/>
                    </a:xfrm>
                    <a:prstGeom prst="rect">
                      <a:avLst/>
                    </a:prstGeom>
                  </pic:spPr>
                </pic:pic>
              </a:graphicData>
            </a:graphic>
          </wp:inline>
        </w:drawing>
      </w:r>
    </w:p>
    <w:p w14:paraId="7ED87958" w14:textId="77777777" w:rsidR="001A4644" w:rsidRDefault="00165985">
      <w:pPr>
        <w:spacing w:after="160" w:line="300" w:lineRule="auto"/>
        <w:jc w:val="center"/>
      </w:pPr>
      <w:r>
        <w:rPr>
          <w:i/>
          <w:color w:val="5B677A"/>
          <w:sz w:val="18"/>
        </w:rPr>
        <w:t>Figure 3 - Public hackathon demo access path</w:t>
      </w:r>
    </w:p>
    <w:p w14:paraId="51B430B6" w14:textId="77777777" w:rsidR="001A4644" w:rsidRDefault="00165985">
      <w:pPr>
        <w:spacing w:after="120" w:line="300" w:lineRule="auto"/>
      </w:pPr>
      <w:r>
        <w:rPr>
          <w:sz w:val="22"/>
        </w:rPr>
        <w:t>Administrator-configurable email settings and recipient mappings are persisted through OneFlow Settings. In Docker deployment, the settings file is stored at /volume1/docker/oneflow/data/email-settings.json on the host and mounted as /app/data/email-settings.json in the container. Do not manage recipient mappings through .env as a normal administrative workflow.</w:t>
      </w:r>
    </w:p>
    <w:p w14:paraId="08BD86D2" w14:textId="77777777" w:rsidR="001A4644" w:rsidRDefault="00165985">
      <w:pPr>
        <w:pStyle w:val="Heading1"/>
        <w:spacing w:before="320" w:after="120"/>
      </w:pPr>
      <w:r>
        <w:rPr>
          <w:rFonts w:ascii="Calibri" w:hAnsi="Calibri"/>
          <w:color w:val="2E74B5"/>
          <w:sz w:val="32"/>
        </w:rPr>
        <w:lastRenderedPageBreak/>
        <w:t>9. Benefits and solution assessment</w:t>
      </w:r>
    </w:p>
    <w:tbl>
      <w:tblPr>
        <w:tblStyle w:val="TableGrid"/>
        <w:tblW w:w="0" w:type="auto"/>
        <w:jc w:val="center"/>
        <w:tblLayout w:type="fixed"/>
        <w:tblLook w:val="04A0" w:firstRow="1" w:lastRow="0" w:firstColumn="1" w:lastColumn="0" w:noHBand="0" w:noVBand="1"/>
      </w:tblPr>
      <w:tblGrid>
        <w:gridCol w:w="1500"/>
        <w:gridCol w:w="4200"/>
        <w:gridCol w:w="3660"/>
      </w:tblGrid>
      <w:tr w:rsidR="001A4644" w14:paraId="507BC5B3" w14:textId="77777777">
        <w:trPr>
          <w:jc w:val="center"/>
        </w:trPr>
        <w:tc>
          <w:tcPr>
            <w:tcW w:w="1500" w:type="dxa"/>
            <w:shd w:val="clear" w:color="auto" w:fill="E8EEF5"/>
            <w:vAlign w:val="center"/>
          </w:tcPr>
          <w:p w14:paraId="69E9CB74" w14:textId="77777777" w:rsidR="001A4644" w:rsidRDefault="00165985">
            <w:r>
              <w:rPr>
                <w:b/>
                <w:color w:val="0B2545"/>
                <w:sz w:val="19"/>
              </w:rPr>
              <w:t>Audience</w:t>
            </w:r>
          </w:p>
        </w:tc>
        <w:tc>
          <w:tcPr>
            <w:tcW w:w="4200" w:type="dxa"/>
            <w:shd w:val="clear" w:color="auto" w:fill="E8EEF5"/>
            <w:vAlign w:val="center"/>
          </w:tcPr>
          <w:p w14:paraId="492EFE93" w14:textId="77777777" w:rsidR="001A4644" w:rsidRDefault="00165985">
            <w:r>
              <w:rPr>
                <w:b/>
                <w:color w:val="0B2545"/>
                <w:sz w:val="19"/>
              </w:rPr>
              <w:t>OneFlow capability</w:t>
            </w:r>
          </w:p>
        </w:tc>
        <w:tc>
          <w:tcPr>
            <w:tcW w:w="3660" w:type="dxa"/>
            <w:shd w:val="clear" w:color="auto" w:fill="E8EEF5"/>
            <w:vAlign w:val="center"/>
          </w:tcPr>
          <w:p w14:paraId="2AE93AA6" w14:textId="77777777" w:rsidR="001A4644" w:rsidRDefault="00165985">
            <w:r>
              <w:rPr>
                <w:b/>
                <w:color w:val="0B2545"/>
                <w:sz w:val="19"/>
              </w:rPr>
              <w:t>Benefit</w:t>
            </w:r>
          </w:p>
        </w:tc>
      </w:tr>
      <w:tr w:rsidR="001A4644" w14:paraId="79A0822B" w14:textId="77777777">
        <w:trPr>
          <w:jc w:val="center"/>
        </w:trPr>
        <w:tc>
          <w:tcPr>
            <w:tcW w:w="1500" w:type="dxa"/>
            <w:vAlign w:val="center"/>
          </w:tcPr>
          <w:p w14:paraId="375C443C" w14:textId="77777777" w:rsidR="001A4644" w:rsidRDefault="00165985">
            <w:pPr>
              <w:spacing w:after="20"/>
            </w:pPr>
            <w:r>
              <w:rPr>
                <w:sz w:val="19"/>
              </w:rPr>
              <w:t>HR</w:t>
            </w:r>
          </w:p>
        </w:tc>
        <w:tc>
          <w:tcPr>
            <w:tcW w:w="4200" w:type="dxa"/>
            <w:vAlign w:val="center"/>
          </w:tcPr>
          <w:p w14:paraId="69B29453" w14:textId="77777777" w:rsidR="001A4644" w:rsidRDefault="00165985">
            <w:pPr>
              <w:spacing w:after="20"/>
            </w:pPr>
            <w:r>
              <w:rPr>
                <w:sz w:val="19"/>
              </w:rPr>
              <w:t>Central cases, ownership and escalation visibility</w:t>
            </w:r>
          </w:p>
        </w:tc>
        <w:tc>
          <w:tcPr>
            <w:tcW w:w="3660" w:type="dxa"/>
            <w:vAlign w:val="center"/>
          </w:tcPr>
          <w:p w14:paraId="02F12EE4" w14:textId="77777777" w:rsidR="001A4644" w:rsidRDefault="00165985">
            <w:pPr>
              <w:spacing w:after="20"/>
            </w:pPr>
            <w:r>
              <w:rPr>
                <w:sz w:val="19"/>
              </w:rPr>
              <w:t>Less manual follow-up</w:t>
            </w:r>
          </w:p>
        </w:tc>
      </w:tr>
      <w:tr w:rsidR="001A4644" w14:paraId="71849367" w14:textId="77777777">
        <w:trPr>
          <w:jc w:val="center"/>
        </w:trPr>
        <w:tc>
          <w:tcPr>
            <w:tcW w:w="1500" w:type="dxa"/>
            <w:vAlign w:val="center"/>
          </w:tcPr>
          <w:p w14:paraId="1DAEA54F" w14:textId="77777777" w:rsidR="001A4644" w:rsidRDefault="00165985">
            <w:pPr>
              <w:spacing w:after="20"/>
            </w:pPr>
            <w:r>
              <w:rPr>
                <w:sz w:val="19"/>
              </w:rPr>
              <w:t>IT</w:t>
            </w:r>
          </w:p>
        </w:tc>
        <w:tc>
          <w:tcPr>
            <w:tcW w:w="4200" w:type="dxa"/>
            <w:vAlign w:val="center"/>
          </w:tcPr>
          <w:p w14:paraId="500891A7" w14:textId="77777777" w:rsidR="001A4644" w:rsidRDefault="00165985">
            <w:pPr>
              <w:spacing w:after="20"/>
            </w:pPr>
            <w:r>
              <w:rPr>
                <w:sz w:val="19"/>
              </w:rPr>
              <w:t>Readiness and access/device responsibility tracking</w:t>
            </w:r>
          </w:p>
        </w:tc>
        <w:tc>
          <w:tcPr>
            <w:tcW w:w="3660" w:type="dxa"/>
            <w:vAlign w:val="center"/>
          </w:tcPr>
          <w:p w14:paraId="73C89838" w14:textId="77777777" w:rsidR="001A4644" w:rsidRDefault="00165985">
            <w:pPr>
              <w:spacing w:after="20"/>
            </w:pPr>
            <w:r>
              <w:rPr>
                <w:sz w:val="19"/>
              </w:rPr>
              <w:t>Earlier preparation and clearer offboarding controls</w:t>
            </w:r>
          </w:p>
        </w:tc>
      </w:tr>
      <w:tr w:rsidR="001A4644" w14:paraId="69008812" w14:textId="77777777">
        <w:trPr>
          <w:jc w:val="center"/>
        </w:trPr>
        <w:tc>
          <w:tcPr>
            <w:tcW w:w="1500" w:type="dxa"/>
            <w:vAlign w:val="center"/>
          </w:tcPr>
          <w:p w14:paraId="0617C863" w14:textId="77777777" w:rsidR="001A4644" w:rsidRDefault="00165985">
            <w:pPr>
              <w:spacing w:after="20"/>
            </w:pPr>
            <w:r>
              <w:rPr>
                <w:sz w:val="19"/>
              </w:rPr>
              <w:t>Managers</w:t>
            </w:r>
          </w:p>
        </w:tc>
        <w:tc>
          <w:tcPr>
            <w:tcW w:w="4200" w:type="dxa"/>
            <w:vAlign w:val="center"/>
          </w:tcPr>
          <w:p w14:paraId="596F3C14" w14:textId="77777777" w:rsidR="001A4644" w:rsidRDefault="00165985">
            <w:pPr>
              <w:spacing w:after="20"/>
            </w:pPr>
            <w:r>
              <w:rPr>
                <w:sz w:val="19"/>
              </w:rPr>
              <w:t>Lifecycle progress and assigned actions</w:t>
            </w:r>
          </w:p>
        </w:tc>
        <w:tc>
          <w:tcPr>
            <w:tcW w:w="3660" w:type="dxa"/>
            <w:vAlign w:val="center"/>
          </w:tcPr>
          <w:p w14:paraId="1B60BB5C" w14:textId="77777777" w:rsidR="001A4644" w:rsidRDefault="00165985">
            <w:pPr>
              <w:spacing w:after="20"/>
            </w:pPr>
            <w:r>
              <w:rPr>
                <w:sz w:val="19"/>
              </w:rPr>
              <w:t>Clear responsibilities and readiness visibility</w:t>
            </w:r>
          </w:p>
        </w:tc>
      </w:tr>
      <w:tr w:rsidR="001A4644" w14:paraId="41124237" w14:textId="77777777">
        <w:trPr>
          <w:jc w:val="center"/>
        </w:trPr>
        <w:tc>
          <w:tcPr>
            <w:tcW w:w="1500" w:type="dxa"/>
            <w:vAlign w:val="center"/>
          </w:tcPr>
          <w:p w14:paraId="5470F799" w14:textId="77777777" w:rsidR="001A4644" w:rsidRDefault="00165985">
            <w:pPr>
              <w:spacing w:after="20"/>
            </w:pPr>
            <w:r>
              <w:rPr>
                <w:sz w:val="19"/>
              </w:rPr>
              <w:t>Employees</w:t>
            </w:r>
          </w:p>
        </w:tc>
        <w:tc>
          <w:tcPr>
            <w:tcW w:w="4200" w:type="dxa"/>
            <w:vAlign w:val="center"/>
          </w:tcPr>
          <w:p w14:paraId="0CD7995A" w14:textId="77777777" w:rsidR="001A4644" w:rsidRDefault="00165985">
            <w:pPr>
              <w:spacing w:after="20"/>
            </w:pPr>
            <w:r>
              <w:rPr>
                <w:sz w:val="19"/>
              </w:rPr>
              <w:t>Tasks, forms, messages and profile in one place</w:t>
            </w:r>
          </w:p>
        </w:tc>
        <w:tc>
          <w:tcPr>
            <w:tcW w:w="3660" w:type="dxa"/>
            <w:vAlign w:val="center"/>
          </w:tcPr>
          <w:p w14:paraId="4622D355" w14:textId="77777777" w:rsidR="001A4644" w:rsidRDefault="00165985">
            <w:pPr>
              <w:spacing w:after="20"/>
            </w:pPr>
            <w:r>
              <w:rPr>
                <w:sz w:val="19"/>
              </w:rPr>
              <w:t>A clearer Day 1 and exit experience</w:t>
            </w:r>
          </w:p>
        </w:tc>
      </w:tr>
      <w:tr w:rsidR="001A4644" w14:paraId="77C313ED" w14:textId="77777777">
        <w:trPr>
          <w:jc w:val="center"/>
        </w:trPr>
        <w:tc>
          <w:tcPr>
            <w:tcW w:w="1500" w:type="dxa"/>
            <w:vAlign w:val="center"/>
          </w:tcPr>
          <w:p w14:paraId="748305C1" w14:textId="77777777" w:rsidR="001A4644" w:rsidRDefault="00165985">
            <w:pPr>
              <w:spacing w:after="20"/>
            </w:pPr>
            <w:r>
              <w:rPr>
                <w:sz w:val="19"/>
              </w:rPr>
              <w:t>Management</w:t>
            </w:r>
          </w:p>
        </w:tc>
        <w:tc>
          <w:tcPr>
            <w:tcW w:w="4200" w:type="dxa"/>
            <w:vAlign w:val="center"/>
          </w:tcPr>
          <w:p w14:paraId="6180ABC8" w14:textId="77777777" w:rsidR="001A4644" w:rsidRDefault="00165985">
            <w:pPr>
              <w:spacing w:after="20"/>
            </w:pPr>
            <w:r>
              <w:rPr>
                <w:sz w:val="19"/>
              </w:rPr>
              <w:t>Lifecycle and bottleneck reporting</w:t>
            </w:r>
          </w:p>
        </w:tc>
        <w:tc>
          <w:tcPr>
            <w:tcW w:w="3660" w:type="dxa"/>
            <w:vAlign w:val="center"/>
          </w:tcPr>
          <w:p w14:paraId="204AFC70" w14:textId="77777777" w:rsidR="001A4644" w:rsidRDefault="00165985">
            <w:pPr>
              <w:spacing w:after="20"/>
            </w:pPr>
            <w:r>
              <w:rPr>
                <w:sz w:val="19"/>
              </w:rPr>
              <w:t>Better operational review and risk visibility</w:t>
            </w:r>
          </w:p>
        </w:tc>
      </w:tr>
    </w:tbl>
    <w:p w14:paraId="11E050A1" w14:textId="77777777" w:rsidR="001A4644" w:rsidRDefault="001A4644">
      <w:pPr>
        <w:spacing w:after="40"/>
      </w:pPr>
    </w:p>
    <w:p w14:paraId="6581E8C2" w14:textId="77777777" w:rsidR="001A4644" w:rsidRDefault="00165985">
      <w:pPr>
        <w:spacing w:after="120" w:line="300" w:lineRule="auto"/>
      </w:pPr>
      <w:r>
        <w:rPr>
          <w:sz w:val="22"/>
        </w:rPr>
        <w:t>Did OneFlow solve the challenge? The prototype demonstrates a credible orchestration response: it makes ownership, lifecycle progress and employee-facing actions visible. Production adoption still requires approved HR integration, enterprise identity, durable data, Microsoft 365 delivery, security review and operational monitoring.</w:t>
      </w:r>
    </w:p>
    <w:p w14:paraId="43CB4420" w14:textId="77777777" w:rsidR="001A4644" w:rsidRDefault="00165985">
      <w:pPr>
        <w:pStyle w:val="Heading1"/>
        <w:spacing w:before="320" w:after="120"/>
      </w:pPr>
      <w:r>
        <w:rPr>
          <w:rFonts w:ascii="Calibri" w:hAnsi="Calibri"/>
          <w:color w:val="2E74B5"/>
          <w:sz w:val="32"/>
        </w:rPr>
        <w:t>10. 5-10 minute demo guide</w:t>
      </w:r>
    </w:p>
    <w:p w14:paraId="68015DCF" w14:textId="77777777" w:rsidR="001A4644" w:rsidRDefault="00165985">
      <w:pPr>
        <w:pStyle w:val="ListNumber"/>
        <w:spacing w:after="80" w:line="288" w:lineRule="auto"/>
      </w:pPr>
      <w:r>
        <w:t>Open https://oneflow.highrulez.com and introduce OneFlow as the orchestration layer, not a Workday replacement.</w:t>
      </w:r>
    </w:p>
    <w:p w14:paraId="1778B467" w14:textId="77777777" w:rsidR="001A4644" w:rsidRDefault="00165985">
      <w:pPr>
        <w:pStyle w:val="ListNumber"/>
        <w:spacing w:after="80" w:line="288" w:lineRule="auto"/>
      </w:pPr>
      <w:r>
        <w:t>Use OneFlow Admin to show lifecycle KPIs, needs attention and the navigation to Employees and Lifecycle Cases.</w:t>
      </w:r>
    </w:p>
    <w:p w14:paraId="0CADA3F8" w14:textId="77777777" w:rsidR="001A4644" w:rsidRDefault="00165985">
      <w:pPr>
        <w:pStyle w:val="ListNumber"/>
        <w:spacing w:after="80" w:line="288" w:lineRule="auto"/>
      </w:pPr>
      <w:r>
        <w:t>Open the Nabila onboarding case and show readiness, assigned work, forms and notifications.</w:t>
      </w:r>
    </w:p>
    <w:p w14:paraId="7C781EAE" w14:textId="77777777" w:rsidR="001A4644" w:rsidRDefault="00165985">
      <w:pPr>
        <w:pStyle w:val="ListNumber"/>
        <w:spacing w:after="80" w:line="288" w:lineRule="auto"/>
      </w:pPr>
      <w:r>
        <w:t>Switch to Nabila to show My Onboarding, My Tasks, My Inbox, My Forms and My Profile.</w:t>
      </w:r>
    </w:p>
    <w:p w14:paraId="273E0541" w14:textId="77777777" w:rsidR="001A4644" w:rsidRDefault="00165985">
      <w:pPr>
        <w:pStyle w:val="ListNumber"/>
        <w:spacing w:after="80" w:line="288" w:lineRule="auto"/>
      </w:pPr>
      <w:r>
        <w:t>Switch to Hamdan to show the offboarding and exit-clearance experience.</w:t>
      </w:r>
    </w:p>
    <w:p w14:paraId="115C54D3" w14:textId="77777777" w:rsidR="001A4644" w:rsidRDefault="00165985">
      <w:pPr>
        <w:pStyle w:val="ListNumber"/>
        <w:spacing w:after="80" w:line="288" w:lineRule="auto"/>
      </w:pPr>
      <w:r>
        <w:t>Use an operational role such as IT Security to distinguish its dashboard summary from My Tasks as the working queue.</w:t>
      </w:r>
    </w:p>
    <w:p w14:paraId="1E2EDDB3" w14:textId="77777777" w:rsidR="001A4644" w:rsidRDefault="00165985">
      <w:pPr>
        <w:pStyle w:val="ListNumber"/>
        <w:spacing w:after="80" w:line="288" w:lineRule="auto"/>
      </w:pPr>
      <w:r>
        <w:t>Show Settings and Email Delivery. Explain recipient mappings, server-side credentials and Send Test Email.</w:t>
      </w:r>
    </w:p>
    <w:p w14:paraId="06FBD49A" w14:textId="77777777" w:rsidR="001A4644" w:rsidRDefault="00165985">
      <w:pPr>
        <w:pStyle w:val="ListNumber"/>
        <w:spacing w:after="80" w:line="288" w:lineRule="auto"/>
      </w:pPr>
      <w:r>
        <w:t>Close with Reports and Automation, then explain the Microsoft-first production direction.</w:t>
      </w:r>
    </w:p>
    <w:p w14:paraId="0617D0BF" w14:textId="77777777" w:rsidR="001A4644" w:rsidRDefault="00165985">
      <w:pPr>
        <w:pStyle w:val="Heading1"/>
        <w:spacing w:before="320" w:after="120"/>
      </w:pPr>
      <w:r>
        <w:rPr>
          <w:rFonts w:ascii="Calibri" w:hAnsi="Calibri"/>
          <w:color w:val="2E74B5"/>
          <w:sz w:val="32"/>
        </w:rPr>
        <w:t>11. Security and privacy notes</w:t>
      </w:r>
    </w:p>
    <w:p w14:paraId="5AAFD6B9" w14:textId="77777777" w:rsidR="001A4644" w:rsidRDefault="00165985">
      <w:pPr>
        <w:pStyle w:val="ListBullet"/>
        <w:spacing w:after="60" w:line="288" w:lineRule="auto"/>
      </w:pPr>
      <w:r>
        <w:t>The demo uses synthetic data and demonstration accounts.</w:t>
      </w:r>
    </w:p>
    <w:p w14:paraId="26CD5EE9" w14:textId="77777777" w:rsidR="001A4644" w:rsidRDefault="00165985">
      <w:pPr>
        <w:pStyle w:val="ListBullet"/>
        <w:spacing w:after="60" w:line="288" w:lineRule="auto"/>
      </w:pPr>
      <w:r>
        <w:t>AWS credentials are server-side only; they are not returned to the browser and must not be documented or pasted into the UI.</w:t>
      </w:r>
    </w:p>
    <w:p w14:paraId="2FBED31B" w14:textId="77777777" w:rsidR="001A4644" w:rsidRDefault="00165985">
      <w:pPr>
        <w:pStyle w:val="ListBullet"/>
        <w:spacing w:after="60" w:line="288" w:lineRule="auto"/>
      </w:pPr>
      <w:r>
        <w:t>Recipient mappings use synthetic OneFlow identities and administrator-approved delivery destinations.</w:t>
      </w:r>
    </w:p>
    <w:p w14:paraId="46B59111" w14:textId="77777777" w:rsidR="001A4644" w:rsidRDefault="00165985">
      <w:pPr>
        <w:pStyle w:val="ListBullet"/>
        <w:spacing w:after="60" w:line="288" w:lineRule="auto"/>
      </w:pPr>
      <w:r>
        <w:t>A production implementation requires Entra ID SSO/MFA/RBAC, least privilege, approved secret storage, audit retention, data minimisation and privacy/security review.</w:t>
      </w:r>
    </w:p>
    <w:p w14:paraId="3E8B2659" w14:textId="77777777" w:rsidR="001A4644" w:rsidRDefault="00165985">
      <w:pPr>
        <w:pStyle w:val="Heading1"/>
        <w:spacing w:before="320" w:after="120"/>
      </w:pPr>
      <w:r>
        <w:rPr>
          <w:rFonts w:ascii="Calibri" w:hAnsi="Calibri"/>
          <w:color w:val="2E74B5"/>
          <w:sz w:val="32"/>
        </w:rPr>
        <w:t>12. Cost note</w:t>
      </w:r>
    </w:p>
    <w:p w14:paraId="7B4AF0C1" w14:textId="77777777" w:rsidR="001A4644" w:rsidRDefault="00165985">
      <w:pPr>
        <w:spacing w:after="120" w:line="300" w:lineRule="auto"/>
      </w:pPr>
      <w:r>
        <w:rPr>
          <w:sz w:val="22"/>
        </w:rPr>
        <w:t>Production costs are indicative only and depend on existing Microsoft enterprise agreements, licensing, integration scope and security requirements. Microsoft 365, Outlook/Exchange Online, Power Platform, Dataverse, Azure integration services, Key Vault, monitoring and Workday integration should be assessed through approved PPG architecture and procurement processes. AWS SES is not the recommended production email platform.</w:t>
      </w:r>
    </w:p>
    <w:p w14:paraId="050326CF" w14:textId="77777777" w:rsidR="001A4644" w:rsidRDefault="00165985">
      <w:r>
        <w:lastRenderedPageBreak/>
        <w:br w:type="page"/>
      </w:r>
    </w:p>
    <w:p w14:paraId="64F48F11" w14:textId="77777777" w:rsidR="001A4644" w:rsidRDefault="00165985">
      <w:pPr>
        <w:pStyle w:val="Heading1"/>
        <w:spacing w:before="320" w:after="120"/>
      </w:pPr>
      <w:r>
        <w:rPr>
          <w:rFonts w:ascii="Calibri" w:hAnsi="Calibri"/>
          <w:color w:val="2E74B5"/>
          <w:sz w:val="32"/>
        </w:rPr>
        <w:lastRenderedPageBreak/>
        <w:t>Appendix A. Role operating guide</w:t>
      </w:r>
    </w:p>
    <w:p w14:paraId="15215E0A" w14:textId="77777777" w:rsidR="001A4644" w:rsidRDefault="00165985">
      <w:pPr>
        <w:spacing w:after="120" w:line="300" w:lineRule="auto"/>
      </w:pPr>
      <w:r>
        <w:t>All operational roles use the same pattern: check the role dashboard for priorities, use My Tasks as the working queue, open the relevant lifecycle case for context, then complete only the action permitted for that role. The prototype routes each demo account to its normal role experience.</w:t>
      </w:r>
    </w:p>
    <w:tbl>
      <w:tblPr>
        <w:tblStyle w:val="TableGrid"/>
        <w:tblW w:w="0" w:type="auto"/>
        <w:jc w:val="center"/>
        <w:tblLook w:val="04A0" w:firstRow="1" w:lastRow="0" w:firstColumn="1" w:lastColumn="0" w:noHBand="0" w:noVBand="1"/>
      </w:tblPr>
      <w:tblGrid>
        <w:gridCol w:w="3264"/>
        <w:gridCol w:w="3264"/>
        <w:gridCol w:w="3264"/>
      </w:tblGrid>
      <w:tr w:rsidR="001A4644" w14:paraId="09F6F4B1" w14:textId="77777777">
        <w:trPr>
          <w:jc w:val="center"/>
        </w:trPr>
        <w:tc>
          <w:tcPr>
            <w:tcW w:w="3264" w:type="dxa"/>
            <w:shd w:val="clear" w:color="auto" w:fill="E8EEF5"/>
          </w:tcPr>
          <w:p w14:paraId="3C215776" w14:textId="77777777" w:rsidR="001A4644" w:rsidRDefault="00165985">
            <w:r>
              <w:rPr>
                <w:b/>
                <w:color w:val="0B2545"/>
                <w:sz w:val="19"/>
              </w:rPr>
              <w:t>Role</w:t>
            </w:r>
          </w:p>
        </w:tc>
        <w:tc>
          <w:tcPr>
            <w:tcW w:w="3264" w:type="dxa"/>
            <w:shd w:val="clear" w:color="auto" w:fill="E8EEF5"/>
          </w:tcPr>
          <w:p w14:paraId="66251BB0" w14:textId="77777777" w:rsidR="001A4644" w:rsidRDefault="00165985">
            <w:r>
              <w:rPr>
                <w:b/>
                <w:color w:val="0B2545"/>
                <w:sz w:val="19"/>
              </w:rPr>
              <w:t>Dashboard focus</w:t>
            </w:r>
          </w:p>
        </w:tc>
        <w:tc>
          <w:tcPr>
            <w:tcW w:w="3264" w:type="dxa"/>
            <w:shd w:val="clear" w:color="auto" w:fill="E8EEF5"/>
          </w:tcPr>
          <w:p w14:paraId="38A41644" w14:textId="77777777" w:rsidR="001A4644" w:rsidRDefault="00165985">
            <w:r>
              <w:rPr>
                <w:b/>
                <w:color w:val="0B2545"/>
                <w:sz w:val="19"/>
              </w:rPr>
              <w:t>Typical operational use</w:t>
            </w:r>
          </w:p>
        </w:tc>
      </w:tr>
      <w:tr w:rsidR="001A4644" w14:paraId="29D34479" w14:textId="77777777">
        <w:trPr>
          <w:jc w:val="center"/>
        </w:trPr>
        <w:tc>
          <w:tcPr>
            <w:tcW w:w="3264" w:type="dxa"/>
            <w:vAlign w:val="center"/>
          </w:tcPr>
          <w:p w14:paraId="6215D070" w14:textId="77777777" w:rsidR="001A4644" w:rsidRDefault="00165985">
            <w:r>
              <w:rPr>
                <w:sz w:val="19"/>
              </w:rPr>
              <w:t>OneFlow Admin</w:t>
            </w:r>
          </w:p>
        </w:tc>
        <w:tc>
          <w:tcPr>
            <w:tcW w:w="3264" w:type="dxa"/>
            <w:vAlign w:val="center"/>
          </w:tcPr>
          <w:p w14:paraId="79EA43FB" w14:textId="77777777" w:rsidR="001A4644" w:rsidRDefault="00165985">
            <w:r>
              <w:rPr>
                <w:sz w:val="19"/>
              </w:rPr>
              <w:t>Whole workforce lifecycle, readiness, blocked work and settings</w:t>
            </w:r>
          </w:p>
        </w:tc>
        <w:tc>
          <w:tcPr>
            <w:tcW w:w="3264" w:type="dxa"/>
            <w:vAlign w:val="center"/>
          </w:tcPr>
          <w:p w14:paraId="2B3EF895" w14:textId="77777777" w:rsidR="001A4644" w:rsidRDefault="00165985">
            <w:r>
              <w:rPr>
                <w:sz w:val="19"/>
              </w:rPr>
              <w:t>Monitor cases, reports, templates, notifications, automation and Email Delivery.</w:t>
            </w:r>
          </w:p>
        </w:tc>
      </w:tr>
      <w:tr w:rsidR="001A4644" w14:paraId="3D6662CA" w14:textId="77777777">
        <w:trPr>
          <w:jc w:val="center"/>
        </w:trPr>
        <w:tc>
          <w:tcPr>
            <w:tcW w:w="3264" w:type="dxa"/>
            <w:vAlign w:val="center"/>
          </w:tcPr>
          <w:p w14:paraId="28F68F5B" w14:textId="77777777" w:rsidR="001A4644" w:rsidRDefault="00165985">
            <w:r>
              <w:rPr>
                <w:sz w:val="19"/>
              </w:rPr>
              <w:t>HR</w:t>
            </w:r>
          </w:p>
        </w:tc>
        <w:tc>
          <w:tcPr>
            <w:tcW w:w="3264" w:type="dxa"/>
            <w:vAlign w:val="center"/>
          </w:tcPr>
          <w:p w14:paraId="15E64EC8" w14:textId="77777777" w:rsidR="001A4644" w:rsidRDefault="00165985">
            <w:r>
              <w:rPr>
                <w:sz w:val="19"/>
              </w:rPr>
              <w:t>Onboarding progress and people operations</w:t>
            </w:r>
          </w:p>
        </w:tc>
        <w:tc>
          <w:tcPr>
            <w:tcW w:w="3264" w:type="dxa"/>
            <w:vAlign w:val="center"/>
          </w:tcPr>
          <w:p w14:paraId="3F691564" w14:textId="77777777" w:rsidR="001A4644" w:rsidRDefault="00165985">
            <w:r>
              <w:rPr>
                <w:sz w:val="19"/>
              </w:rPr>
              <w:t>Review lifecycle cases, coordinate HR tasks and follow up on readiness.</w:t>
            </w:r>
          </w:p>
        </w:tc>
      </w:tr>
      <w:tr w:rsidR="001A4644" w14:paraId="72E9116F" w14:textId="77777777">
        <w:trPr>
          <w:jc w:val="center"/>
        </w:trPr>
        <w:tc>
          <w:tcPr>
            <w:tcW w:w="3264" w:type="dxa"/>
            <w:vAlign w:val="center"/>
          </w:tcPr>
          <w:p w14:paraId="1BE8A179" w14:textId="77777777" w:rsidR="001A4644" w:rsidRDefault="00165985">
            <w:r>
              <w:rPr>
                <w:sz w:val="19"/>
              </w:rPr>
              <w:t>IT Security</w:t>
            </w:r>
          </w:p>
        </w:tc>
        <w:tc>
          <w:tcPr>
            <w:tcW w:w="3264" w:type="dxa"/>
            <w:vAlign w:val="center"/>
          </w:tcPr>
          <w:p w14:paraId="46875A60" w14:textId="77777777" w:rsidR="001A4644" w:rsidRDefault="00165985">
            <w:r>
              <w:rPr>
                <w:sz w:val="19"/>
              </w:rPr>
              <w:t>Access and security responsibilities</w:t>
            </w:r>
          </w:p>
        </w:tc>
        <w:tc>
          <w:tcPr>
            <w:tcW w:w="3264" w:type="dxa"/>
            <w:vAlign w:val="center"/>
          </w:tcPr>
          <w:p w14:paraId="51A2F049" w14:textId="77777777" w:rsidR="001A4644" w:rsidRDefault="00165985">
            <w:r>
              <w:rPr>
                <w:sz w:val="19"/>
              </w:rPr>
              <w:t>Review open tasks, active journeys and access-related readiness or removal work.</w:t>
            </w:r>
          </w:p>
        </w:tc>
      </w:tr>
      <w:tr w:rsidR="001A4644" w14:paraId="1CD6891D" w14:textId="77777777">
        <w:trPr>
          <w:jc w:val="center"/>
        </w:trPr>
        <w:tc>
          <w:tcPr>
            <w:tcW w:w="3264" w:type="dxa"/>
            <w:vAlign w:val="center"/>
          </w:tcPr>
          <w:p w14:paraId="724EC542" w14:textId="77777777" w:rsidR="001A4644" w:rsidRDefault="00165985">
            <w:r>
              <w:rPr>
                <w:sz w:val="19"/>
              </w:rPr>
              <w:t>Onsite IT</w:t>
            </w:r>
          </w:p>
        </w:tc>
        <w:tc>
          <w:tcPr>
            <w:tcW w:w="3264" w:type="dxa"/>
            <w:vAlign w:val="center"/>
          </w:tcPr>
          <w:p w14:paraId="52F27195" w14:textId="77777777" w:rsidR="001A4644" w:rsidRDefault="00165985">
            <w:r>
              <w:rPr>
                <w:sz w:val="19"/>
              </w:rPr>
              <w:t>Equipment and onsite technical work</w:t>
            </w:r>
          </w:p>
        </w:tc>
        <w:tc>
          <w:tcPr>
            <w:tcW w:w="3264" w:type="dxa"/>
            <w:vAlign w:val="center"/>
          </w:tcPr>
          <w:p w14:paraId="39FC3DAB" w14:textId="77777777" w:rsidR="001A4644" w:rsidRDefault="00165985">
            <w:r>
              <w:rPr>
                <w:sz w:val="19"/>
              </w:rPr>
              <w:t>Use My Tasks for device, support and handoff actions.</w:t>
            </w:r>
          </w:p>
        </w:tc>
      </w:tr>
      <w:tr w:rsidR="001A4644" w14:paraId="021E153C" w14:textId="77777777">
        <w:trPr>
          <w:jc w:val="center"/>
        </w:trPr>
        <w:tc>
          <w:tcPr>
            <w:tcW w:w="3264" w:type="dxa"/>
            <w:vAlign w:val="center"/>
          </w:tcPr>
          <w:p w14:paraId="6D56D5A7" w14:textId="77777777" w:rsidR="001A4644" w:rsidRDefault="00165985">
            <w:r>
              <w:rPr>
                <w:sz w:val="19"/>
              </w:rPr>
              <w:t>Facilities</w:t>
            </w:r>
          </w:p>
        </w:tc>
        <w:tc>
          <w:tcPr>
            <w:tcW w:w="3264" w:type="dxa"/>
            <w:vAlign w:val="center"/>
          </w:tcPr>
          <w:p w14:paraId="374F69BF" w14:textId="77777777" w:rsidR="001A4644" w:rsidRDefault="00165985">
            <w:r>
              <w:rPr>
                <w:sz w:val="19"/>
              </w:rPr>
              <w:t>Workplace access and facilities tasks</w:t>
            </w:r>
          </w:p>
        </w:tc>
        <w:tc>
          <w:tcPr>
            <w:tcW w:w="3264" w:type="dxa"/>
            <w:vAlign w:val="center"/>
          </w:tcPr>
          <w:p w14:paraId="7C988472" w14:textId="77777777" w:rsidR="001A4644" w:rsidRDefault="00165985">
            <w:r>
              <w:rPr>
                <w:sz w:val="19"/>
              </w:rPr>
              <w:t>Track access-card, parking, building and EHS-related actions.</w:t>
            </w:r>
          </w:p>
        </w:tc>
      </w:tr>
      <w:tr w:rsidR="001A4644" w14:paraId="50E63996" w14:textId="77777777">
        <w:trPr>
          <w:jc w:val="center"/>
        </w:trPr>
        <w:tc>
          <w:tcPr>
            <w:tcW w:w="3264" w:type="dxa"/>
            <w:vAlign w:val="center"/>
          </w:tcPr>
          <w:p w14:paraId="5721502C" w14:textId="77777777" w:rsidR="001A4644" w:rsidRDefault="00165985">
            <w:r>
              <w:rPr>
                <w:sz w:val="19"/>
              </w:rPr>
              <w:t>Finance / Corporate Card</w:t>
            </w:r>
          </w:p>
        </w:tc>
        <w:tc>
          <w:tcPr>
            <w:tcW w:w="3264" w:type="dxa"/>
            <w:vAlign w:val="center"/>
          </w:tcPr>
          <w:p w14:paraId="340D9CBA" w14:textId="77777777" w:rsidR="001A4644" w:rsidRDefault="00165985">
            <w:r>
              <w:rPr>
                <w:sz w:val="19"/>
              </w:rPr>
              <w:t>Financial or card-related actions</w:t>
            </w:r>
          </w:p>
        </w:tc>
        <w:tc>
          <w:tcPr>
            <w:tcW w:w="3264" w:type="dxa"/>
            <w:vAlign w:val="center"/>
          </w:tcPr>
          <w:p w14:paraId="094255E7" w14:textId="77777777" w:rsidR="001A4644" w:rsidRDefault="00165985">
            <w:r>
              <w:rPr>
                <w:sz w:val="19"/>
              </w:rPr>
              <w:t>Review assigned clearance and approval tasks.</w:t>
            </w:r>
          </w:p>
        </w:tc>
      </w:tr>
      <w:tr w:rsidR="001A4644" w14:paraId="3DFAD994" w14:textId="77777777">
        <w:trPr>
          <w:jc w:val="center"/>
        </w:trPr>
        <w:tc>
          <w:tcPr>
            <w:tcW w:w="3264" w:type="dxa"/>
            <w:vAlign w:val="center"/>
          </w:tcPr>
          <w:p w14:paraId="2B3C11F3" w14:textId="77777777" w:rsidR="001A4644" w:rsidRDefault="00165985">
            <w:r>
              <w:rPr>
                <w:sz w:val="19"/>
              </w:rPr>
              <w:t>Hiring Manager</w:t>
            </w:r>
          </w:p>
        </w:tc>
        <w:tc>
          <w:tcPr>
            <w:tcW w:w="3264" w:type="dxa"/>
            <w:vAlign w:val="center"/>
          </w:tcPr>
          <w:p w14:paraId="3A8964AE" w14:textId="77777777" w:rsidR="001A4644" w:rsidRDefault="00165985">
            <w:r>
              <w:rPr>
                <w:sz w:val="19"/>
              </w:rPr>
              <w:t>New-hire preparation and team actions</w:t>
            </w:r>
          </w:p>
        </w:tc>
        <w:tc>
          <w:tcPr>
            <w:tcW w:w="3264" w:type="dxa"/>
            <w:vAlign w:val="center"/>
          </w:tcPr>
          <w:p w14:paraId="43E8330A" w14:textId="77777777" w:rsidR="001A4644" w:rsidRDefault="00165985">
            <w:r>
              <w:rPr>
                <w:sz w:val="19"/>
              </w:rPr>
              <w:t>Review assigned employee journeys and manager tasks.</w:t>
            </w:r>
          </w:p>
        </w:tc>
      </w:tr>
      <w:tr w:rsidR="001A4644" w14:paraId="6C48DA88" w14:textId="77777777">
        <w:trPr>
          <w:jc w:val="center"/>
        </w:trPr>
        <w:tc>
          <w:tcPr>
            <w:tcW w:w="3264" w:type="dxa"/>
            <w:vAlign w:val="center"/>
          </w:tcPr>
          <w:p w14:paraId="5B79DF87" w14:textId="77777777" w:rsidR="001A4644" w:rsidRDefault="00165985">
            <w:r>
              <w:rPr>
                <w:sz w:val="19"/>
              </w:rPr>
              <w:t>Quality / Product Stewardship</w:t>
            </w:r>
          </w:p>
        </w:tc>
        <w:tc>
          <w:tcPr>
            <w:tcW w:w="3264" w:type="dxa"/>
            <w:vAlign w:val="center"/>
          </w:tcPr>
          <w:p w14:paraId="6D8112EF" w14:textId="77777777" w:rsidR="001A4644" w:rsidRDefault="00165985">
            <w:r>
              <w:rPr>
                <w:sz w:val="19"/>
              </w:rPr>
              <w:t>Specialist workflow responsibilities</w:t>
            </w:r>
          </w:p>
        </w:tc>
        <w:tc>
          <w:tcPr>
            <w:tcW w:w="3264" w:type="dxa"/>
            <w:vAlign w:val="center"/>
          </w:tcPr>
          <w:p w14:paraId="0BC05350" w14:textId="77777777" w:rsidR="001A4644" w:rsidRDefault="00165985">
            <w:r>
              <w:rPr>
                <w:sz w:val="19"/>
              </w:rPr>
              <w:t>Use the operational queue for their role-assigned lifecycle work.</w:t>
            </w:r>
          </w:p>
        </w:tc>
      </w:tr>
    </w:tbl>
    <w:p w14:paraId="41F495A2" w14:textId="77777777" w:rsidR="001A4644" w:rsidRDefault="001A4644"/>
    <w:p w14:paraId="5F1D3600" w14:textId="77777777" w:rsidR="001A4644" w:rsidRDefault="00165985">
      <w:pPr>
        <w:pStyle w:val="Heading2"/>
        <w:spacing w:after="120"/>
      </w:pPr>
      <w:r>
        <w:rPr>
          <w:rFonts w:ascii="Calibri" w:hAnsi="Calibri"/>
          <w:color w:val="2E74B5"/>
        </w:rPr>
        <w:t>Working with a task</w:t>
      </w:r>
    </w:p>
    <w:p w14:paraId="7EAD8925" w14:textId="77777777" w:rsidR="001A4644" w:rsidRDefault="00165985">
      <w:pPr>
        <w:pStyle w:val="ListNumber"/>
        <w:spacing w:after="80"/>
      </w:pPr>
      <w:r>
        <w:t>Open My Tasks from the left navigation.</w:t>
      </w:r>
    </w:p>
    <w:p w14:paraId="627346E7" w14:textId="77777777" w:rsidR="001A4644" w:rsidRDefault="00165985">
      <w:pPr>
        <w:pStyle w:val="ListNumber"/>
        <w:spacing w:after="80"/>
      </w:pPr>
      <w:r>
        <w:t>Use the visible task status, due date and responsible-team information to prioritise work.</w:t>
      </w:r>
    </w:p>
    <w:p w14:paraId="7B73EC7F" w14:textId="77777777" w:rsidR="001A4644" w:rsidRDefault="00165985">
      <w:pPr>
        <w:pStyle w:val="ListNumber"/>
        <w:spacing w:after="80"/>
      </w:pPr>
      <w:r>
        <w:t>Open the task or related case to understand the employee and dependency context.</w:t>
      </w:r>
    </w:p>
    <w:p w14:paraId="2944C983" w14:textId="77777777" w:rsidR="001A4644" w:rsidRDefault="00165985">
      <w:pPr>
        <w:pStyle w:val="ListNumber"/>
        <w:spacing w:after="80"/>
      </w:pPr>
      <w:r>
        <w:t>Complete, update or submit the permitted action. Blocked tasks remain subject to their dependencies.</w:t>
      </w:r>
    </w:p>
    <w:p w14:paraId="4EF3665A" w14:textId="77777777" w:rsidR="001A4644" w:rsidRDefault="00165985">
      <w:pPr>
        <w:pStyle w:val="ListNumber"/>
        <w:spacing w:after="80"/>
      </w:pPr>
      <w:r>
        <w:t>Return to the dashboard or case to confirm the operational impact.</w:t>
      </w:r>
    </w:p>
    <w:p w14:paraId="6AAA7AA3" w14:textId="77777777" w:rsidR="001A4644" w:rsidRDefault="00165985">
      <w:r>
        <w:br w:type="page"/>
      </w:r>
    </w:p>
    <w:p w14:paraId="292FA74B" w14:textId="77777777" w:rsidR="001A4644" w:rsidRDefault="00165985">
      <w:pPr>
        <w:pStyle w:val="Heading1"/>
        <w:spacing w:before="320" w:after="120"/>
      </w:pPr>
      <w:r>
        <w:rPr>
          <w:rFonts w:ascii="Calibri" w:hAnsi="Calibri"/>
          <w:color w:val="2E74B5"/>
          <w:sz w:val="32"/>
        </w:rPr>
        <w:lastRenderedPageBreak/>
        <w:t>Appendix B. Detailed administrator guide</w:t>
      </w:r>
    </w:p>
    <w:p w14:paraId="2431A730" w14:textId="77777777" w:rsidR="001A4644" w:rsidRDefault="00165985">
      <w:pPr>
        <w:pStyle w:val="Heading2"/>
        <w:spacing w:after="120"/>
      </w:pPr>
      <w:r>
        <w:rPr>
          <w:rFonts w:ascii="Calibri" w:hAnsi="Calibri"/>
          <w:color w:val="2E74B5"/>
        </w:rPr>
        <w:t>Lifecycle monitoring</w:t>
      </w:r>
    </w:p>
    <w:p w14:paraId="1FE7A618" w14:textId="77777777" w:rsidR="001A4644" w:rsidRDefault="00165985">
      <w:pPr>
        <w:spacing w:after="120" w:line="300" w:lineRule="auto"/>
      </w:pPr>
      <w:r>
        <w:t>OneFlow Admin starts from the overview and uses Employees and Lifecycle Cases to move from a portfolio view to an individual onboarding or offboarding case. The administrator can inspect task completion, blockers, activity history, responsible teams, forms and notifications. The purpose is coordination and visibility; source HR records remain the responsibility of Workday in production.</w:t>
      </w:r>
    </w:p>
    <w:p w14:paraId="14DBAF67" w14:textId="77777777" w:rsidR="001A4644" w:rsidRDefault="00165985">
      <w:pPr>
        <w:pStyle w:val="Heading2"/>
        <w:spacing w:after="120"/>
      </w:pPr>
      <w:r>
        <w:rPr>
          <w:rFonts w:ascii="Calibri" w:hAnsi="Calibri"/>
          <w:color w:val="2E74B5"/>
        </w:rPr>
        <w:t>Templates and settings</w:t>
      </w:r>
    </w:p>
    <w:p w14:paraId="4AE4BD3D" w14:textId="77777777" w:rsidR="001A4644" w:rsidRDefault="00165985">
      <w:pPr>
        <w:spacing w:after="120" w:line="300" w:lineRule="auto"/>
      </w:pPr>
      <w:r>
        <w:t>Where the current interface exposes checklist or exit-clearance templates, administrators use these areas to maintain the prototype workflow structure. Settings contains grouped administrative configuration. Reset-demo controls, where displayed, restore synthetic cases, tasks, emails and runs for repeatable demonstrations.</w:t>
      </w:r>
    </w:p>
    <w:p w14:paraId="443C9730" w14:textId="77777777" w:rsidR="001A4644" w:rsidRDefault="00165985">
      <w:pPr>
        <w:pStyle w:val="Heading2"/>
        <w:spacing w:after="120"/>
      </w:pPr>
      <w:r>
        <w:rPr>
          <w:rFonts w:ascii="Calibri" w:hAnsi="Calibri"/>
          <w:color w:val="2E74B5"/>
        </w:rPr>
        <w:t>Notifications and automation</w:t>
      </w:r>
    </w:p>
    <w:p w14:paraId="6380F7F5" w14:textId="77777777" w:rsidR="001A4644" w:rsidRDefault="00165985">
      <w:pPr>
        <w:spacing w:after="120" w:line="300" w:lineRule="auto"/>
      </w:pPr>
      <w:r>
        <w:t>Mock Inbox is the in-app audit channel for prototype notifications. Automation Runs shows generated lifecycle automation activity and simulated execution status. These views demonstrate traceability but do not claim an implemented enterprise Power Automate integration.</w:t>
      </w:r>
    </w:p>
    <w:p w14:paraId="65B564F1" w14:textId="77777777" w:rsidR="001A4644" w:rsidRDefault="00165985">
      <w:pPr>
        <w:pStyle w:val="Heading2"/>
        <w:spacing w:after="120"/>
      </w:pPr>
      <w:r>
        <w:rPr>
          <w:rFonts w:ascii="Calibri" w:hAnsi="Calibri"/>
          <w:color w:val="2E74B5"/>
        </w:rPr>
        <w:t>Administrator daily review checklist</w:t>
      </w:r>
    </w:p>
    <w:p w14:paraId="7AEE63D0" w14:textId="77777777" w:rsidR="001A4644" w:rsidRDefault="00165985">
      <w:pPr>
        <w:pStyle w:val="ListBullet"/>
        <w:spacing w:after="60"/>
      </w:pPr>
      <w:r>
        <w:t>Review lifecycle counts and items needing attention.</w:t>
      </w:r>
    </w:p>
    <w:p w14:paraId="267822D7" w14:textId="77777777" w:rsidR="001A4644" w:rsidRDefault="00165985">
      <w:pPr>
        <w:pStyle w:val="ListBullet"/>
        <w:spacing w:after="60"/>
      </w:pPr>
      <w:r>
        <w:t>Open overdue or blocked tasks and identify the responsible team.</w:t>
      </w:r>
    </w:p>
    <w:p w14:paraId="69DD6ABE" w14:textId="77777777" w:rsidR="001A4644" w:rsidRDefault="00165985">
      <w:pPr>
        <w:pStyle w:val="ListBullet"/>
        <w:spacing w:after="60"/>
      </w:pPr>
      <w:r>
        <w:t>Review upcoming joiners or leavers and readiness/clearance progress.</w:t>
      </w:r>
    </w:p>
    <w:p w14:paraId="6E54F6A7" w14:textId="77777777" w:rsidR="001A4644" w:rsidRDefault="00165985">
      <w:pPr>
        <w:pStyle w:val="ListBullet"/>
        <w:spacing w:after="60"/>
      </w:pPr>
      <w:r>
        <w:t>Use My Tasks for any work assigned to the administrator.</w:t>
      </w:r>
    </w:p>
    <w:p w14:paraId="4C8759A1" w14:textId="77777777" w:rsidR="001A4644" w:rsidRDefault="00165985">
      <w:pPr>
        <w:pStyle w:val="ListBullet"/>
        <w:spacing w:after="60"/>
      </w:pPr>
      <w:r>
        <w:t>Review Mock Inbox and Automation when demonstrating notifications or orchestration.</w:t>
      </w:r>
    </w:p>
    <w:p w14:paraId="7F866427" w14:textId="77777777" w:rsidR="001A4644" w:rsidRDefault="00165985">
      <w:pPr>
        <w:pStyle w:val="ListBullet"/>
        <w:spacing w:after="60"/>
      </w:pPr>
      <w:r>
        <w:t>Use Email Delivery only for authorised test delivery and recipient mapping maintenance.</w:t>
      </w:r>
    </w:p>
    <w:p w14:paraId="61BD373C" w14:textId="77777777" w:rsidR="001A4644" w:rsidRDefault="00165985">
      <w:r>
        <w:br w:type="page"/>
      </w:r>
    </w:p>
    <w:p w14:paraId="32FCD76F" w14:textId="77777777" w:rsidR="001A4644" w:rsidRDefault="00165985">
      <w:pPr>
        <w:pStyle w:val="Heading1"/>
        <w:spacing w:before="320" w:after="120"/>
      </w:pPr>
      <w:r>
        <w:rPr>
          <w:rFonts w:ascii="Calibri" w:hAnsi="Calibri"/>
          <w:color w:val="2E74B5"/>
          <w:sz w:val="32"/>
        </w:rPr>
        <w:lastRenderedPageBreak/>
        <w:t>Appendix C. End-to-end lifecycle walkthroughs</w:t>
      </w:r>
    </w:p>
    <w:p w14:paraId="28E1809D" w14:textId="77777777" w:rsidR="001A4644" w:rsidRDefault="00165985">
      <w:pPr>
        <w:pStyle w:val="Heading2"/>
        <w:spacing w:after="120"/>
      </w:pPr>
      <w:r>
        <w:rPr>
          <w:rFonts w:ascii="Calibri" w:hAnsi="Calibri"/>
          <w:color w:val="2E74B5"/>
        </w:rPr>
        <w:t>Onboarding walkthrough: Aziz, Nabila</w:t>
      </w:r>
    </w:p>
    <w:p w14:paraId="6E0FBEDB" w14:textId="77777777" w:rsidR="001A4644" w:rsidRDefault="00165985">
      <w:pPr>
        <w:pStyle w:val="ListNumber"/>
        <w:spacing w:after="80"/>
      </w:pPr>
      <w:r>
        <w:t>Use OneFlow Admin to locate Aziz, Nabila in Employees or Lifecycle Cases.</w:t>
      </w:r>
    </w:p>
    <w:p w14:paraId="6D19BDC2" w14:textId="77777777" w:rsidR="001A4644" w:rsidRDefault="00165985">
      <w:pPr>
        <w:pStyle w:val="ListNumber"/>
        <w:spacing w:after="80"/>
      </w:pPr>
      <w:r>
        <w:t>Open the onboarding case to show cross-functional ownership, progress and readiness context.</w:t>
      </w:r>
    </w:p>
    <w:p w14:paraId="0F91B264" w14:textId="77777777" w:rsidR="001A4644" w:rsidRDefault="00165985">
      <w:pPr>
        <w:pStyle w:val="ListNumber"/>
        <w:spacing w:after="80"/>
      </w:pPr>
      <w:r>
        <w:t>Switch to the Nabila quick-login card.</w:t>
      </w:r>
    </w:p>
    <w:p w14:paraId="637563FE" w14:textId="77777777" w:rsidR="001A4644" w:rsidRDefault="00165985">
      <w:pPr>
        <w:pStyle w:val="ListNumber"/>
        <w:spacing w:after="80"/>
      </w:pPr>
      <w:r>
        <w:t>Open My Onboarding to show countdown, Day 1 readiness, next action and remaining actions.</w:t>
      </w:r>
    </w:p>
    <w:p w14:paraId="2989F3EC" w14:textId="77777777" w:rsidR="001A4644" w:rsidRDefault="00165985">
      <w:pPr>
        <w:pStyle w:val="ListNumber"/>
        <w:spacing w:after="80"/>
      </w:pPr>
      <w:r>
        <w:t>Open My Tasks, My Inbox, My Forms and My Profile to show the employee-facing work surface.</w:t>
      </w:r>
    </w:p>
    <w:p w14:paraId="2C5F66BF" w14:textId="77777777" w:rsidR="001A4644" w:rsidRDefault="00165985">
      <w:pPr>
        <w:pStyle w:val="ListNumber"/>
        <w:spacing w:after="80"/>
      </w:pPr>
      <w:r>
        <w:t>Return to an operational role to show how the employee journey and the team queue represent the same lifecycle event from different perspectives.</w:t>
      </w:r>
    </w:p>
    <w:p w14:paraId="62F58833" w14:textId="77777777" w:rsidR="001A4644" w:rsidRDefault="00165985">
      <w:pPr>
        <w:pStyle w:val="Heading2"/>
        <w:spacing w:after="120"/>
      </w:pPr>
      <w:r>
        <w:rPr>
          <w:rFonts w:ascii="Calibri" w:hAnsi="Calibri"/>
          <w:color w:val="2E74B5"/>
        </w:rPr>
        <w:t>Offboarding walkthrough: Hamdan, Muhamad Asyraf Naqiyuddin</w:t>
      </w:r>
    </w:p>
    <w:p w14:paraId="0076EC11" w14:textId="77777777" w:rsidR="001A4644" w:rsidRDefault="00165985">
      <w:pPr>
        <w:pStyle w:val="ListNumber"/>
        <w:spacing w:after="80"/>
      </w:pPr>
      <w:r>
        <w:t>Use OneFlow Admin to locate Hamdan and open the offboarding or lifecycle case.</w:t>
      </w:r>
    </w:p>
    <w:p w14:paraId="6D4AEBFD" w14:textId="77777777" w:rsidR="001A4644" w:rsidRDefault="00165985">
      <w:pPr>
        <w:pStyle w:val="ListNumber"/>
        <w:spacing w:after="80"/>
      </w:pPr>
      <w:r>
        <w:t>Show clearance progress, responsible team actions and any outstanding work.</w:t>
      </w:r>
    </w:p>
    <w:p w14:paraId="6E4C425E" w14:textId="77777777" w:rsidR="001A4644" w:rsidRDefault="00165985">
      <w:pPr>
        <w:pStyle w:val="ListNumber"/>
        <w:spacing w:after="80"/>
      </w:pPr>
      <w:r>
        <w:t>Switch to Hamdan’s quick-login card.</w:t>
      </w:r>
    </w:p>
    <w:p w14:paraId="7E9B0675" w14:textId="77777777" w:rsidR="001A4644" w:rsidRDefault="00165985">
      <w:pPr>
        <w:pStyle w:val="ListNumber"/>
        <w:spacing w:after="80"/>
      </w:pPr>
      <w:r>
        <w:t>Open My Offboarding to show employee exit progress, actions, forms and messages.</w:t>
      </w:r>
    </w:p>
    <w:p w14:paraId="1C53AF84" w14:textId="77777777" w:rsidR="001A4644" w:rsidRDefault="00165985">
      <w:pPr>
        <w:pStyle w:val="ListNumber"/>
        <w:spacing w:after="80"/>
      </w:pPr>
      <w:r>
        <w:t>Return to an operational department view to explain access removal, asset return, finance and manager clearance responsibilities.</w:t>
      </w:r>
    </w:p>
    <w:p w14:paraId="51811BEA" w14:textId="77777777" w:rsidR="001A4644" w:rsidRDefault="00165985">
      <w:r>
        <w:br w:type="page"/>
      </w:r>
    </w:p>
    <w:p w14:paraId="6118CC5A" w14:textId="77777777" w:rsidR="001A4644" w:rsidRDefault="00165985">
      <w:pPr>
        <w:pStyle w:val="Heading1"/>
        <w:spacing w:before="320" w:after="120"/>
      </w:pPr>
      <w:r>
        <w:rPr>
          <w:rFonts w:ascii="Calibri" w:hAnsi="Calibri"/>
          <w:color w:val="2E74B5"/>
          <w:sz w:val="32"/>
        </w:rPr>
        <w:lastRenderedPageBreak/>
        <w:t>Appendix D. Email Delivery reference</w:t>
      </w:r>
    </w:p>
    <w:p w14:paraId="0F648B90" w14:textId="77777777" w:rsidR="001A4644" w:rsidRDefault="00165985">
      <w:pPr>
        <w:pStyle w:val="Heading2"/>
        <w:spacing w:after="120"/>
      </w:pPr>
      <w:r>
        <w:rPr>
          <w:rFonts w:ascii="Calibri" w:hAnsi="Calibri"/>
          <w:color w:val="2E74B5"/>
        </w:rPr>
        <w:t>What the page is for</w:t>
      </w:r>
    </w:p>
    <w:p w14:paraId="1F4AD840" w14:textId="77777777" w:rsidR="001A4644" w:rsidRDefault="00165985">
      <w:pPr>
        <w:spacing w:after="120" w:line="300" w:lineRule="auto"/>
      </w:pPr>
      <w:r>
        <w:t>Email Delivery is a restricted administrative page for delivery mode, sender details, AWS region, public application URL, recipient mappings and test-email controls. It does not return AWS access credentials to the browser. The page reports whether credentials are configured server-side.</w:t>
      </w:r>
    </w:p>
    <w:p w14:paraId="1556C6ED" w14:textId="77777777" w:rsidR="001A4644" w:rsidRDefault="00165985">
      <w:pPr>
        <w:pStyle w:val="Heading2"/>
        <w:spacing w:after="120"/>
      </w:pPr>
      <w:r>
        <w:rPr>
          <w:rFonts w:ascii="Calibri" w:hAnsi="Calibri"/>
          <w:color w:val="2E74B5"/>
        </w:rPr>
        <w:t>Persistence</w:t>
      </w:r>
    </w:p>
    <w:p w14:paraId="3D1A2400" w14:textId="77777777" w:rsidR="001A4644" w:rsidRDefault="00165985">
      <w:pPr>
        <w:spacing w:after="120" w:line="300" w:lineRule="auto"/>
      </w:pPr>
      <w:r>
        <w:t>Saved non-secret configuration is stored in the application settings file, not in browser storage. In Docker deployment the host path /volume1/docker/oneflow/data/email-settings.json is mounted into the container at /app/data/email-settings.json. This preserves recipient mappings and saved delivery configuration across container recreation and rebuilds when the deployment directory is retained.</w:t>
      </w:r>
    </w:p>
    <w:p w14:paraId="2EE3ECCB" w14:textId="77777777" w:rsidR="001A4644" w:rsidRDefault="00165985">
      <w:pPr>
        <w:pStyle w:val="Heading2"/>
        <w:spacing w:after="120"/>
      </w:pPr>
      <w:r>
        <w:rPr>
          <w:rFonts w:ascii="Calibri" w:hAnsi="Calibri"/>
          <w:color w:val="2E74B5"/>
        </w:rPr>
        <w:t>Safe operating rules</w:t>
      </w:r>
    </w:p>
    <w:p w14:paraId="78FFE496" w14:textId="77777777" w:rsidR="001A4644" w:rsidRDefault="00165985">
      <w:pPr>
        <w:pStyle w:val="ListBullet"/>
        <w:spacing w:after="60"/>
      </w:pPr>
      <w:r>
        <w:t>Keep synthetic OneFlow identities unchanged.</w:t>
      </w:r>
    </w:p>
    <w:p w14:paraId="0BF13B37" w14:textId="77777777" w:rsidR="001A4644" w:rsidRDefault="00165985">
      <w:pPr>
        <w:pStyle w:val="ListBullet"/>
        <w:spacing w:after="60"/>
      </w:pPr>
      <w:r>
        <w:t>Map only to administrator-approved test mailboxes.</w:t>
      </w:r>
    </w:p>
    <w:p w14:paraId="40797609" w14:textId="77777777" w:rsidR="001A4644" w:rsidRDefault="00165985">
      <w:pPr>
        <w:pStyle w:val="ListBullet"/>
        <w:spacing w:after="60"/>
      </w:pPr>
      <w:r>
        <w:t>Never document, log or paste AWS secrets into the interface.</w:t>
      </w:r>
    </w:p>
    <w:p w14:paraId="0EB214EF" w14:textId="77777777" w:rsidR="001A4644" w:rsidRDefault="00165985">
      <w:pPr>
        <w:pStyle w:val="ListBullet"/>
        <w:spacing w:after="60"/>
      </w:pPr>
      <w:r>
        <w:t>Use Mock mode for safe walkthroughs without real delivery.</w:t>
      </w:r>
    </w:p>
    <w:p w14:paraId="60D9CA3F" w14:textId="77777777" w:rsidR="001A4644" w:rsidRDefault="00165985">
      <w:pPr>
        <w:pStyle w:val="ListBullet"/>
        <w:spacing w:after="60"/>
      </w:pPr>
      <w:r>
        <w:t>Use SES or Both only when the server-side configuration and sender identity are ready.</w:t>
      </w:r>
    </w:p>
    <w:p w14:paraId="1E30C049" w14:textId="77777777" w:rsidR="001A4644" w:rsidRDefault="00165985">
      <w:pPr>
        <w:pStyle w:val="ListBullet"/>
        <w:spacing w:after="60"/>
      </w:pPr>
      <w:r>
        <w:t>Use Microsoft 365 / Outlook as the stated production direction, not AWS SES.</w:t>
      </w:r>
    </w:p>
    <w:p w14:paraId="4F4D6B7D" w14:textId="77777777" w:rsidR="001A4644" w:rsidRDefault="00165985">
      <w:r>
        <w:br w:type="page"/>
      </w:r>
    </w:p>
    <w:p w14:paraId="68217260" w14:textId="77777777" w:rsidR="001A4644" w:rsidRDefault="00165985">
      <w:pPr>
        <w:pStyle w:val="Heading1"/>
        <w:spacing w:before="320" w:after="120"/>
      </w:pPr>
      <w:r>
        <w:rPr>
          <w:rFonts w:ascii="Calibri" w:hAnsi="Calibri"/>
          <w:color w:val="2E74B5"/>
          <w:sz w:val="32"/>
        </w:rPr>
        <w:lastRenderedPageBreak/>
        <w:t>Appendix E. Frequently asked questions</w:t>
      </w:r>
    </w:p>
    <w:tbl>
      <w:tblPr>
        <w:tblStyle w:val="TableGrid"/>
        <w:tblW w:w="0" w:type="auto"/>
        <w:jc w:val="center"/>
        <w:tblLook w:val="04A0" w:firstRow="1" w:lastRow="0" w:firstColumn="1" w:lastColumn="0" w:noHBand="0" w:noVBand="1"/>
      </w:tblPr>
      <w:tblGrid>
        <w:gridCol w:w="4896"/>
        <w:gridCol w:w="4896"/>
      </w:tblGrid>
      <w:tr w:rsidR="001A4644" w14:paraId="7FF2ABC7" w14:textId="77777777">
        <w:trPr>
          <w:jc w:val="center"/>
        </w:trPr>
        <w:tc>
          <w:tcPr>
            <w:tcW w:w="4896" w:type="dxa"/>
            <w:shd w:val="clear" w:color="auto" w:fill="E8EEF5"/>
          </w:tcPr>
          <w:p w14:paraId="662DB027" w14:textId="77777777" w:rsidR="001A4644" w:rsidRDefault="00165985">
            <w:r>
              <w:rPr>
                <w:b/>
                <w:color w:val="0B2545"/>
                <w:sz w:val="19"/>
              </w:rPr>
              <w:t>Question</w:t>
            </w:r>
          </w:p>
        </w:tc>
        <w:tc>
          <w:tcPr>
            <w:tcW w:w="4896" w:type="dxa"/>
            <w:shd w:val="clear" w:color="auto" w:fill="E8EEF5"/>
          </w:tcPr>
          <w:p w14:paraId="01CBBBDD" w14:textId="77777777" w:rsidR="001A4644" w:rsidRDefault="00165985">
            <w:r>
              <w:rPr>
                <w:b/>
                <w:color w:val="0B2545"/>
                <w:sz w:val="19"/>
              </w:rPr>
              <w:t>Answer</w:t>
            </w:r>
          </w:p>
        </w:tc>
      </w:tr>
      <w:tr w:rsidR="001A4644" w14:paraId="6939F6CD" w14:textId="77777777">
        <w:trPr>
          <w:jc w:val="center"/>
        </w:trPr>
        <w:tc>
          <w:tcPr>
            <w:tcW w:w="4896" w:type="dxa"/>
            <w:vAlign w:val="center"/>
          </w:tcPr>
          <w:p w14:paraId="1BB4EEBA" w14:textId="77777777" w:rsidR="001A4644" w:rsidRDefault="00165985">
            <w:r>
              <w:rPr>
                <w:sz w:val="19"/>
              </w:rPr>
              <w:t>Does OneFlow replace Workday?</w:t>
            </w:r>
          </w:p>
        </w:tc>
        <w:tc>
          <w:tcPr>
            <w:tcW w:w="4896" w:type="dxa"/>
            <w:vAlign w:val="center"/>
          </w:tcPr>
          <w:p w14:paraId="073722AD" w14:textId="77777777" w:rsidR="001A4644" w:rsidRDefault="00165985">
            <w:r>
              <w:rPr>
                <w:sz w:val="19"/>
              </w:rPr>
              <w:t>No. Workday is the future HR source system; OneFlow is the orchestration and experience layer.</w:t>
            </w:r>
          </w:p>
        </w:tc>
      </w:tr>
      <w:tr w:rsidR="001A4644" w14:paraId="4B463DD7" w14:textId="77777777">
        <w:trPr>
          <w:jc w:val="center"/>
        </w:trPr>
        <w:tc>
          <w:tcPr>
            <w:tcW w:w="4896" w:type="dxa"/>
            <w:vAlign w:val="center"/>
          </w:tcPr>
          <w:p w14:paraId="6FBDF9E6" w14:textId="77777777" w:rsidR="001A4644" w:rsidRDefault="00165985">
            <w:r>
              <w:rPr>
                <w:sz w:val="19"/>
              </w:rPr>
              <w:t>Is this connected to real Workday?</w:t>
            </w:r>
          </w:p>
        </w:tc>
        <w:tc>
          <w:tcPr>
            <w:tcW w:w="4896" w:type="dxa"/>
            <w:vAlign w:val="center"/>
          </w:tcPr>
          <w:p w14:paraId="6628EE2E" w14:textId="77777777" w:rsidR="001A4644" w:rsidRDefault="00165985">
            <w:r>
              <w:rPr>
                <w:sz w:val="19"/>
              </w:rPr>
              <w:t>No. PPG Workday Demo is a mock source application with synthetic data.</w:t>
            </w:r>
          </w:p>
        </w:tc>
      </w:tr>
      <w:tr w:rsidR="001A4644" w14:paraId="2CC84380" w14:textId="77777777">
        <w:trPr>
          <w:jc w:val="center"/>
        </w:trPr>
        <w:tc>
          <w:tcPr>
            <w:tcW w:w="4896" w:type="dxa"/>
            <w:vAlign w:val="center"/>
          </w:tcPr>
          <w:p w14:paraId="60BF46DB" w14:textId="77777777" w:rsidR="001A4644" w:rsidRDefault="00165985">
            <w:r>
              <w:rPr>
                <w:sz w:val="19"/>
              </w:rPr>
              <w:t>Are Microsoft Entra ID, Dataverse or Power Automate live?</w:t>
            </w:r>
          </w:p>
        </w:tc>
        <w:tc>
          <w:tcPr>
            <w:tcW w:w="4896" w:type="dxa"/>
            <w:vAlign w:val="center"/>
          </w:tcPr>
          <w:p w14:paraId="250E3306" w14:textId="77777777" w:rsidR="001A4644" w:rsidRDefault="00165985">
            <w:r>
              <w:rPr>
                <w:sz w:val="19"/>
              </w:rPr>
              <w:t>No. They are proposed production direction items, not implemented prototype services.</w:t>
            </w:r>
          </w:p>
        </w:tc>
      </w:tr>
      <w:tr w:rsidR="001A4644" w14:paraId="57AECD2B" w14:textId="77777777">
        <w:trPr>
          <w:jc w:val="center"/>
        </w:trPr>
        <w:tc>
          <w:tcPr>
            <w:tcW w:w="4896" w:type="dxa"/>
            <w:vAlign w:val="center"/>
          </w:tcPr>
          <w:p w14:paraId="19D24292" w14:textId="77777777" w:rsidR="001A4644" w:rsidRDefault="00165985">
            <w:r>
              <w:rPr>
                <w:sz w:val="19"/>
              </w:rPr>
              <w:t>Does the test email expose AWS credentials?</w:t>
            </w:r>
          </w:p>
        </w:tc>
        <w:tc>
          <w:tcPr>
            <w:tcW w:w="4896" w:type="dxa"/>
            <w:vAlign w:val="center"/>
          </w:tcPr>
          <w:p w14:paraId="32508FF1" w14:textId="77777777" w:rsidR="001A4644" w:rsidRDefault="00165985">
            <w:r>
              <w:rPr>
                <w:sz w:val="19"/>
              </w:rPr>
              <w:t>No. Credentials are managed server-side and are not returned by the Email Delivery page.</w:t>
            </w:r>
          </w:p>
        </w:tc>
      </w:tr>
      <w:tr w:rsidR="001A4644" w14:paraId="0DDFC07A" w14:textId="77777777">
        <w:trPr>
          <w:jc w:val="center"/>
        </w:trPr>
        <w:tc>
          <w:tcPr>
            <w:tcW w:w="4896" w:type="dxa"/>
            <w:vAlign w:val="center"/>
          </w:tcPr>
          <w:p w14:paraId="6801C26F" w14:textId="77777777" w:rsidR="001A4644" w:rsidRDefault="00165985">
            <w:r>
              <w:rPr>
                <w:sz w:val="19"/>
              </w:rPr>
              <w:t>Where do recipient mappings live?</w:t>
            </w:r>
          </w:p>
        </w:tc>
        <w:tc>
          <w:tcPr>
            <w:tcW w:w="4896" w:type="dxa"/>
            <w:vAlign w:val="center"/>
          </w:tcPr>
          <w:p w14:paraId="268D1808" w14:textId="77777777" w:rsidR="001A4644" w:rsidRDefault="00165985">
            <w:r>
              <w:rPr>
                <w:sz w:val="19"/>
              </w:rPr>
              <w:t>Administrators maintain them in Settings &gt; Email Delivery; Docker persists saved settings in the data mount.</w:t>
            </w:r>
          </w:p>
        </w:tc>
      </w:tr>
      <w:tr w:rsidR="001A4644" w14:paraId="4EB06FC6" w14:textId="77777777">
        <w:trPr>
          <w:jc w:val="center"/>
        </w:trPr>
        <w:tc>
          <w:tcPr>
            <w:tcW w:w="4896" w:type="dxa"/>
            <w:vAlign w:val="center"/>
          </w:tcPr>
          <w:p w14:paraId="5BE7CC6E" w14:textId="77777777" w:rsidR="001A4644" w:rsidRDefault="00165985">
            <w:r>
              <w:rPr>
                <w:sz w:val="19"/>
              </w:rPr>
              <w:t>Why is there a Mock Inbox?</w:t>
            </w:r>
          </w:p>
        </w:tc>
        <w:tc>
          <w:tcPr>
            <w:tcW w:w="4896" w:type="dxa"/>
            <w:vAlign w:val="center"/>
          </w:tcPr>
          <w:p w14:paraId="669A7612" w14:textId="77777777" w:rsidR="001A4644" w:rsidRDefault="00165985">
            <w:r>
              <w:rPr>
                <w:sz w:val="19"/>
              </w:rPr>
              <w:t>It is the safe prototype notification and audit channel, independent of optional SES delivery.</w:t>
            </w:r>
          </w:p>
        </w:tc>
      </w:tr>
      <w:tr w:rsidR="001A4644" w14:paraId="5A24A618" w14:textId="77777777">
        <w:trPr>
          <w:jc w:val="center"/>
        </w:trPr>
        <w:tc>
          <w:tcPr>
            <w:tcW w:w="4896" w:type="dxa"/>
            <w:vAlign w:val="center"/>
          </w:tcPr>
          <w:p w14:paraId="61BCD399" w14:textId="77777777" w:rsidR="001A4644" w:rsidRDefault="00165985">
            <w:r>
              <w:rPr>
                <w:sz w:val="19"/>
              </w:rPr>
              <w:t>How do I change demo roles?</w:t>
            </w:r>
          </w:p>
        </w:tc>
        <w:tc>
          <w:tcPr>
            <w:tcW w:w="4896" w:type="dxa"/>
            <w:vAlign w:val="center"/>
          </w:tcPr>
          <w:p w14:paraId="240E782A" w14:textId="77777777" w:rsidR="001A4644" w:rsidRDefault="00165985">
            <w:r>
              <w:rPr>
                <w:sz w:val="19"/>
              </w:rPr>
              <w:t>Return to the login page and choose a different quick-login card or use supplied manual credentials.</w:t>
            </w:r>
          </w:p>
        </w:tc>
      </w:tr>
    </w:tbl>
    <w:p w14:paraId="4B04C175" w14:textId="77777777" w:rsidR="001A4644" w:rsidRDefault="001A4644"/>
    <w:p w14:paraId="107E7E13" w14:textId="77777777" w:rsidR="001A4644" w:rsidRDefault="00165985">
      <w:pPr>
        <w:pStyle w:val="Heading2"/>
        <w:spacing w:after="120"/>
      </w:pPr>
      <w:r>
        <w:rPr>
          <w:rFonts w:ascii="Calibri" w:hAnsi="Calibri"/>
          <w:color w:val="2E74B5"/>
        </w:rPr>
        <w:t>Architecture reference</w:t>
      </w:r>
    </w:p>
    <w:p w14:paraId="5FB746D6" w14:textId="77777777" w:rsidR="001A4644" w:rsidRDefault="00165985">
      <w:pPr>
        <w:spacing w:after="120" w:line="300" w:lineRule="auto"/>
      </w:pPr>
      <w:r>
        <w:t>The current demo is a Next.js application hosted in Docker behind the public OneFlow URL. The production direction is deliberately Microsoft-first: approved Workday integration, Entra ID, Dataverse, Power Automate, Microsoft 365/Outlook, Power BI and Azure security/monitoring services.</w:t>
      </w:r>
    </w:p>
    <w:p w14:paraId="152578D4" w14:textId="77777777" w:rsidR="000968E0" w:rsidRDefault="00705366">
      <w:r>
        <w:br w:type="page"/>
      </w:r>
    </w:p>
    <w:p w14:paraId="599924DF" w14:textId="77777777" w:rsidR="000968E0" w:rsidRDefault="00705366">
      <w:pPr>
        <w:pStyle w:val="Heading1"/>
        <w:spacing w:before="320" w:after="120"/>
      </w:pPr>
      <w:r>
        <w:rPr>
          <w:rFonts w:ascii="Calibri" w:hAnsi="Calibri"/>
          <w:color w:val="2E74B5"/>
          <w:sz w:val="32"/>
        </w:rPr>
        <w:lastRenderedPageBreak/>
        <w:t>Appendix F. Screen-by-screen reference</w:t>
      </w:r>
    </w:p>
    <w:tbl>
      <w:tblPr>
        <w:tblStyle w:val="TableGrid"/>
        <w:tblW w:w="0" w:type="auto"/>
        <w:jc w:val="center"/>
        <w:tblLook w:val="04A0" w:firstRow="1" w:lastRow="0" w:firstColumn="1" w:lastColumn="0" w:noHBand="0" w:noVBand="1"/>
      </w:tblPr>
      <w:tblGrid>
        <w:gridCol w:w="3264"/>
        <w:gridCol w:w="3264"/>
        <w:gridCol w:w="3264"/>
      </w:tblGrid>
      <w:tr w:rsidR="000968E0" w14:paraId="05924BF0" w14:textId="77777777">
        <w:trPr>
          <w:jc w:val="center"/>
        </w:trPr>
        <w:tc>
          <w:tcPr>
            <w:tcW w:w="3264" w:type="dxa"/>
            <w:shd w:val="clear" w:color="auto" w:fill="E8EEF5"/>
          </w:tcPr>
          <w:p w14:paraId="63286044" w14:textId="77777777" w:rsidR="000968E0" w:rsidRDefault="00705366">
            <w:r>
              <w:rPr>
                <w:b/>
                <w:color w:val="0B2545"/>
                <w:sz w:val="19"/>
              </w:rPr>
              <w:t>Screen</w:t>
            </w:r>
          </w:p>
        </w:tc>
        <w:tc>
          <w:tcPr>
            <w:tcW w:w="3264" w:type="dxa"/>
            <w:shd w:val="clear" w:color="auto" w:fill="E8EEF5"/>
          </w:tcPr>
          <w:p w14:paraId="1F020811" w14:textId="77777777" w:rsidR="000968E0" w:rsidRDefault="00705366">
            <w:r>
              <w:rPr>
                <w:b/>
                <w:color w:val="0B2545"/>
                <w:sz w:val="19"/>
              </w:rPr>
              <w:t>Use it for</w:t>
            </w:r>
          </w:p>
        </w:tc>
        <w:tc>
          <w:tcPr>
            <w:tcW w:w="3264" w:type="dxa"/>
            <w:shd w:val="clear" w:color="auto" w:fill="E8EEF5"/>
          </w:tcPr>
          <w:p w14:paraId="2BFC3537" w14:textId="77777777" w:rsidR="000968E0" w:rsidRDefault="00705366">
            <w:r>
              <w:rPr>
                <w:b/>
                <w:color w:val="0B2545"/>
                <w:sz w:val="19"/>
              </w:rPr>
              <w:t>Key outcome</w:t>
            </w:r>
          </w:p>
        </w:tc>
      </w:tr>
      <w:tr w:rsidR="000968E0" w14:paraId="4DBA9CAD" w14:textId="77777777">
        <w:trPr>
          <w:jc w:val="center"/>
        </w:trPr>
        <w:tc>
          <w:tcPr>
            <w:tcW w:w="3264" w:type="dxa"/>
          </w:tcPr>
          <w:p w14:paraId="5877D834" w14:textId="77777777" w:rsidR="000968E0" w:rsidRDefault="00705366">
            <w:r>
              <w:rPr>
                <w:sz w:val="19"/>
              </w:rPr>
              <w:t>Login</w:t>
            </w:r>
          </w:p>
        </w:tc>
        <w:tc>
          <w:tcPr>
            <w:tcW w:w="3264" w:type="dxa"/>
          </w:tcPr>
          <w:p w14:paraId="08AE2E91" w14:textId="77777777" w:rsidR="000968E0" w:rsidRDefault="00705366">
            <w:r>
              <w:rPr>
                <w:sz w:val="19"/>
              </w:rPr>
              <w:t>Manual sign-in or choosing a synthetic role</w:t>
            </w:r>
          </w:p>
        </w:tc>
        <w:tc>
          <w:tcPr>
            <w:tcW w:w="3264" w:type="dxa"/>
          </w:tcPr>
          <w:p w14:paraId="1D3D24D4" w14:textId="77777777" w:rsidR="000968E0" w:rsidRDefault="00705366">
            <w:r>
              <w:rPr>
                <w:sz w:val="19"/>
              </w:rPr>
              <w:t>Enters the intended demo perspective.</w:t>
            </w:r>
          </w:p>
        </w:tc>
      </w:tr>
      <w:tr w:rsidR="000968E0" w14:paraId="5A9D6B44" w14:textId="77777777">
        <w:trPr>
          <w:jc w:val="center"/>
        </w:trPr>
        <w:tc>
          <w:tcPr>
            <w:tcW w:w="3264" w:type="dxa"/>
          </w:tcPr>
          <w:p w14:paraId="0B197384" w14:textId="77777777" w:rsidR="000968E0" w:rsidRDefault="00705366">
            <w:r>
              <w:rPr>
                <w:sz w:val="19"/>
              </w:rPr>
              <w:t>Admin Dashboard</w:t>
            </w:r>
          </w:p>
        </w:tc>
        <w:tc>
          <w:tcPr>
            <w:tcW w:w="3264" w:type="dxa"/>
          </w:tcPr>
          <w:p w14:paraId="6A713A2F" w14:textId="77777777" w:rsidR="000968E0" w:rsidRDefault="00705366">
            <w:r>
              <w:rPr>
                <w:sz w:val="19"/>
              </w:rPr>
              <w:t>Portfolio review</w:t>
            </w:r>
          </w:p>
        </w:tc>
        <w:tc>
          <w:tcPr>
            <w:tcW w:w="3264" w:type="dxa"/>
          </w:tcPr>
          <w:p w14:paraId="14D215DD" w14:textId="77777777" w:rsidR="000968E0" w:rsidRDefault="00705366">
            <w:r>
              <w:rPr>
                <w:sz w:val="19"/>
              </w:rPr>
              <w:t>Identifies lifecycle health and attention items.</w:t>
            </w:r>
          </w:p>
        </w:tc>
      </w:tr>
      <w:tr w:rsidR="000968E0" w14:paraId="5F1753FF" w14:textId="77777777">
        <w:trPr>
          <w:jc w:val="center"/>
        </w:trPr>
        <w:tc>
          <w:tcPr>
            <w:tcW w:w="3264" w:type="dxa"/>
          </w:tcPr>
          <w:p w14:paraId="64290171" w14:textId="77777777" w:rsidR="000968E0" w:rsidRDefault="00705366">
            <w:r>
              <w:rPr>
                <w:sz w:val="19"/>
              </w:rPr>
              <w:t>Employees</w:t>
            </w:r>
          </w:p>
        </w:tc>
        <w:tc>
          <w:tcPr>
            <w:tcW w:w="3264" w:type="dxa"/>
          </w:tcPr>
          <w:p w14:paraId="142941EA" w14:textId="77777777" w:rsidR="000968E0" w:rsidRDefault="00705366">
            <w:r>
              <w:rPr>
                <w:sz w:val="19"/>
              </w:rPr>
              <w:t>Workforce directory</w:t>
            </w:r>
          </w:p>
        </w:tc>
        <w:tc>
          <w:tcPr>
            <w:tcW w:w="3264" w:type="dxa"/>
          </w:tcPr>
          <w:p w14:paraId="0DD27D23" w14:textId="77777777" w:rsidR="000968E0" w:rsidRDefault="00705366">
            <w:r>
              <w:rPr>
                <w:sz w:val="19"/>
              </w:rPr>
              <w:t>Finds synthetic workers and lifecycle status.</w:t>
            </w:r>
          </w:p>
        </w:tc>
      </w:tr>
      <w:tr w:rsidR="000968E0" w14:paraId="4265B547" w14:textId="77777777">
        <w:trPr>
          <w:jc w:val="center"/>
        </w:trPr>
        <w:tc>
          <w:tcPr>
            <w:tcW w:w="3264" w:type="dxa"/>
          </w:tcPr>
          <w:p w14:paraId="1CFE44E4" w14:textId="77777777" w:rsidR="000968E0" w:rsidRDefault="00705366">
            <w:r>
              <w:rPr>
                <w:sz w:val="19"/>
              </w:rPr>
              <w:t>Lifecycle Cases</w:t>
            </w:r>
          </w:p>
        </w:tc>
        <w:tc>
          <w:tcPr>
            <w:tcW w:w="3264" w:type="dxa"/>
          </w:tcPr>
          <w:p w14:paraId="61A59DD7" w14:textId="77777777" w:rsidR="000968E0" w:rsidRDefault="00705366">
            <w:r>
              <w:rPr>
                <w:sz w:val="19"/>
              </w:rPr>
              <w:t>Cross-functional case review</w:t>
            </w:r>
          </w:p>
        </w:tc>
        <w:tc>
          <w:tcPr>
            <w:tcW w:w="3264" w:type="dxa"/>
          </w:tcPr>
          <w:p w14:paraId="29A53818" w14:textId="77777777" w:rsidR="000968E0" w:rsidRDefault="00705366">
            <w:r>
              <w:rPr>
                <w:sz w:val="19"/>
              </w:rPr>
              <w:t>Shows task ownership, progress and activity.</w:t>
            </w:r>
          </w:p>
        </w:tc>
      </w:tr>
      <w:tr w:rsidR="000968E0" w14:paraId="70DF49A6" w14:textId="77777777">
        <w:trPr>
          <w:jc w:val="center"/>
        </w:trPr>
        <w:tc>
          <w:tcPr>
            <w:tcW w:w="3264" w:type="dxa"/>
          </w:tcPr>
          <w:p w14:paraId="52E84659" w14:textId="77777777" w:rsidR="000968E0" w:rsidRDefault="00705366">
            <w:r>
              <w:rPr>
                <w:sz w:val="19"/>
              </w:rPr>
              <w:t>My Tasks</w:t>
            </w:r>
          </w:p>
        </w:tc>
        <w:tc>
          <w:tcPr>
            <w:tcW w:w="3264" w:type="dxa"/>
          </w:tcPr>
          <w:p w14:paraId="33DFB134" w14:textId="77777777" w:rsidR="000968E0" w:rsidRDefault="00705366">
            <w:r>
              <w:rPr>
                <w:sz w:val="19"/>
              </w:rPr>
              <w:t>Operational work queue</w:t>
            </w:r>
          </w:p>
        </w:tc>
        <w:tc>
          <w:tcPr>
            <w:tcW w:w="3264" w:type="dxa"/>
          </w:tcPr>
          <w:p w14:paraId="279DEECF" w14:textId="77777777" w:rsidR="000968E0" w:rsidRDefault="00705366">
            <w:r>
              <w:rPr>
                <w:sz w:val="19"/>
              </w:rPr>
              <w:t>Supports role-assigned actions and prioritisation.</w:t>
            </w:r>
          </w:p>
        </w:tc>
      </w:tr>
      <w:tr w:rsidR="000968E0" w14:paraId="252CB58F" w14:textId="77777777">
        <w:trPr>
          <w:jc w:val="center"/>
        </w:trPr>
        <w:tc>
          <w:tcPr>
            <w:tcW w:w="3264" w:type="dxa"/>
          </w:tcPr>
          <w:p w14:paraId="411945F6" w14:textId="77777777" w:rsidR="000968E0" w:rsidRDefault="00705366">
            <w:r>
              <w:rPr>
                <w:sz w:val="19"/>
              </w:rPr>
              <w:t>Reports</w:t>
            </w:r>
          </w:p>
        </w:tc>
        <w:tc>
          <w:tcPr>
            <w:tcW w:w="3264" w:type="dxa"/>
          </w:tcPr>
          <w:p w14:paraId="019DD480" w14:textId="77777777" w:rsidR="000968E0" w:rsidRDefault="00705366">
            <w:r>
              <w:rPr>
                <w:sz w:val="19"/>
              </w:rPr>
              <w:t>Management review</w:t>
            </w:r>
          </w:p>
        </w:tc>
        <w:tc>
          <w:tcPr>
            <w:tcW w:w="3264" w:type="dxa"/>
          </w:tcPr>
          <w:p w14:paraId="1EEDD5B8" w14:textId="77777777" w:rsidR="000968E0" w:rsidRDefault="00705366">
            <w:r>
              <w:rPr>
                <w:sz w:val="19"/>
              </w:rPr>
              <w:t>Shows lifecycle/readiness/bottleneck reporting.</w:t>
            </w:r>
          </w:p>
        </w:tc>
      </w:tr>
      <w:tr w:rsidR="000968E0" w14:paraId="59FE45D0" w14:textId="77777777">
        <w:trPr>
          <w:jc w:val="center"/>
        </w:trPr>
        <w:tc>
          <w:tcPr>
            <w:tcW w:w="3264" w:type="dxa"/>
          </w:tcPr>
          <w:p w14:paraId="3F3DF964" w14:textId="77777777" w:rsidR="000968E0" w:rsidRDefault="00705366">
            <w:r>
              <w:rPr>
                <w:sz w:val="19"/>
              </w:rPr>
              <w:t>Settings</w:t>
            </w:r>
          </w:p>
        </w:tc>
        <w:tc>
          <w:tcPr>
            <w:tcW w:w="3264" w:type="dxa"/>
          </w:tcPr>
          <w:p w14:paraId="479549A2" w14:textId="77777777" w:rsidR="000968E0" w:rsidRDefault="00705366">
            <w:r>
              <w:rPr>
                <w:sz w:val="19"/>
              </w:rPr>
              <w:t>Administrative configuration</w:t>
            </w:r>
          </w:p>
        </w:tc>
        <w:tc>
          <w:tcPr>
            <w:tcW w:w="3264" w:type="dxa"/>
          </w:tcPr>
          <w:p w14:paraId="453694FB" w14:textId="77777777" w:rsidR="000968E0" w:rsidRDefault="00705366">
            <w:r>
              <w:rPr>
                <w:sz w:val="19"/>
              </w:rPr>
              <w:t>Opens grouped settings and Email Delivery.</w:t>
            </w:r>
          </w:p>
        </w:tc>
      </w:tr>
      <w:tr w:rsidR="000968E0" w14:paraId="10DB0DBC" w14:textId="77777777">
        <w:trPr>
          <w:jc w:val="center"/>
        </w:trPr>
        <w:tc>
          <w:tcPr>
            <w:tcW w:w="3264" w:type="dxa"/>
          </w:tcPr>
          <w:p w14:paraId="0AC9143B" w14:textId="77777777" w:rsidR="000968E0" w:rsidRDefault="00705366">
            <w:r>
              <w:rPr>
                <w:sz w:val="19"/>
              </w:rPr>
              <w:t>Mock Inbox</w:t>
            </w:r>
          </w:p>
        </w:tc>
        <w:tc>
          <w:tcPr>
            <w:tcW w:w="3264" w:type="dxa"/>
          </w:tcPr>
          <w:p w14:paraId="5F19E2D7" w14:textId="77777777" w:rsidR="000968E0" w:rsidRDefault="00705366">
            <w:r>
              <w:rPr>
                <w:sz w:val="19"/>
              </w:rPr>
              <w:t>Notification evidence</w:t>
            </w:r>
          </w:p>
        </w:tc>
        <w:tc>
          <w:tcPr>
            <w:tcW w:w="3264" w:type="dxa"/>
          </w:tcPr>
          <w:p w14:paraId="7F202FEA" w14:textId="77777777" w:rsidR="000968E0" w:rsidRDefault="00705366">
            <w:r>
              <w:rPr>
                <w:sz w:val="19"/>
              </w:rPr>
              <w:t>Shows safe prototype messages.</w:t>
            </w:r>
          </w:p>
        </w:tc>
      </w:tr>
      <w:tr w:rsidR="000968E0" w14:paraId="7F5E8649" w14:textId="77777777">
        <w:trPr>
          <w:jc w:val="center"/>
        </w:trPr>
        <w:tc>
          <w:tcPr>
            <w:tcW w:w="3264" w:type="dxa"/>
          </w:tcPr>
          <w:p w14:paraId="3EAAA42A" w14:textId="77777777" w:rsidR="000968E0" w:rsidRDefault="00705366">
            <w:r>
              <w:rPr>
                <w:sz w:val="19"/>
              </w:rPr>
              <w:t>Automation</w:t>
            </w:r>
          </w:p>
        </w:tc>
        <w:tc>
          <w:tcPr>
            <w:tcW w:w="3264" w:type="dxa"/>
          </w:tcPr>
          <w:p w14:paraId="3368A1F2" w14:textId="77777777" w:rsidR="000968E0" w:rsidRDefault="00705366">
            <w:r>
              <w:rPr>
                <w:sz w:val="19"/>
              </w:rPr>
              <w:t>Simulation visibility</w:t>
            </w:r>
          </w:p>
        </w:tc>
        <w:tc>
          <w:tcPr>
            <w:tcW w:w="3264" w:type="dxa"/>
          </w:tcPr>
          <w:p w14:paraId="50198DB7" w14:textId="77777777" w:rsidR="000968E0" w:rsidRDefault="00705366">
            <w:r>
              <w:rPr>
                <w:sz w:val="19"/>
              </w:rPr>
              <w:t>Shows prototype orchestration activity.</w:t>
            </w:r>
          </w:p>
        </w:tc>
      </w:tr>
      <w:tr w:rsidR="000968E0" w14:paraId="3BA8E5DA" w14:textId="77777777">
        <w:trPr>
          <w:jc w:val="center"/>
        </w:trPr>
        <w:tc>
          <w:tcPr>
            <w:tcW w:w="3264" w:type="dxa"/>
          </w:tcPr>
          <w:p w14:paraId="6852926E" w14:textId="77777777" w:rsidR="000968E0" w:rsidRDefault="00705366">
            <w:r>
              <w:rPr>
                <w:sz w:val="19"/>
              </w:rPr>
              <w:t>My Onboarding / My Offboarding</w:t>
            </w:r>
          </w:p>
        </w:tc>
        <w:tc>
          <w:tcPr>
            <w:tcW w:w="3264" w:type="dxa"/>
          </w:tcPr>
          <w:p w14:paraId="42C8862A" w14:textId="77777777" w:rsidR="000968E0" w:rsidRDefault="00705366">
            <w:r>
              <w:rPr>
                <w:sz w:val="19"/>
              </w:rPr>
              <w:t>Employee experience</w:t>
            </w:r>
          </w:p>
        </w:tc>
        <w:tc>
          <w:tcPr>
            <w:tcW w:w="3264" w:type="dxa"/>
          </w:tcPr>
          <w:p w14:paraId="21CFCAEF" w14:textId="77777777" w:rsidR="000968E0" w:rsidRDefault="00705366">
            <w:r>
              <w:rPr>
                <w:sz w:val="19"/>
              </w:rPr>
              <w:t>Shows employee action, forms and journey progress.</w:t>
            </w:r>
          </w:p>
        </w:tc>
      </w:tr>
    </w:tbl>
    <w:p w14:paraId="5986AA6B" w14:textId="77777777" w:rsidR="000968E0" w:rsidRDefault="000968E0"/>
    <w:p w14:paraId="1E44BCFD" w14:textId="77777777" w:rsidR="000968E0" w:rsidRDefault="00705366">
      <w:pPr>
        <w:spacing w:after="120" w:line="300" w:lineRule="auto"/>
      </w:pPr>
      <w:r>
        <w:t>This reference is intentionally task-oriented. The visible navigation adapts by role, so a screen may be absent when the current synthetic account does not need it.</w:t>
      </w:r>
    </w:p>
    <w:p w14:paraId="4E1301E3" w14:textId="77777777" w:rsidR="000968E0" w:rsidRDefault="00705366">
      <w:r>
        <w:br w:type="page"/>
      </w:r>
    </w:p>
    <w:p w14:paraId="4A3C4259" w14:textId="77777777" w:rsidR="000968E0" w:rsidRDefault="00705366">
      <w:pPr>
        <w:pStyle w:val="Heading1"/>
        <w:spacing w:before="320" w:after="120"/>
      </w:pPr>
      <w:r>
        <w:rPr>
          <w:rFonts w:ascii="Calibri" w:hAnsi="Calibri"/>
          <w:color w:val="2E74B5"/>
          <w:sz w:val="32"/>
        </w:rPr>
        <w:lastRenderedPageBreak/>
        <w:t>Appendix G. Case-management operating model</w:t>
      </w:r>
    </w:p>
    <w:p w14:paraId="04CA24DB" w14:textId="77777777" w:rsidR="000968E0" w:rsidRDefault="00705366">
      <w:pPr>
        <w:spacing w:after="120" w:line="300" w:lineRule="auto"/>
      </w:pPr>
      <w:r>
        <w:t>A lifecycle case is the coordination record created around an onboarding or offboarding event. The case is not a replacement HR record. It brings together employee context, tasks, ownership, due dates, forms, notifications and activity so people can see what must happen next.</w:t>
      </w:r>
    </w:p>
    <w:p w14:paraId="59F494D6" w14:textId="77777777" w:rsidR="000968E0" w:rsidRDefault="00705366">
      <w:pPr>
        <w:pStyle w:val="Heading2"/>
        <w:spacing w:after="120"/>
      </w:pPr>
      <w:r>
        <w:rPr>
          <w:rFonts w:ascii="Calibri" w:hAnsi="Calibri"/>
          <w:color w:val="2E74B5"/>
        </w:rPr>
        <w:t>Administrator or coordinator sequence</w:t>
      </w:r>
    </w:p>
    <w:p w14:paraId="16FEC730" w14:textId="77777777" w:rsidR="000968E0" w:rsidRDefault="00705366">
      <w:pPr>
        <w:pStyle w:val="ListNumber"/>
        <w:spacing w:after="80"/>
      </w:pPr>
      <w:r>
        <w:t>Open the relevant lifecycle case.</w:t>
      </w:r>
    </w:p>
    <w:p w14:paraId="472C3010" w14:textId="77777777" w:rsidR="000968E0" w:rsidRDefault="00705366">
      <w:pPr>
        <w:pStyle w:val="ListNumber"/>
        <w:spacing w:after="80"/>
      </w:pPr>
      <w:r>
        <w:t>Review progress and blocked, overdue or pending work.</w:t>
      </w:r>
    </w:p>
    <w:p w14:paraId="053CB56D" w14:textId="77777777" w:rsidR="000968E0" w:rsidRDefault="00705366">
      <w:pPr>
        <w:pStyle w:val="ListNumber"/>
        <w:spacing w:after="80"/>
      </w:pPr>
      <w:r>
        <w:t>Identify the responsible role or team for the next action.</w:t>
      </w:r>
    </w:p>
    <w:p w14:paraId="0508C163" w14:textId="77777777" w:rsidR="000968E0" w:rsidRDefault="00705366">
      <w:pPr>
        <w:pStyle w:val="ListNumber"/>
        <w:spacing w:after="80"/>
      </w:pPr>
      <w:r>
        <w:t>Use the related task or form to take or request the permitted action.</w:t>
      </w:r>
    </w:p>
    <w:p w14:paraId="3BEF9B94" w14:textId="77777777" w:rsidR="000968E0" w:rsidRDefault="00705366">
      <w:pPr>
        <w:pStyle w:val="ListNumber"/>
        <w:spacing w:after="80"/>
      </w:pPr>
      <w:r>
        <w:t>Review the activity and notification record to confirm the case is moving.</w:t>
      </w:r>
    </w:p>
    <w:p w14:paraId="72304179" w14:textId="77777777" w:rsidR="000968E0" w:rsidRDefault="00705366">
      <w:pPr>
        <w:pStyle w:val="ListNumber"/>
        <w:spacing w:after="80"/>
      </w:pPr>
      <w:r>
        <w:t>Escalate through the appropriate operating process when a dependency prevents progress.</w:t>
      </w:r>
    </w:p>
    <w:p w14:paraId="404CAE73" w14:textId="77777777" w:rsidR="000968E0" w:rsidRDefault="00705366">
      <w:pPr>
        <w:pStyle w:val="Heading2"/>
        <w:spacing w:after="120"/>
      </w:pPr>
      <w:r>
        <w:rPr>
          <w:rFonts w:ascii="Calibri" w:hAnsi="Calibri"/>
          <w:color w:val="2E74B5"/>
        </w:rPr>
        <w:t>What to avoid</w:t>
      </w:r>
    </w:p>
    <w:p w14:paraId="58CD5668" w14:textId="77777777" w:rsidR="000968E0" w:rsidRDefault="00705366">
      <w:pPr>
        <w:pStyle w:val="ListBullet"/>
        <w:spacing w:after="60"/>
      </w:pPr>
      <w:r>
        <w:t>Do not treat a demo status as a production approval.</w:t>
      </w:r>
    </w:p>
    <w:p w14:paraId="5878AB72" w14:textId="77777777" w:rsidR="000968E0" w:rsidRDefault="00705366">
      <w:pPr>
        <w:pStyle w:val="ListBullet"/>
        <w:spacing w:after="60"/>
      </w:pPr>
      <w:r>
        <w:t>Do not use OneFlow to change source HR data in the prototype.</w:t>
      </w:r>
    </w:p>
    <w:p w14:paraId="28562230" w14:textId="77777777" w:rsidR="000968E0" w:rsidRDefault="00705366">
      <w:pPr>
        <w:pStyle w:val="ListBullet"/>
        <w:spacing w:after="60"/>
      </w:pPr>
      <w:r>
        <w:t>Do not assume a role can complete another team’s task.</w:t>
      </w:r>
    </w:p>
    <w:p w14:paraId="0B6A42E3" w14:textId="77777777" w:rsidR="000968E0" w:rsidRDefault="00705366">
      <w:pPr>
        <w:pStyle w:val="ListBullet"/>
        <w:spacing w:after="60"/>
      </w:pPr>
      <w:r>
        <w:t>Do not mark a blocked action complete before its dependencies are resolved.</w:t>
      </w:r>
    </w:p>
    <w:p w14:paraId="0694C1D4" w14:textId="77777777" w:rsidR="000968E0" w:rsidRDefault="00705366">
      <w:r>
        <w:br w:type="page"/>
      </w:r>
    </w:p>
    <w:p w14:paraId="13DCA0CF" w14:textId="77777777" w:rsidR="000968E0" w:rsidRDefault="00705366">
      <w:pPr>
        <w:pStyle w:val="Heading1"/>
        <w:spacing w:before="320" w:after="120"/>
      </w:pPr>
      <w:r>
        <w:rPr>
          <w:rFonts w:ascii="Calibri" w:hAnsi="Calibri"/>
          <w:color w:val="2E74B5"/>
          <w:sz w:val="32"/>
        </w:rPr>
        <w:lastRenderedPageBreak/>
        <w:t>Appendix H. Forms, messages and activity</w:t>
      </w:r>
    </w:p>
    <w:p w14:paraId="1211E0EC" w14:textId="77777777" w:rsidR="000968E0" w:rsidRDefault="00705366">
      <w:pPr>
        <w:pStyle w:val="Heading2"/>
        <w:spacing w:after="120"/>
      </w:pPr>
      <w:r>
        <w:rPr>
          <w:rFonts w:ascii="Calibri" w:hAnsi="Calibri"/>
          <w:color w:val="2E74B5"/>
        </w:rPr>
        <w:t>Forms</w:t>
      </w:r>
    </w:p>
    <w:p w14:paraId="52EE684B" w14:textId="77777777" w:rsidR="000968E0" w:rsidRDefault="00705366">
      <w:pPr>
        <w:spacing w:after="120" w:line="300" w:lineRule="auto"/>
      </w:pPr>
      <w:r>
        <w:t>My Forms presents the forms relevant to the signed-in employee, including their progress and Start or Continue actions. Forms are part of the employee experience and can be reached from the employee navigation or related lifecycle context.</w:t>
      </w:r>
    </w:p>
    <w:p w14:paraId="1F23E5AE" w14:textId="77777777" w:rsidR="000968E0" w:rsidRDefault="00705366">
      <w:pPr>
        <w:pStyle w:val="Heading2"/>
        <w:spacing w:after="120"/>
      </w:pPr>
      <w:r>
        <w:rPr>
          <w:rFonts w:ascii="Calibri" w:hAnsi="Calibri"/>
          <w:color w:val="2E74B5"/>
        </w:rPr>
        <w:t>Messages</w:t>
      </w:r>
    </w:p>
    <w:p w14:paraId="3F2F1549" w14:textId="77777777" w:rsidR="000968E0" w:rsidRDefault="00705366">
      <w:pPr>
        <w:spacing w:after="120" w:line="300" w:lineRule="auto"/>
      </w:pPr>
      <w:r>
        <w:t>Mock Inbox is the demonstration notification channel. It lets a presenter show that workflow activity can create a traceable notification without relying on an external mailbox. When AWS SES test delivery is enabled, the mock record remains the safe in-app audit channel.</w:t>
      </w:r>
    </w:p>
    <w:p w14:paraId="0C505987" w14:textId="77777777" w:rsidR="000968E0" w:rsidRDefault="00705366">
      <w:pPr>
        <w:pStyle w:val="Heading2"/>
        <w:spacing w:after="120"/>
      </w:pPr>
      <w:r>
        <w:rPr>
          <w:rFonts w:ascii="Calibri" w:hAnsi="Calibri"/>
          <w:color w:val="2E74B5"/>
        </w:rPr>
        <w:t>Activity history</w:t>
      </w:r>
    </w:p>
    <w:p w14:paraId="018758E1" w14:textId="77777777" w:rsidR="000968E0" w:rsidRDefault="00705366">
      <w:pPr>
        <w:spacing w:after="120" w:line="300" w:lineRule="auto"/>
      </w:pPr>
      <w:r>
        <w:t>Lifecycle activity gives administrators and operational users a chronological context for case progress. It is intended to make ownership and changes easier to understand in the prototype; retention, legal audit requirements and production evidence controls need enterprise design.</w:t>
      </w:r>
    </w:p>
    <w:p w14:paraId="40695221" w14:textId="77777777" w:rsidR="000968E0" w:rsidRDefault="00705366">
      <w:r>
        <w:br w:type="page"/>
      </w:r>
    </w:p>
    <w:p w14:paraId="2380A424" w14:textId="77777777" w:rsidR="000968E0" w:rsidRDefault="00705366">
      <w:pPr>
        <w:pStyle w:val="Heading1"/>
        <w:spacing w:before="320" w:after="120"/>
      </w:pPr>
      <w:r>
        <w:rPr>
          <w:rFonts w:ascii="Calibri" w:hAnsi="Calibri"/>
          <w:color w:val="2E74B5"/>
          <w:sz w:val="32"/>
        </w:rPr>
        <w:lastRenderedPageBreak/>
        <w:t>Appendix I. Reporting and automation interpretation</w:t>
      </w:r>
    </w:p>
    <w:p w14:paraId="1925CA74" w14:textId="77777777" w:rsidR="000968E0" w:rsidRDefault="00705366">
      <w:pPr>
        <w:spacing w:after="120" w:line="300" w:lineRule="auto"/>
      </w:pPr>
      <w:r>
        <w:t>Reports should be presented as operational decision support: lifecycle status, readiness, bottlenecks and work that requires attention. They are not a substitute for an enterprise reporting platform or an assurance that all source data is live.</w:t>
      </w:r>
    </w:p>
    <w:tbl>
      <w:tblPr>
        <w:tblStyle w:val="TableGrid"/>
        <w:tblW w:w="0" w:type="auto"/>
        <w:jc w:val="center"/>
        <w:tblLook w:val="04A0" w:firstRow="1" w:lastRow="0" w:firstColumn="1" w:lastColumn="0" w:noHBand="0" w:noVBand="1"/>
      </w:tblPr>
      <w:tblGrid>
        <w:gridCol w:w="3264"/>
        <w:gridCol w:w="3264"/>
        <w:gridCol w:w="3264"/>
      </w:tblGrid>
      <w:tr w:rsidR="000968E0" w14:paraId="4DF2FCDB" w14:textId="77777777">
        <w:trPr>
          <w:jc w:val="center"/>
        </w:trPr>
        <w:tc>
          <w:tcPr>
            <w:tcW w:w="3264" w:type="dxa"/>
            <w:shd w:val="clear" w:color="auto" w:fill="E8EEF5"/>
          </w:tcPr>
          <w:p w14:paraId="59D481A8" w14:textId="77777777" w:rsidR="000968E0" w:rsidRDefault="00705366">
            <w:r>
              <w:rPr>
                <w:b/>
                <w:color w:val="0B2545"/>
                <w:sz w:val="19"/>
              </w:rPr>
              <w:t>View</w:t>
            </w:r>
          </w:p>
        </w:tc>
        <w:tc>
          <w:tcPr>
            <w:tcW w:w="3264" w:type="dxa"/>
            <w:shd w:val="clear" w:color="auto" w:fill="E8EEF5"/>
          </w:tcPr>
          <w:p w14:paraId="487EE8BE" w14:textId="77777777" w:rsidR="000968E0" w:rsidRDefault="00705366">
            <w:r>
              <w:rPr>
                <w:b/>
                <w:color w:val="0B2545"/>
                <w:sz w:val="19"/>
              </w:rPr>
              <w:t>Implemented in prototype</w:t>
            </w:r>
          </w:p>
        </w:tc>
        <w:tc>
          <w:tcPr>
            <w:tcW w:w="3264" w:type="dxa"/>
            <w:shd w:val="clear" w:color="auto" w:fill="E8EEF5"/>
          </w:tcPr>
          <w:p w14:paraId="47B38B47" w14:textId="77777777" w:rsidR="000968E0" w:rsidRDefault="00705366">
            <w:r>
              <w:rPr>
                <w:b/>
                <w:color w:val="0B2545"/>
                <w:sz w:val="19"/>
              </w:rPr>
              <w:t>Production extension</w:t>
            </w:r>
          </w:p>
        </w:tc>
      </w:tr>
      <w:tr w:rsidR="000968E0" w14:paraId="307C4310" w14:textId="77777777">
        <w:trPr>
          <w:jc w:val="center"/>
        </w:trPr>
        <w:tc>
          <w:tcPr>
            <w:tcW w:w="3264" w:type="dxa"/>
          </w:tcPr>
          <w:p w14:paraId="7DDB4422" w14:textId="77777777" w:rsidR="000968E0" w:rsidRDefault="00705366">
            <w:r>
              <w:rPr>
                <w:sz w:val="19"/>
              </w:rPr>
              <w:t>Reports</w:t>
            </w:r>
          </w:p>
        </w:tc>
        <w:tc>
          <w:tcPr>
            <w:tcW w:w="3264" w:type="dxa"/>
          </w:tcPr>
          <w:p w14:paraId="5FD1BFBD" w14:textId="77777777" w:rsidR="000968E0" w:rsidRDefault="00705366">
            <w:r>
              <w:rPr>
                <w:sz w:val="19"/>
              </w:rPr>
              <w:t>Lifecycle/readiness/bottleneck visibility</w:t>
            </w:r>
          </w:p>
        </w:tc>
        <w:tc>
          <w:tcPr>
            <w:tcW w:w="3264" w:type="dxa"/>
          </w:tcPr>
          <w:p w14:paraId="0CB5AB60" w14:textId="77777777" w:rsidR="000968E0" w:rsidRDefault="00705366">
            <w:r>
              <w:rPr>
                <w:sz w:val="19"/>
              </w:rPr>
              <w:t>Power BI semantic model, governed metrics and scheduled distribution.</w:t>
            </w:r>
          </w:p>
        </w:tc>
      </w:tr>
      <w:tr w:rsidR="000968E0" w14:paraId="346D07C7" w14:textId="77777777">
        <w:trPr>
          <w:jc w:val="center"/>
        </w:trPr>
        <w:tc>
          <w:tcPr>
            <w:tcW w:w="3264" w:type="dxa"/>
          </w:tcPr>
          <w:p w14:paraId="2A2597B4" w14:textId="77777777" w:rsidR="000968E0" w:rsidRDefault="00705366">
            <w:r>
              <w:rPr>
                <w:sz w:val="19"/>
              </w:rPr>
              <w:t>Automation</w:t>
            </w:r>
          </w:p>
        </w:tc>
        <w:tc>
          <w:tcPr>
            <w:tcW w:w="3264" w:type="dxa"/>
          </w:tcPr>
          <w:p w14:paraId="7F399487" w14:textId="77777777" w:rsidR="000968E0" w:rsidRDefault="00705366">
            <w:r>
              <w:rPr>
                <w:sz w:val="19"/>
              </w:rPr>
              <w:t>Prototype automation activity and simulation</w:t>
            </w:r>
          </w:p>
        </w:tc>
        <w:tc>
          <w:tcPr>
            <w:tcW w:w="3264" w:type="dxa"/>
          </w:tcPr>
          <w:p w14:paraId="5F03EB76" w14:textId="77777777" w:rsidR="000968E0" w:rsidRDefault="00705366">
            <w:r>
              <w:rPr>
                <w:sz w:val="19"/>
              </w:rPr>
              <w:t>Power Automate flows, managed connectors, monitoring and exception handling.</w:t>
            </w:r>
          </w:p>
        </w:tc>
      </w:tr>
      <w:tr w:rsidR="000968E0" w14:paraId="1C7F5E66" w14:textId="77777777">
        <w:trPr>
          <w:jc w:val="center"/>
        </w:trPr>
        <w:tc>
          <w:tcPr>
            <w:tcW w:w="3264" w:type="dxa"/>
          </w:tcPr>
          <w:p w14:paraId="55D02513" w14:textId="77777777" w:rsidR="000968E0" w:rsidRDefault="00705366">
            <w:r>
              <w:rPr>
                <w:sz w:val="19"/>
              </w:rPr>
              <w:t>Notifications</w:t>
            </w:r>
          </w:p>
        </w:tc>
        <w:tc>
          <w:tcPr>
            <w:tcW w:w="3264" w:type="dxa"/>
          </w:tcPr>
          <w:p w14:paraId="2D2B2431" w14:textId="77777777" w:rsidR="000968E0" w:rsidRDefault="00705366">
            <w:r>
              <w:rPr>
                <w:sz w:val="19"/>
              </w:rPr>
              <w:t>Mock Inbox plus optional SES test delivery</w:t>
            </w:r>
          </w:p>
        </w:tc>
        <w:tc>
          <w:tcPr>
            <w:tcW w:w="3264" w:type="dxa"/>
          </w:tcPr>
          <w:p w14:paraId="6B1840EB" w14:textId="77777777" w:rsidR="000968E0" w:rsidRDefault="00705366">
            <w:r>
              <w:rPr>
                <w:sz w:val="19"/>
              </w:rPr>
              <w:t>Microsoft 365, Graph or approved Outlook connector integration.</w:t>
            </w:r>
          </w:p>
        </w:tc>
      </w:tr>
    </w:tbl>
    <w:p w14:paraId="5D553F9A" w14:textId="77777777" w:rsidR="000968E0" w:rsidRDefault="000968E0"/>
    <w:p w14:paraId="2A75DAE7" w14:textId="77777777" w:rsidR="000968E0" w:rsidRDefault="00705366">
      <w:r>
        <w:br w:type="page"/>
      </w:r>
    </w:p>
    <w:p w14:paraId="065B8F3C" w14:textId="77777777" w:rsidR="000968E0" w:rsidRDefault="00705366">
      <w:pPr>
        <w:pStyle w:val="Heading1"/>
        <w:spacing w:before="320" w:after="120"/>
      </w:pPr>
      <w:r>
        <w:rPr>
          <w:rFonts w:ascii="Calibri" w:hAnsi="Calibri"/>
          <w:color w:val="2E74B5"/>
          <w:sz w:val="32"/>
        </w:rPr>
        <w:lastRenderedPageBreak/>
        <w:t>Appendix J. Production readiness checklist</w:t>
      </w:r>
    </w:p>
    <w:p w14:paraId="0192B6EF" w14:textId="77777777" w:rsidR="000968E0" w:rsidRDefault="00705366">
      <w:pPr>
        <w:pStyle w:val="ListBullet"/>
        <w:spacing w:after="60"/>
      </w:pPr>
      <w:r>
        <w:t>Confirm the approved Workday integration pattern and lifecycle event contracts.</w:t>
      </w:r>
    </w:p>
    <w:p w14:paraId="7480A2E6" w14:textId="77777777" w:rsidR="000968E0" w:rsidRDefault="00705366">
      <w:pPr>
        <w:pStyle w:val="ListBullet"/>
        <w:spacing w:after="60"/>
      </w:pPr>
      <w:r>
        <w:t>Implement Microsoft Entra ID authentication, MFA and production RBAC.</w:t>
      </w:r>
    </w:p>
    <w:p w14:paraId="05F6349D" w14:textId="77777777" w:rsidR="000968E0" w:rsidRDefault="00705366">
      <w:pPr>
        <w:pStyle w:val="ListBullet"/>
        <w:spacing w:after="60"/>
      </w:pPr>
      <w:r>
        <w:t>Move prototype/local data to Dataverse or approved enterprise storage.</w:t>
      </w:r>
    </w:p>
    <w:p w14:paraId="514D2EFF" w14:textId="77777777" w:rsidR="000968E0" w:rsidRDefault="00705366">
      <w:pPr>
        <w:pStyle w:val="ListBullet"/>
        <w:spacing w:after="60"/>
      </w:pPr>
      <w:r>
        <w:t>Implement approved Microsoft 365 notification delivery and sender governance.</w:t>
      </w:r>
    </w:p>
    <w:p w14:paraId="1910BCD0" w14:textId="77777777" w:rsidR="000968E0" w:rsidRDefault="00705366">
      <w:pPr>
        <w:pStyle w:val="ListBullet"/>
        <w:spacing w:after="60"/>
      </w:pPr>
      <w:r>
        <w:t>Use Azure Key Vault or equivalent approved secret storage.</w:t>
      </w:r>
    </w:p>
    <w:p w14:paraId="322838AD" w14:textId="77777777" w:rsidR="000968E0" w:rsidRDefault="00705366">
      <w:pPr>
        <w:pStyle w:val="ListBullet"/>
        <w:spacing w:after="60"/>
      </w:pPr>
      <w:r>
        <w:t>Add monitoring, application logging, alerting, retention and operational runbooks.</w:t>
      </w:r>
    </w:p>
    <w:p w14:paraId="4C1318C4" w14:textId="77777777" w:rsidR="000968E0" w:rsidRDefault="00705366">
      <w:pPr>
        <w:pStyle w:val="ListBullet"/>
        <w:spacing w:after="60"/>
      </w:pPr>
      <w:r>
        <w:t>Complete security, privacy, records-retention and accessibility assessment.</w:t>
      </w:r>
    </w:p>
    <w:p w14:paraId="13AA01D4" w14:textId="77777777" w:rsidR="000968E0" w:rsidRDefault="00705366">
      <w:pPr>
        <w:pStyle w:val="ListBullet"/>
        <w:spacing w:after="60"/>
      </w:pPr>
      <w:r>
        <w:t>Define rollout, training, support ownership and change-management activities.</w:t>
      </w:r>
    </w:p>
    <w:p w14:paraId="7C14E7B2" w14:textId="77777777" w:rsidR="000968E0" w:rsidRDefault="00705366">
      <w:pPr>
        <w:spacing w:after="120" w:line="300" w:lineRule="auto"/>
      </w:pPr>
      <w:r>
        <w:t>These are proposed production requirements. They are not claimed as implemented in the hackathon application.</w:t>
      </w:r>
    </w:p>
    <w:p w14:paraId="49099505" w14:textId="77777777" w:rsidR="000968E0" w:rsidRDefault="00705366">
      <w:r>
        <w:br w:type="page"/>
      </w:r>
    </w:p>
    <w:p w14:paraId="0FA6B650" w14:textId="77777777" w:rsidR="000968E0" w:rsidRDefault="00705366">
      <w:pPr>
        <w:pStyle w:val="Heading1"/>
        <w:spacing w:before="320" w:after="120"/>
      </w:pPr>
      <w:r>
        <w:rPr>
          <w:rFonts w:ascii="Calibri" w:hAnsi="Calibri"/>
          <w:color w:val="2E74B5"/>
          <w:sz w:val="32"/>
        </w:rPr>
        <w:lastRenderedPageBreak/>
        <w:t>Appendix K. Indicative delivery and cost considerations</w:t>
      </w:r>
    </w:p>
    <w:p w14:paraId="09ACD835" w14:textId="77777777" w:rsidR="000968E0" w:rsidRDefault="00705366">
      <w:pPr>
        <w:spacing w:after="120" w:line="300" w:lineRule="auto"/>
      </w:pPr>
      <w:r>
        <w:t>Production cost is not a fixed estimate in this prototype. It depends on existing PPG Microsoft enterprise agreements, licensing entitlement, Workday integration scope, data migration, environments, support model and security requirements. Existing Microsoft 365 and Azure agreements may change incremental pricing materially.</w:t>
      </w:r>
    </w:p>
    <w:tbl>
      <w:tblPr>
        <w:tblStyle w:val="TableGrid"/>
        <w:tblW w:w="0" w:type="auto"/>
        <w:jc w:val="center"/>
        <w:tblLook w:val="04A0" w:firstRow="1" w:lastRow="0" w:firstColumn="1" w:lastColumn="0" w:noHBand="0" w:noVBand="1"/>
      </w:tblPr>
      <w:tblGrid>
        <w:gridCol w:w="4896"/>
        <w:gridCol w:w="4896"/>
      </w:tblGrid>
      <w:tr w:rsidR="000968E0" w14:paraId="651B7E73" w14:textId="77777777">
        <w:trPr>
          <w:jc w:val="center"/>
        </w:trPr>
        <w:tc>
          <w:tcPr>
            <w:tcW w:w="4896" w:type="dxa"/>
            <w:shd w:val="clear" w:color="auto" w:fill="E8EEF5"/>
          </w:tcPr>
          <w:p w14:paraId="46EF251F" w14:textId="77777777" w:rsidR="000968E0" w:rsidRDefault="00705366">
            <w:r>
              <w:rPr>
                <w:b/>
                <w:color w:val="0B2545"/>
                <w:sz w:val="19"/>
              </w:rPr>
              <w:t>Workstream</w:t>
            </w:r>
          </w:p>
        </w:tc>
        <w:tc>
          <w:tcPr>
            <w:tcW w:w="4896" w:type="dxa"/>
            <w:shd w:val="clear" w:color="auto" w:fill="E8EEF5"/>
          </w:tcPr>
          <w:p w14:paraId="5F6FF51F" w14:textId="77777777" w:rsidR="000968E0" w:rsidRDefault="00705366">
            <w:r>
              <w:rPr>
                <w:b/>
                <w:color w:val="0B2545"/>
                <w:sz w:val="19"/>
              </w:rPr>
              <w:t>Planning consideration</w:t>
            </w:r>
          </w:p>
        </w:tc>
      </w:tr>
      <w:tr w:rsidR="000968E0" w14:paraId="50AA27B9" w14:textId="77777777">
        <w:trPr>
          <w:jc w:val="center"/>
        </w:trPr>
        <w:tc>
          <w:tcPr>
            <w:tcW w:w="4896" w:type="dxa"/>
          </w:tcPr>
          <w:p w14:paraId="6ACEF9F6" w14:textId="77777777" w:rsidR="000968E0" w:rsidRDefault="00705366">
            <w:r>
              <w:rPr>
                <w:sz w:val="19"/>
              </w:rPr>
              <w:t>Discovery and process design</w:t>
            </w:r>
          </w:p>
        </w:tc>
        <w:tc>
          <w:tcPr>
            <w:tcW w:w="4896" w:type="dxa"/>
          </w:tcPr>
          <w:p w14:paraId="215839B2" w14:textId="77777777" w:rsidR="000968E0" w:rsidRDefault="00705366">
            <w:r>
              <w:rPr>
                <w:sz w:val="19"/>
              </w:rPr>
              <w:t>Lifecycle variants, ownership, SLAs and escalation design.</w:t>
            </w:r>
          </w:p>
        </w:tc>
      </w:tr>
      <w:tr w:rsidR="000968E0" w14:paraId="189D7798" w14:textId="77777777">
        <w:trPr>
          <w:jc w:val="center"/>
        </w:trPr>
        <w:tc>
          <w:tcPr>
            <w:tcW w:w="4896" w:type="dxa"/>
          </w:tcPr>
          <w:p w14:paraId="2AC2B7AE" w14:textId="77777777" w:rsidR="000968E0" w:rsidRDefault="00705366">
            <w:r>
              <w:rPr>
                <w:sz w:val="19"/>
              </w:rPr>
              <w:t>Integration</w:t>
            </w:r>
          </w:p>
        </w:tc>
        <w:tc>
          <w:tcPr>
            <w:tcW w:w="4896" w:type="dxa"/>
          </w:tcPr>
          <w:p w14:paraId="0B0D4F07" w14:textId="77777777" w:rsidR="000968E0" w:rsidRDefault="00705366">
            <w:r>
              <w:rPr>
                <w:sz w:val="19"/>
              </w:rPr>
              <w:t>Workday contracts, identity, Microsoft 365 and enterprise APIs.</w:t>
            </w:r>
          </w:p>
        </w:tc>
      </w:tr>
      <w:tr w:rsidR="000968E0" w14:paraId="256A7F38" w14:textId="77777777">
        <w:trPr>
          <w:jc w:val="center"/>
        </w:trPr>
        <w:tc>
          <w:tcPr>
            <w:tcW w:w="4896" w:type="dxa"/>
          </w:tcPr>
          <w:p w14:paraId="6C01B099" w14:textId="77777777" w:rsidR="000968E0" w:rsidRDefault="00705366">
            <w:r>
              <w:rPr>
                <w:sz w:val="19"/>
              </w:rPr>
              <w:t>Platform</w:t>
            </w:r>
          </w:p>
        </w:tc>
        <w:tc>
          <w:tcPr>
            <w:tcW w:w="4896" w:type="dxa"/>
          </w:tcPr>
          <w:p w14:paraId="17E0C822" w14:textId="77777777" w:rsidR="000968E0" w:rsidRDefault="00705366">
            <w:r>
              <w:rPr>
                <w:sz w:val="19"/>
              </w:rPr>
              <w:t>Dataverse, Power Platform, Azure hosting/monitoring and environments.</w:t>
            </w:r>
          </w:p>
        </w:tc>
      </w:tr>
      <w:tr w:rsidR="000968E0" w14:paraId="18CABD91" w14:textId="77777777">
        <w:trPr>
          <w:jc w:val="center"/>
        </w:trPr>
        <w:tc>
          <w:tcPr>
            <w:tcW w:w="4896" w:type="dxa"/>
          </w:tcPr>
          <w:p w14:paraId="019F4A09" w14:textId="77777777" w:rsidR="000968E0" w:rsidRDefault="00705366">
            <w:r>
              <w:rPr>
                <w:sz w:val="19"/>
              </w:rPr>
              <w:t>Security</w:t>
            </w:r>
          </w:p>
        </w:tc>
        <w:tc>
          <w:tcPr>
            <w:tcW w:w="4896" w:type="dxa"/>
          </w:tcPr>
          <w:p w14:paraId="56E7E1B5" w14:textId="77777777" w:rsidR="000968E0" w:rsidRDefault="00705366">
            <w:r>
              <w:rPr>
                <w:sz w:val="19"/>
              </w:rPr>
              <w:t>Entra ID, RBAC, Key Vault, logging, privacy and review.</w:t>
            </w:r>
          </w:p>
        </w:tc>
      </w:tr>
      <w:tr w:rsidR="000968E0" w14:paraId="6ADFF8B2" w14:textId="77777777">
        <w:trPr>
          <w:jc w:val="center"/>
        </w:trPr>
        <w:tc>
          <w:tcPr>
            <w:tcW w:w="4896" w:type="dxa"/>
          </w:tcPr>
          <w:p w14:paraId="34D71654" w14:textId="77777777" w:rsidR="000968E0" w:rsidRDefault="00705366">
            <w:r>
              <w:rPr>
                <w:sz w:val="19"/>
              </w:rPr>
              <w:t>Adoption</w:t>
            </w:r>
          </w:p>
        </w:tc>
        <w:tc>
          <w:tcPr>
            <w:tcW w:w="4896" w:type="dxa"/>
          </w:tcPr>
          <w:p w14:paraId="3A806643" w14:textId="77777777" w:rsidR="000968E0" w:rsidRDefault="00705366">
            <w:r>
              <w:rPr>
                <w:sz w:val="19"/>
              </w:rPr>
              <w:t>Training, communications, support and operational handover.</w:t>
            </w:r>
          </w:p>
        </w:tc>
      </w:tr>
    </w:tbl>
    <w:p w14:paraId="2D54B522" w14:textId="77777777" w:rsidR="000968E0" w:rsidRDefault="000968E0"/>
    <w:p w14:paraId="25B5A58E" w14:textId="77777777" w:rsidR="000968E0" w:rsidRDefault="00705366">
      <w:r>
        <w:br w:type="page"/>
      </w:r>
    </w:p>
    <w:p w14:paraId="449D0803" w14:textId="77777777" w:rsidR="000968E0" w:rsidRDefault="00705366">
      <w:pPr>
        <w:pStyle w:val="Heading1"/>
        <w:spacing w:before="320" w:after="120"/>
      </w:pPr>
      <w:r>
        <w:rPr>
          <w:rFonts w:ascii="Calibri" w:hAnsi="Calibri"/>
          <w:color w:val="2E74B5"/>
          <w:sz w:val="32"/>
        </w:rPr>
        <w:lastRenderedPageBreak/>
        <w:t>Appendix L. Presenter FAQ and safe-demo checklist</w:t>
      </w:r>
    </w:p>
    <w:p w14:paraId="5749233F" w14:textId="77777777" w:rsidR="000968E0" w:rsidRDefault="00705366">
      <w:pPr>
        <w:pStyle w:val="Heading2"/>
        <w:spacing w:after="120"/>
      </w:pPr>
      <w:r>
        <w:rPr>
          <w:rFonts w:ascii="Calibri" w:hAnsi="Calibri"/>
          <w:color w:val="2E74B5"/>
        </w:rPr>
        <w:t>Presenter FAQ</w:t>
      </w:r>
    </w:p>
    <w:tbl>
      <w:tblPr>
        <w:tblStyle w:val="TableGrid"/>
        <w:tblW w:w="0" w:type="auto"/>
        <w:jc w:val="center"/>
        <w:tblLook w:val="04A0" w:firstRow="1" w:lastRow="0" w:firstColumn="1" w:lastColumn="0" w:noHBand="0" w:noVBand="1"/>
      </w:tblPr>
      <w:tblGrid>
        <w:gridCol w:w="4896"/>
        <w:gridCol w:w="4896"/>
      </w:tblGrid>
      <w:tr w:rsidR="000968E0" w14:paraId="79C54464" w14:textId="77777777">
        <w:trPr>
          <w:jc w:val="center"/>
        </w:trPr>
        <w:tc>
          <w:tcPr>
            <w:tcW w:w="4896" w:type="dxa"/>
            <w:shd w:val="clear" w:color="auto" w:fill="E8EEF5"/>
          </w:tcPr>
          <w:p w14:paraId="2BD9FEA8" w14:textId="77777777" w:rsidR="000968E0" w:rsidRDefault="00705366">
            <w:r>
              <w:rPr>
                <w:b/>
                <w:color w:val="0B2545"/>
                <w:sz w:val="19"/>
              </w:rPr>
              <w:t>Question</w:t>
            </w:r>
          </w:p>
        </w:tc>
        <w:tc>
          <w:tcPr>
            <w:tcW w:w="4896" w:type="dxa"/>
            <w:shd w:val="clear" w:color="auto" w:fill="E8EEF5"/>
          </w:tcPr>
          <w:p w14:paraId="650B338B" w14:textId="77777777" w:rsidR="000968E0" w:rsidRDefault="00705366">
            <w:r>
              <w:rPr>
                <w:b/>
                <w:color w:val="0B2545"/>
                <w:sz w:val="19"/>
              </w:rPr>
              <w:t>Response</w:t>
            </w:r>
          </w:p>
        </w:tc>
      </w:tr>
      <w:tr w:rsidR="000968E0" w14:paraId="5D824EE8" w14:textId="77777777">
        <w:trPr>
          <w:jc w:val="center"/>
        </w:trPr>
        <w:tc>
          <w:tcPr>
            <w:tcW w:w="4896" w:type="dxa"/>
          </w:tcPr>
          <w:p w14:paraId="1FDDBBEC" w14:textId="77777777" w:rsidR="000968E0" w:rsidRDefault="00705366">
            <w:r>
              <w:rPr>
                <w:sz w:val="19"/>
              </w:rPr>
              <w:t>Is any employee data real?</w:t>
            </w:r>
          </w:p>
        </w:tc>
        <w:tc>
          <w:tcPr>
            <w:tcW w:w="4896" w:type="dxa"/>
          </w:tcPr>
          <w:p w14:paraId="187F0F80" w14:textId="77777777" w:rsidR="000968E0" w:rsidRDefault="00705366">
            <w:r>
              <w:rPr>
                <w:sz w:val="19"/>
              </w:rPr>
              <w:t>No. The demonstration uses synthetic data and demo accounts.</w:t>
            </w:r>
          </w:p>
        </w:tc>
      </w:tr>
      <w:tr w:rsidR="000968E0" w14:paraId="3304D40F" w14:textId="77777777">
        <w:trPr>
          <w:jc w:val="center"/>
        </w:trPr>
        <w:tc>
          <w:tcPr>
            <w:tcW w:w="4896" w:type="dxa"/>
          </w:tcPr>
          <w:p w14:paraId="6B19F6F7" w14:textId="77777777" w:rsidR="000968E0" w:rsidRDefault="00705366">
            <w:r>
              <w:rPr>
                <w:sz w:val="19"/>
              </w:rPr>
              <w:t>Can an administrator enter AWS credentials?</w:t>
            </w:r>
          </w:p>
        </w:tc>
        <w:tc>
          <w:tcPr>
            <w:tcW w:w="4896" w:type="dxa"/>
          </w:tcPr>
          <w:p w14:paraId="5E245605" w14:textId="77777777" w:rsidR="000968E0" w:rsidRDefault="00705366">
            <w:r>
              <w:rPr>
                <w:sz w:val="19"/>
              </w:rPr>
              <w:t>No. Credentials are managed server-side and are never a normal UI workflow.</w:t>
            </w:r>
          </w:p>
        </w:tc>
      </w:tr>
      <w:tr w:rsidR="000968E0" w14:paraId="1EE9A827" w14:textId="77777777">
        <w:trPr>
          <w:jc w:val="center"/>
        </w:trPr>
        <w:tc>
          <w:tcPr>
            <w:tcW w:w="4896" w:type="dxa"/>
          </w:tcPr>
          <w:p w14:paraId="5B481FE9" w14:textId="77777777" w:rsidR="000968E0" w:rsidRDefault="00705366">
            <w:r>
              <w:rPr>
                <w:sz w:val="19"/>
              </w:rPr>
              <w:t>Why use SES in the demo?</w:t>
            </w:r>
          </w:p>
        </w:tc>
        <w:tc>
          <w:tcPr>
            <w:tcW w:w="4896" w:type="dxa"/>
          </w:tcPr>
          <w:p w14:paraId="78FD0D06" w14:textId="77777777" w:rsidR="000968E0" w:rsidRDefault="00705366">
            <w:r>
              <w:rPr>
                <w:sz w:val="19"/>
              </w:rPr>
              <w:t>It is an optional prototype test-delivery capability; Microsoft 365 is the production direction.</w:t>
            </w:r>
          </w:p>
        </w:tc>
      </w:tr>
      <w:tr w:rsidR="000968E0" w14:paraId="6CE8903C" w14:textId="77777777">
        <w:trPr>
          <w:jc w:val="center"/>
        </w:trPr>
        <w:tc>
          <w:tcPr>
            <w:tcW w:w="4896" w:type="dxa"/>
          </w:tcPr>
          <w:p w14:paraId="04E49525" w14:textId="77777777" w:rsidR="000968E0" w:rsidRDefault="00705366">
            <w:r>
              <w:rPr>
                <w:sz w:val="19"/>
              </w:rPr>
              <w:t>Can the demo be reset?</w:t>
            </w:r>
          </w:p>
        </w:tc>
        <w:tc>
          <w:tcPr>
            <w:tcW w:w="4896" w:type="dxa"/>
          </w:tcPr>
          <w:p w14:paraId="503A7007" w14:textId="77777777" w:rsidR="000968E0" w:rsidRDefault="00705366">
            <w:r>
              <w:rPr>
                <w:sz w:val="19"/>
              </w:rPr>
              <w:t>Use the supported reset controls where they are displayed, then confirm the synthetic state is restored.</w:t>
            </w:r>
          </w:p>
        </w:tc>
      </w:tr>
    </w:tbl>
    <w:p w14:paraId="30F249E1" w14:textId="77777777" w:rsidR="000968E0" w:rsidRDefault="000968E0"/>
    <w:p w14:paraId="5A090EC9" w14:textId="77777777" w:rsidR="000968E0" w:rsidRDefault="00705366">
      <w:pPr>
        <w:pStyle w:val="Heading2"/>
        <w:spacing w:after="120"/>
      </w:pPr>
      <w:r>
        <w:rPr>
          <w:rFonts w:ascii="Calibri" w:hAnsi="Calibri"/>
          <w:color w:val="2E74B5"/>
        </w:rPr>
        <w:t>Before presenting</w:t>
      </w:r>
    </w:p>
    <w:p w14:paraId="28890AE4" w14:textId="77777777" w:rsidR="000968E0" w:rsidRDefault="00705366">
      <w:pPr>
        <w:pStyle w:val="ListBullet"/>
        <w:spacing w:after="60"/>
      </w:pPr>
      <w:r>
        <w:t>Open the public demo URL, not an internal address.</w:t>
      </w:r>
    </w:p>
    <w:p w14:paraId="2C738673" w14:textId="77777777" w:rsidR="000968E0" w:rsidRDefault="00705366">
      <w:pPr>
        <w:pStyle w:val="ListBullet"/>
        <w:spacing w:after="60"/>
      </w:pPr>
      <w:r>
        <w:t>Use a permitted demo role and confirm the expected journey is visible.</w:t>
      </w:r>
    </w:p>
    <w:p w14:paraId="66F9B767" w14:textId="77777777" w:rsidR="000968E0" w:rsidRDefault="00705366">
      <w:pPr>
        <w:pStyle w:val="ListBullet"/>
        <w:spacing w:after="60"/>
      </w:pPr>
      <w:r>
        <w:t>Do not expose credentials, browser developer tools or real recipient destinations.</w:t>
      </w:r>
    </w:p>
    <w:p w14:paraId="14FDCB27" w14:textId="77777777" w:rsidR="000968E0" w:rsidRDefault="00705366">
      <w:pPr>
        <w:pStyle w:val="ListBullet"/>
        <w:spacing w:after="60"/>
      </w:pPr>
      <w:r>
        <w:t>Use Mock mode when external delivery is unnecessary.</w:t>
      </w:r>
    </w:p>
    <w:p w14:paraId="67675DC0" w14:textId="77777777" w:rsidR="000968E0" w:rsidRDefault="00705366">
      <w:pPr>
        <w:pStyle w:val="ListBullet"/>
        <w:spacing w:after="60"/>
      </w:pPr>
      <w:r>
        <w:t>If showing SES, confirm the synthetic identity has an approved recipient mapping first.</w:t>
      </w:r>
    </w:p>
    <w:p w14:paraId="03846CA4" w14:textId="77777777" w:rsidR="0030058B" w:rsidRDefault="009D2C5B">
      <w:r>
        <w:br w:type="page"/>
      </w:r>
    </w:p>
    <w:p w14:paraId="0A48738C" w14:textId="77777777" w:rsidR="0030058B" w:rsidRDefault="009D2C5B">
      <w:pPr>
        <w:pStyle w:val="Heading1"/>
        <w:spacing w:after="120"/>
      </w:pPr>
      <w:r>
        <w:rPr>
          <w:rFonts w:ascii="Calibri" w:hAnsi="Calibri"/>
          <w:color w:val="2E74B5"/>
          <w:sz w:val="32"/>
        </w:rPr>
        <w:lastRenderedPageBreak/>
        <w:t>Appendix M. Document navigation and figures</w:t>
      </w:r>
    </w:p>
    <w:p w14:paraId="18857C88" w14:textId="77777777" w:rsidR="0030058B" w:rsidRDefault="009D2C5B">
      <w:pPr>
        <w:spacing w:after="160"/>
      </w:pPr>
      <w:r>
        <w:t>This final navigation page summarises the handover manual for presenters, administrators and reviewers.</w:t>
      </w:r>
    </w:p>
    <w:tbl>
      <w:tblPr>
        <w:tblStyle w:val="TableGrid"/>
        <w:tblW w:w="0" w:type="auto"/>
        <w:jc w:val="center"/>
        <w:tblLook w:val="04A0" w:firstRow="1" w:lastRow="0" w:firstColumn="1" w:lastColumn="0" w:noHBand="0" w:noVBand="1"/>
      </w:tblPr>
      <w:tblGrid>
        <w:gridCol w:w="4896"/>
        <w:gridCol w:w="4896"/>
      </w:tblGrid>
      <w:tr w:rsidR="0030058B" w14:paraId="0EF3C9C0" w14:textId="77777777">
        <w:trPr>
          <w:jc w:val="center"/>
        </w:trPr>
        <w:tc>
          <w:tcPr>
            <w:tcW w:w="4896" w:type="dxa"/>
            <w:shd w:val="clear" w:color="auto" w:fill="E8EEF5"/>
          </w:tcPr>
          <w:p w14:paraId="5407297F" w14:textId="77777777" w:rsidR="0030058B" w:rsidRDefault="009D2C5B">
            <w:r>
              <w:rPr>
                <w:b/>
                <w:color w:val="0B2545"/>
                <w:sz w:val="19"/>
              </w:rPr>
              <w:t>Section</w:t>
            </w:r>
          </w:p>
        </w:tc>
        <w:tc>
          <w:tcPr>
            <w:tcW w:w="4896" w:type="dxa"/>
            <w:shd w:val="clear" w:color="auto" w:fill="E8EEF5"/>
          </w:tcPr>
          <w:p w14:paraId="31CFE0E7" w14:textId="77777777" w:rsidR="0030058B" w:rsidRDefault="009D2C5B">
            <w:r>
              <w:rPr>
                <w:b/>
                <w:color w:val="0B2545"/>
                <w:sz w:val="19"/>
              </w:rPr>
              <w:t>Use</w:t>
            </w:r>
          </w:p>
        </w:tc>
      </w:tr>
      <w:tr w:rsidR="0030058B" w14:paraId="25A76C79" w14:textId="77777777">
        <w:trPr>
          <w:jc w:val="center"/>
        </w:trPr>
        <w:tc>
          <w:tcPr>
            <w:tcW w:w="4896" w:type="dxa"/>
          </w:tcPr>
          <w:p w14:paraId="398F7755" w14:textId="77777777" w:rsidR="0030058B" w:rsidRDefault="009D2C5B">
            <w:r>
              <w:rPr>
                <w:sz w:val="19"/>
              </w:rPr>
              <w:t>1-2</w:t>
            </w:r>
          </w:p>
        </w:tc>
        <w:tc>
          <w:tcPr>
            <w:tcW w:w="4896" w:type="dxa"/>
          </w:tcPr>
          <w:p w14:paraId="4FE1D4A4" w14:textId="77777777" w:rsidR="0030058B" w:rsidRDefault="009D2C5B">
            <w:r>
              <w:rPr>
                <w:sz w:val="19"/>
              </w:rPr>
              <w:t>Purpose, access and role selection</w:t>
            </w:r>
          </w:p>
        </w:tc>
      </w:tr>
      <w:tr w:rsidR="0030058B" w14:paraId="08925D50" w14:textId="77777777">
        <w:trPr>
          <w:jc w:val="center"/>
        </w:trPr>
        <w:tc>
          <w:tcPr>
            <w:tcW w:w="4896" w:type="dxa"/>
          </w:tcPr>
          <w:p w14:paraId="22F93015" w14:textId="77777777" w:rsidR="0030058B" w:rsidRDefault="009D2C5B">
            <w:r>
              <w:rPr>
                <w:sz w:val="19"/>
              </w:rPr>
              <w:t>3</w:t>
            </w:r>
          </w:p>
        </w:tc>
        <w:tc>
          <w:tcPr>
            <w:tcW w:w="4896" w:type="dxa"/>
          </w:tcPr>
          <w:p w14:paraId="4CB64C1A" w14:textId="77777777" w:rsidR="0030058B" w:rsidRDefault="009D2C5B">
            <w:r>
              <w:rPr>
                <w:sz w:val="19"/>
              </w:rPr>
              <w:t>Current user manual and operational navigation</w:t>
            </w:r>
          </w:p>
        </w:tc>
      </w:tr>
      <w:tr w:rsidR="0030058B" w14:paraId="5A918180" w14:textId="77777777">
        <w:trPr>
          <w:jc w:val="center"/>
        </w:trPr>
        <w:tc>
          <w:tcPr>
            <w:tcW w:w="4896" w:type="dxa"/>
          </w:tcPr>
          <w:p w14:paraId="72126DB2" w14:textId="77777777" w:rsidR="0030058B" w:rsidRDefault="009D2C5B">
            <w:r>
              <w:rPr>
                <w:sz w:val="19"/>
              </w:rPr>
              <w:t>4</w:t>
            </w:r>
          </w:p>
        </w:tc>
        <w:tc>
          <w:tcPr>
            <w:tcW w:w="4896" w:type="dxa"/>
          </w:tcPr>
          <w:p w14:paraId="4807493D" w14:textId="77777777" w:rsidR="0030058B" w:rsidRDefault="009D2C5B">
            <w:r>
              <w:rPr>
                <w:sz w:val="19"/>
              </w:rPr>
              <w:t>How to send a test email and troubleshooting</w:t>
            </w:r>
          </w:p>
        </w:tc>
      </w:tr>
      <w:tr w:rsidR="0030058B" w14:paraId="0066868D" w14:textId="77777777">
        <w:trPr>
          <w:jc w:val="center"/>
        </w:trPr>
        <w:tc>
          <w:tcPr>
            <w:tcW w:w="4896" w:type="dxa"/>
          </w:tcPr>
          <w:p w14:paraId="1B21EB43" w14:textId="77777777" w:rsidR="0030058B" w:rsidRDefault="009D2C5B">
            <w:r>
              <w:rPr>
                <w:sz w:val="19"/>
              </w:rPr>
              <w:t>5</w:t>
            </w:r>
          </w:p>
        </w:tc>
        <w:tc>
          <w:tcPr>
            <w:tcW w:w="4896" w:type="dxa"/>
          </w:tcPr>
          <w:p w14:paraId="7F4B220F" w14:textId="77777777" w:rsidR="0030058B" w:rsidRDefault="009D2C5B">
            <w:r>
              <w:rPr>
                <w:sz w:val="19"/>
              </w:rPr>
              <w:t>Nabila onboarding and Hamdan offboarding walkthroughs</w:t>
            </w:r>
          </w:p>
        </w:tc>
      </w:tr>
      <w:tr w:rsidR="0030058B" w14:paraId="2FD9DE8B" w14:textId="77777777">
        <w:trPr>
          <w:jc w:val="center"/>
        </w:trPr>
        <w:tc>
          <w:tcPr>
            <w:tcW w:w="4896" w:type="dxa"/>
          </w:tcPr>
          <w:p w14:paraId="78446E51" w14:textId="77777777" w:rsidR="0030058B" w:rsidRDefault="009D2C5B">
            <w:r>
              <w:rPr>
                <w:sz w:val="19"/>
              </w:rPr>
              <w:t>6</w:t>
            </w:r>
          </w:p>
        </w:tc>
        <w:tc>
          <w:tcPr>
            <w:tcW w:w="4896" w:type="dxa"/>
          </w:tcPr>
          <w:p w14:paraId="744901E0" w14:textId="77777777" w:rsidR="0030058B" w:rsidRDefault="009D2C5B">
            <w:r>
              <w:rPr>
                <w:sz w:val="19"/>
              </w:rPr>
              <w:t>Workday demo data and prototype versus production</w:t>
            </w:r>
          </w:p>
        </w:tc>
      </w:tr>
      <w:tr w:rsidR="0030058B" w14:paraId="4849E2FD" w14:textId="77777777">
        <w:trPr>
          <w:jc w:val="center"/>
        </w:trPr>
        <w:tc>
          <w:tcPr>
            <w:tcW w:w="4896" w:type="dxa"/>
          </w:tcPr>
          <w:p w14:paraId="543B5130" w14:textId="77777777" w:rsidR="0030058B" w:rsidRDefault="009D2C5B">
            <w:r>
              <w:rPr>
                <w:sz w:val="19"/>
              </w:rPr>
              <w:t>7</w:t>
            </w:r>
          </w:p>
        </w:tc>
        <w:tc>
          <w:tcPr>
            <w:tcW w:w="4896" w:type="dxa"/>
          </w:tcPr>
          <w:p w14:paraId="02A67E5A" w14:textId="77777777" w:rsidR="0030058B" w:rsidRDefault="009D2C5B">
            <w:r>
              <w:rPr>
                <w:sz w:val="19"/>
              </w:rPr>
              <w:t>Deployment, persistence, benefits and demo guide</w:t>
            </w:r>
          </w:p>
        </w:tc>
      </w:tr>
      <w:tr w:rsidR="0030058B" w14:paraId="3557AED9" w14:textId="77777777">
        <w:trPr>
          <w:jc w:val="center"/>
        </w:trPr>
        <w:tc>
          <w:tcPr>
            <w:tcW w:w="4896" w:type="dxa"/>
          </w:tcPr>
          <w:p w14:paraId="5595E8C4" w14:textId="77777777" w:rsidR="0030058B" w:rsidRDefault="009D2C5B">
            <w:r>
              <w:rPr>
                <w:sz w:val="19"/>
              </w:rPr>
              <w:t>Appendix A-M</w:t>
            </w:r>
          </w:p>
        </w:tc>
        <w:tc>
          <w:tcPr>
            <w:tcW w:w="4896" w:type="dxa"/>
          </w:tcPr>
          <w:p w14:paraId="730F8469" w14:textId="77777777" w:rsidR="0030058B" w:rsidRDefault="009D2C5B">
            <w:r>
              <w:rPr>
                <w:sz w:val="19"/>
              </w:rPr>
              <w:t>Role guide, administrator guide, lifecycle walkthroughs, email reference, FAQ, screen reference, operating model, forms, reporting, readiness, cost and safe-demo checklist</w:t>
            </w:r>
          </w:p>
        </w:tc>
      </w:tr>
    </w:tbl>
    <w:p w14:paraId="7FDB9AA9" w14:textId="77777777" w:rsidR="0030058B" w:rsidRDefault="009D2C5B">
      <w:pPr>
        <w:pStyle w:val="Heading2"/>
        <w:spacing w:before="240" w:after="100"/>
      </w:pPr>
      <w:r>
        <w:rPr>
          <w:rFonts w:ascii="Calibri" w:hAnsi="Calibri"/>
          <w:color w:val="2E74B5"/>
        </w:rPr>
        <w:t>Figure index</w:t>
      </w:r>
    </w:p>
    <w:p w14:paraId="26C951D0" w14:textId="77777777" w:rsidR="0030058B" w:rsidRDefault="009D2C5B">
      <w:pPr>
        <w:pStyle w:val="ListBullet"/>
        <w:spacing w:after="60"/>
      </w:pPr>
      <w:r>
        <w:t>Figure 1 - Current hackathon prototype architecture.</w:t>
      </w:r>
    </w:p>
    <w:p w14:paraId="14545B54" w14:textId="77777777" w:rsidR="0030058B" w:rsidRDefault="009D2C5B">
      <w:pPr>
        <w:pStyle w:val="ListBullet"/>
        <w:spacing w:after="60"/>
      </w:pPr>
      <w:r>
        <w:t>Figure 2 - Proposed Microsoft-first production architecture (not implemented).</w:t>
      </w:r>
    </w:p>
    <w:p w14:paraId="034052ED" w14:textId="77777777" w:rsidR="0030058B" w:rsidRDefault="009D2C5B">
      <w:pPr>
        <w:pStyle w:val="ListBullet"/>
        <w:spacing w:after="60"/>
      </w:pPr>
      <w:r>
        <w:t>Figure 3 - Public hackathon demo access path.</w:t>
      </w:r>
    </w:p>
    <w:sectPr w:rsidR="0030058B" w:rsidSect="00034616">
      <w:headerReference w:type="default" r:id="rId11"/>
      <w:footerReference w:type="default" r:id="rId12"/>
      <w:pgSz w:w="12240" w:h="15840"/>
      <w:pgMar w:top="1152" w:right="1224" w:bottom="1080" w:left="122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F2633" w14:textId="77777777" w:rsidR="009D2C5B" w:rsidRDefault="009D2C5B">
      <w:pPr>
        <w:spacing w:after="0" w:line="240" w:lineRule="auto"/>
      </w:pPr>
      <w:r>
        <w:separator/>
      </w:r>
    </w:p>
  </w:endnote>
  <w:endnote w:type="continuationSeparator" w:id="0">
    <w:p w14:paraId="03787651" w14:textId="77777777" w:rsidR="009D2C5B" w:rsidRDefault="009D2C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8A8E1" w14:textId="77777777" w:rsidR="001A4644" w:rsidRDefault="00165985">
    <w:pPr>
      <w:pStyle w:val="Footer"/>
      <w:jc w:val="center"/>
    </w:pPr>
    <w:r>
      <w:rPr>
        <w:color w:val="5B677A"/>
        <w:sz w:val="17"/>
      </w:rPr>
      <w:t>OneFlow Hackathon Demo | https://oneflow.highrulez.com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80529" w14:textId="77777777" w:rsidR="009D2C5B" w:rsidRDefault="009D2C5B">
      <w:pPr>
        <w:spacing w:after="0" w:line="240" w:lineRule="auto"/>
      </w:pPr>
      <w:r>
        <w:separator/>
      </w:r>
    </w:p>
  </w:footnote>
  <w:footnote w:type="continuationSeparator" w:id="0">
    <w:p w14:paraId="45039DC6" w14:textId="77777777" w:rsidR="009D2C5B" w:rsidRDefault="009D2C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0D501" w14:textId="77777777" w:rsidR="001A4644" w:rsidRDefault="00165985">
    <w:pPr>
      <w:pStyle w:val="Header"/>
      <w:jc w:val="right"/>
    </w:pPr>
    <w:r>
      <w:rPr>
        <w:color w:val="5B677A"/>
        <w:sz w:val="18"/>
      </w:rPr>
      <w:t>OneFlow |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6300165">
    <w:abstractNumId w:val="8"/>
  </w:num>
  <w:num w:numId="2" w16cid:durableId="88477639">
    <w:abstractNumId w:val="6"/>
  </w:num>
  <w:num w:numId="3" w16cid:durableId="610669162">
    <w:abstractNumId w:val="5"/>
  </w:num>
  <w:num w:numId="4" w16cid:durableId="1455520722">
    <w:abstractNumId w:val="4"/>
  </w:num>
  <w:num w:numId="5" w16cid:durableId="271207502">
    <w:abstractNumId w:val="7"/>
  </w:num>
  <w:num w:numId="6" w16cid:durableId="516701582">
    <w:abstractNumId w:val="3"/>
  </w:num>
  <w:num w:numId="7" w16cid:durableId="21102686">
    <w:abstractNumId w:val="2"/>
  </w:num>
  <w:num w:numId="8" w16cid:durableId="1269967693">
    <w:abstractNumId w:val="1"/>
  </w:num>
  <w:num w:numId="9" w16cid:durableId="17484573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A8B"/>
    <w:rsid w:val="0006063C"/>
    <w:rsid w:val="00091680"/>
    <w:rsid w:val="000968E0"/>
    <w:rsid w:val="0015074B"/>
    <w:rsid w:val="0016571D"/>
    <w:rsid w:val="00165985"/>
    <w:rsid w:val="001A4644"/>
    <w:rsid w:val="0029639D"/>
    <w:rsid w:val="0030058B"/>
    <w:rsid w:val="00326F90"/>
    <w:rsid w:val="00384E6F"/>
    <w:rsid w:val="00705366"/>
    <w:rsid w:val="009D2C5B"/>
    <w:rsid w:val="00AA1D8D"/>
    <w:rsid w:val="00B47730"/>
    <w:rsid w:val="00CB0664"/>
    <w:rsid w:val="00CC1AC8"/>
    <w:rsid w:val="00EE13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7FD914"/>
  <w14:defaultImageDpi w14:val="300"/>
  <w15:docId w15:val="{E37A4827-47B2-4E12-B180-CBB1D6CC9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3486</Words>
  <Characters>21827</Characters>
  <Application>Microsoft Office Word</Application>
  <DocSecurity>0</DocSecurity>
  <Lines>589</Lines>
  <Paragraphs>496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24817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OneFlow Project Documentation</dc:title>
  <dc:subject/>
  <dc:creator>Team Error 404</dc:creator>
  <cp:keywords/>
  <dc:description>generated by python-docx</dc:description>
  <cp:lastModifiedBy>Neal Caffrey</cp:lastModifiedBy>
  <cp:revision>4</cp:revision>
  <cp:lastPrinted>2026-08-19T19:44:00Z</cp:lastPrinted>
  <dcterms:created xsi:type="dcterms:W3CDTF">2013-12-23T23:15:00Z</dcterms:created>
  <dcterms:modified xsi:type="dcterms:W3CDTF">2026-08-19T19:44:00Z</dcterms:modified>
  <cp:category/>
</cp:coreProperties>
</file>