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spacing w:after="120"/>
      </w:pPr>
    </w:p>
    <w:p>
      <w:pPr>
        <w:spacing w:after="120"/>
        <w:jc w:val="center"/>
      </w:pPr>
      <w:r>
        <w:rPr>
          <w:b/>
          <w:color w:val="0B3A70"/>
          <w:sz w:val="72"/>
        </w:rPr>
        <w:t>OneFlow</w:t>
      </w:r>
    </w:p>
    <w:p>
      <w:pPr>
        <w:spacing w:after="120"/>
        <w:jc w:val="center"/>
      </w:pPr>
      <w:r>
        <w:t>Employee Lifecycle &amp; Onboarding Orchestration Platform</w:t>
      </w:r>
    </w:p>
    <w:p>
      <w:pPr>
        <w:spacing w:after="120"/>
        <w:jc w:val="center"/>
      </w:pPr>
    </w:p>
    <w:p>
      <w:pPr>
        <w:spacing w:after="120"/>
        <w:jc w:val="center"/>
      </w:pPr>
      <w:r>
        <w:t>PPG AEN Hackathon 2026</w:t>
      </w:r>
    </w:p>
    <w:p>
      <w:pPr>
        <w:spacing w:after="120"/>
        <w:jc w:val="center"/>
      </w:pPr>
      <w:r>
        <w:t>Project Documentation</w:t>
      </w:r>
    </w:p>
    <w:p>
      <w:pPr>
        <w:spacing w:after="120"/>
        <w:jc w:val="center"/>
      </w:pPr>
      <w:r>
        <w:t>Project Status: Hackathon Prototype / Phase 1</w:t>
      </w:r>
    </w:p>
    <w:p>
      <w:pPr>
        <w:spacing w:after="120"/>
        <w:jc w:val="center"/>
      </w:pPr>
      <w:r>
        <w:t>Last Updated: 19 August 2026</w:t>
      </w:r>
    </w:p>
    <w:p>
      <w:r>
        <w:br w:type="page"/>
      </w:r>
    </w:p>
    <w:p>
      <w:pPr>
        <w:pStyle w:val="Title"/>
      </w:pPr>
      <w:r>
        <w:t>Document control</w:t>
      </w:r>
    </w:p>
    <w:tbl>
      <w:tblPr>
        <w:tblStyle w:val="TableGrid"/>
        <w:tblW w:type="auto" w:w="0"/>
        <w:jc w:val="center"/>
        <w:tblLook w:firstColumn="1" w:firstRow="1" w:lastColumn="0" w:lastRow="0" w:noHBand="0" w:noVBand="1" w:val="04A0"/>
      </w:tblPr>
      <w:tblGrid>
        <w:gridCol w:w="4997"/>
        <w:gridCol w:w="4997"/>
      </w:tblGrid>
      <w:tr>
        <w:tc>
          <w:tcPr>
            <w:tcW w:type="dxa" w:w="4997"/>
            <w:shd w:fill="0B3A70"/>
          </w:tcPr>
          <w:p>
            <w:r>
              <w:rPr>
                <w:b/>
                <w:color w:val="FFFFFF"/>
              </w:rPr>
              <w:t>Item</w:t>
            </w:r>
          </w:p>
        </w:tc>
        <w:tc>
          <w:tcPr>
            <w:tcW w:type="dxa" w:w="4997"/>
            <w:shd w:fill="0B3A70"/>
          </w:tcPr>
          <w:p>
            <w:r>
              <w:rPr>
                <w:b/>
                <w:color w:val="FFFFFF"/>
              </w:rPr>
              <w:t>Value</w:t>
            </w:r>
          </w:p>
        </w:tc>
        <w:trPr>
          <w:tblHeader/>
        </w:trPr>
      </w:tr>
      <w:tr>
        <w:tc>
          <w:tcPr>
            <w:tcW w:type="dxa" w:w="4997"/>
          </w:tcPr>
          <w:p>
            <w:r>
              <w:t>Owner Team</w:t>
            </w:r>
          </w:p>
        </w:tc>
        <w:tc>
          <w:tcPr>
            <w:tcW w:type="dxa" w:w="4997"/>
          </w:tcPr>
          <w:p>
            <w:r>
              <w:t>Error 404</w:t>
            </w:r>
          </w:p>
        </w:tc>
      </w:tr>
      <w:tr>
        <w:tc>
          <w:tcPr>
            <w:tcW w:type="dxa" w:w="4997"/>
          </w:tcPr>
          <w:p>
            <w:r>
              <w:t>Project team</w:t>
            </w:r>
          </w:p>
        </w:tc>
        <w:tc>
          <w:tcPr>
            <w:tcW w:type="dxa" w:w="4997"/>
          </w:tcPr>
          <w:p>
            <w:r>
              <w:t>Thamotharan, Renuka Malar; Ramachandran, Yuganeswary; Hairul Afizee; Bashari, Noorliana</w:t>
            </w:r>
          </w:p>
        </w:tc>
      </w:tr>
      <w:tr>
        <w:tc>
          <w:tcPr>
            <w:tcW w:type="dxa" w:w="4997"/>
          </w:tcPr>
          <w:p>
            <w:r>
              <w:t>Purpose</w:t>
            </w:r>
          </w:p>
        </w:tc>
        <w:tc>
          <w:tcPr>
            <w:tcW w:type="dxa" w:w="4997"/>
          </w:tcPr>
          <w:p>
            <w:r>
              <w:t>Hackathon documentation and production-readiness reference</w:t>
            </w:r>
          </w:p>
        </w:tc>
      </w:tr>
      <w:tr>
        <w:tc>
          <w:tcPr>
            <w:tcW w:type="dxa" w:w="4997"/>
          </w:tcPr>
          <w:p>
            <w:r>
              <w:t>Classification</w:t>
            </w:r>
          </w:p>
        </w:tc>
        <w:tc>
          <w:tcPr>
            <w:tcW w:type="dxa" w:w="4997"/>
          </w:tcPr>
          <w:p>
            <w:r>
              <w:t>Internal; no secrets, tokens, IP addresses, or hostnames included</w:t>
            </w:r>
          </w:p>
        </w:tc>
      </w:tr>
    </w:tbl>
    <w:p/>
    <w:p>
      <w:pPr>
        <w:pStyle w:val="Title"/>
      </w:pPr>
      <w:r>
        <w:t>Table of contents</w:t>
      </w:r>
    </w:p>
    <w:p>
      <w:pPr>
        <w:spacing w:after="120"/>
      </w:pPr>
      <w:r>
        <w:t>In Microsoft Word, select References → Update Table after opening this document.</w:t>
      </w:r>
    </w:p>
    <w:p>
      <w:fldSimple w:instr="TOC \o &quot;1-3&quot; \h \z \u"/>
    </w:p>
    <w:p>
      <w:r>
        <w:br w:type="page"/>
      </w:r>
    </w:p>
    <w:p>
      <w:pPr>
        <w:pStyle w:val="Heading1"/>
      </w:pPr>
      <w:r>
        <w:t>Project Team</w:t>
      </w:r>
    </w:p>
    <w:p>
      <w:pPr>
        <w:spacing w:after="120"/>
      </w:pPr>
      <w:r>
        <w:t>Team Error 404</w:t>
      </w:r>
    </w:p>
    <w:tbl>
      <w:tblPr>
        <w:tblStyle w:val="TableGrid"/>
        <w:tblW w:type="auto" w:w="0"/>
        <w:jc w:val="center"/>
        <w:tblLook w:firstColumn="1" w:firstRow="1" w:lastColumn="0" w:lastRow="0" w:noHBand="0" w:noVBand="1" w:val="04A0"/>
      </w:tblPr>
      <w:tblGrid>
        <w:gridCol w:w="4997"/>
        <w:gridCol w:w="4997"/>
      </w:tblGrid>
      <w:tr>
        <w:tc>
          <w:tcPr>
            <w:tcW w:type="dxa" w:w="4997"/>
            <w:shd w:fill="0B3A70"/>
          </w:tcPr>
          <w:p>
            <w:r>
              <w:rPr>
                <w:b/>
                <w:color w:val="FFFFFF"/>
              </w:rPr>
              <w:t>Team Member</w:t>
            </w:r>
          </w:p>
        </w:tc>
        <w:tc>
          <w:tcPr>
            <w:tcW w:type="dxa" w:w="4997"/>
            <w:shd w:fill="0B3A70"/>
          </w:tcPr>
          <w:p>
            <w:r>
              <w:rPr>
                <w:b/>
                <w:color w:val="FFFFFF"/>
              </w:rPr>
              <w:t>Project</w:t>
            </w:r>
          </w:p>
        </w:tc>
        <w:trPr>
          <w:tblHeader/>
        </w:trPr>
      </w:tr>
      <w:tr>
        <w:tc>
          <w:tcPr>
            <w:tcW w:type="dxa" w:w="4997"/>
          </w:tcPr>
          <w:p>
            <w:r>
              <w:t>Thamotharan, Renuka Malar</w:t>
            </w:r>
          </w:p>
        </w:tc>
        <w:tc>
          <w:tcPr>
            <w:tcW w:type="dxa" w:w="4997"/>
          </w:tcPr>
          <w:p>
            <w:r>
              <w:t>OneFlow — PPG AEN Hackathon 2026</w:t>
            </w:r>
          </w:p>
        </w:tc>
      </w:tr>
      <w:tr>
        <w:tc>
          <w:tcPr>
            <w:tcW w:type="dxa" w:w="4997"/>
          </w:tcPr>
          <w:p>
            <w:r>
              <w:t>Ramachandran, Yuganeswary</w:t>
            </w:r>
          </w:p>
        </w:tc>
        <w:tc>
          <w:tcPr>
            <w:tcW w:type="dxa" w:w="4997"/>
          </w:tcPr>
          <w:p>
            <w:r>
              <w:t>OneFlow — PPG AEN Hackathon 2026</w:t>
            </w:r>
          </w:p>
        </w:tc>
      </w:tr>
      <w:tr>
        <w:tc>
          <w:tcPr>
            <w:tcW w:type="dxa" w:w="4997"/>
          </w:tcPr>
          <w:p>
            <w:r>
              <w:t>Hairul Afizee</w:t>
            </w:r>
          </w:p>
        </w:tc>
        <w:tc>
          <w:tcPr>
            <w:tcW w:type="dxa" w:w="4997"/>
          </w:tcPr>
          <w:p>
            <w:r>
              <w:t>OneFlow — PPG AEN Hackathon 2026</w:t>
            </w:r>
          </w:p>
        </w:tc>
      </w:tr>
      <w:tr>
        <w:tc>
          <w:tcPr>
            <w:tcW w:type="dxa" w:w="4997"/>
          </w:tcPr>
          <w:p>
            <w:r>
              <w:t>Bashari, Noorliana</w:t>
            </w:r>
          </w:p>
        </w:tc>
        <w:tc>
          <w:tcPr>
            <w:tcW w:type="dxa" w:w="4997"/>
          </w:tcPr>
          <w:p>
            <w:r>
              <w:t>OneFlow — PPG AEN Hackathon 2026</w:t>
            </w:r>
          </w:p>
        </w:tc>
      </w:tr>
    </w:tbl>
    <w:p/>
    <w:p>
      <w:pPr>
        <w:pStyle w:val="Heading1"/>
      </w:pPr>
      <w:r>
        <w:t>1. Executive summary</w:t>
      </w:r>
    </w:p>
    <w:p>
      <w:pPr>
        <w:spacing w:after="120"/>
      </w:pPr>
      <w:r>
        <w:t>OneFlow is a Phase 1 employee-lifecycle orchestration prototype for PPG AEN Hackathon 2026. It demonstrates how a mock Workday change can become a visible OneFlow lifecycle case with role-based work, forms, notifications, activity history, and reporting. Users access the hackathon demo at https://oneflow.highrulez.com. The prototype is not a live enterprise integration or a production system.</w:t>
      </w:r>
    </w:p>
    <w:p>
      <w:pPr>
        <w:pStyle w:val="Heading1"/>
      </w:pPr>
      <w:r>
        <w:t>2. Hackathon challenge</w:t>
      </w:r>
    </w:p>
    <w:p>
      <w:pPr>
        <w:spacing w:after="120"/>
      </w:pPr>
      <w:r>
        <w:t>The exact original hackathon-question wording is unavailable in the repository. This package therefore documents the demonstrated business problem: fragmented hand-offs when employees join or leave, unclear ownership, delayed readiness, and limited audit visibility.</w:t>
      </w:r>
    </w:p>
    <w:p>
      <w:pPr>
        <w:pStyle w:val="Heading1"/>
      </w:pPr>
      <w:r>
        <w:t>3. How OneFlow addresses the hackathon problem</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shd w:fill="0B3A70"/>
          </w:tcPr>
          <w:p>
            <w:pPr>
              <w:spacing w:after="0"/>
            </w:pPr>
            <w:r>
              <w:rPr>
                <w:b/>
                <w:color w:val="FFFFFF"/>
                <w:sz w:val="16"/>
              </w:rPr>
              <w:t>Problem</w:t>
            </w:r>
          </w:p>
        </w:tc>
        <w:tc>
          <w:tcPr>
            <w:tcW w:type="dxa" w:w="2498"/>
            <w:shd w:fill="0B3A70"/>
          </w:tcPr>
          <w:p>
            <w:pPr>
              <w:spacing w:after="0"/>
            </w:pPr>
            <w:r>
              <w:rPr>
                <w:b/>
                <w:color w:val="FFFFFF"/>
                <w:sz w:val="16"/>
              </w:rPr>
              <w:t>Traditional / manual impact</w:t>
            </w:r>
          </w:p>
        </w:tc>
        <w:tc>
          <w:tcPr>
            <w:tcW w:type="dxa" w:w="2498"/>
            <w:shd w:fill="0B3A70"/>
          </w:tcPr>
          <w:p>
            <w:pPr>
              <w:spacing w:after="0"/>
            </w:pPr>
            <w:r>
              <w:rPr>
                <w:b/>
                <w:color w:val="FFFFFF"/>
                <w:sz w:val="16"/>
              </w:rPr>
              <w:t>OneFlow capability</w:t>
            </w:r>
          </w:p>
        </w:tc>
        <w:tc>
          <w:tcPr>
            <w:tcW w:type="dxa" w:w="2498"/>
            <w:shd w:fill="0B3A70"/>
          </w:tcPr>
          <w:p>
            <w:pPr>
              <w:spacing w:after="0"/>
            </w:pPr>
            <w:r>
              <w:rPr>
                <w:b/>
                <w:color w:val="FFFFFF"/>
                <w:sz w:val="16"/>
              </w:rPr>
              <w:t>Prototype result</w:t>
            </w:r>
          </w:p>
        </w:tc>
        <w:trPr>
          <w:tblHeader/>
        </w:trPr>
      </w:tr>
      <w:tr>
        <w:tc>
          <w:tcPr>
            <w:tcW w:type="dxa" w:w="2498"/>
          </w:tcPr>
          <w:p>
            <w:pPr>
              <w:spacing w:after="0"/>
            </w:pPr>
            <w:r>
              <w:rPr>
                <w:sz w:val="16"/>
              </w:rPr>
              <w:t>Fragmented communication</w:t>
            </w:r>
          </w:p>
        </w:tc>
        <w:tc>
          <w:tcPr>
            <w:tcW w:type="dxa" w:w="2498"/>
          </w:tcPr>
          <w:p>
            <w:pPr>
              <w:spacing w:after="0"/>
            </w:pPr>
            <w:r>
              <w:rPr>
                <w:sz w:val="16"/>
              </w:rPr>
              <w:t>Email and spreadsheets split context</w:t>
            </w:r>
          </w:p>
        </w:tc>
        <w:tc>
          <w:tcPr>
            <w:tcW w:type="dxa" w:w="2498"/>
          </w:tcPr>
          <w:p>
            <w:pPr>
              <w:spacing w:after="0"/>
            </w:pPr>
            <w:r>
              <w:rPr>
                <w:sz w:val="16"/>
              </w:rPr>
              <w:t>Lifecycle case and mock notifications</w:t>
            </w:r>
          </w:p>
        </w:tc>
        <w:tc>
          <w:tcPr>
            <w:tcW w:type="dxa" w:w="2498"/>
          </w:tcPr>
          <w:p>
            <w:pPr>
              <w:spacing w:after="0"/>
            </w:pPr>
            <w:r>
              <w:rPr>
                <w:sz w:val="16"/>
              </w:rPr>
              <w:t>Demonstrated</w:t>
            </w:r>
          </w:p>
        </w:tc>
      </w:tr>
      <w:tr>
        <w:tc>
          <w:tcPr>
            <w:tcW w:type="dxa" w:w="2498"/>
          </w:tcPr>
          <w:p>
            <w:pPr>
              <w:spacing w:after="0"/>
            </w:pPr>
            <w:r>
              <w:rPr>
                <w:sz w:val="16"/>
              </w:rPr>
              <w:t>Unclear ownership</w:t>
            </w:r>
          </w:p>
        </w:tc>
        <w:tc>
          <w:tcPr>
            <w:tcW w:type="dxa" w:w="2498"/>
          </w:tcPr>
          <w:p>
            <w:pPr>
              <w:spacing w:after="0"/>
            </w:pPr>
            <w:r>
              <w:rPr>
                <w:sz w:val="16"/>
              </w:rPr>
              <w:t>Tasks lack a visible owner</w:t>
            </w:r>
          </w:p>
        </w:tc>
        <w:tc>
          <w:tcPr>
            <w:tcW w:type="dxa" w:w="2498"/>
          </w:tcPr>
          <w:p>
            <w:pPr>
              <w:spacing w:after="0"/>
            </w:pPr>
            <w:r>
              <w:rPr>
                <w:sz w:val="16"/>
              </w:rPr>
              <w:t>Role-based assignment and views</w:t>
            </w:r>
          </w:p>
        </w:tc>
        <w:tc>
          <w:tcPr>
            <w:tcW w:type="dxa" w:w="2498"/>
          </w:tcPr>
          <w:p>
            <w:pPr>
              <w:spacing w:after="0"/>
            </w:pPr>
            <w:r>
              <w:rPr>
                <w:sz w:val="16"/>
              </w:rPr>
              <w:t>Demonstrated</w:t>
            </w:r>
          </w:p>
        </w:tc>
      </w:tr>
      <w:tr>
        <w:tc>
          <w:tcPr>
            <w:tcW w:type="dxa" w:w="2498"/>
          </w:tcPr>
          <w:p>
            <w:pPr>
              <w:spacing w:after="0"/>
            </w:pPr>
            <w:r>
              <w:rPr>
                <w:sz w:val="16"/>
              </w:rPr>
              <w:t>Manual follow-up</w:t>
            </w:r>
          </w:p>
        </w:tc>
        <w:tc>
          <w:tcPr>
            <w:tcW w:type="dxa" w:w="2498"/>
          </w:tcPr>
          <w:p>
            <w:pPr>
              <w:spacing w:after="0"/>
            </w:pPr>
            <w:r>
              <w:rPr>
                <w:sz w:val="16"/>
              </w:rPr>
              <w:t>Repeated chasing and escalation</w:t>
            </w:r>
          </w:p>
        </w:tc>
        <w:tc>
          <w:tcPr>
            <w:tcW w:type="dxa" w:w="2498"/>
          </w:tcPr>
          <w:p>
            <w:pPr>
              <w:spacing w:after="0"/>
            </w:pPr>
            <w:r>
              <w:rPr>
                <w:sz w:val="16"/>
              </w:rPr>
              <w:t>Progress, reminders and simulation</w:t>
            </w:r>
          </w:p>
        </w:tc>
        <w:tc>
          <w:tcPr>
            <w:tcW w:type="dxa" w:w="2498"/>
          </w:tcPr>
          <w:p>
            <w:pPr>
              <w:spacing w:after="0"/>
            </w:pPr>
            <w:r>
              <w:rPr>
                <w:sz w:val="16"/>
              </w:rPr>
              <w:t>Simulated</w:t>
            </w:r>
          </w:p>
        </w:tc>
      </w:tr>
      <w:tr>
        <w:tc>
          <w:tcPr>
            <w:tcW w:type="dxa" w:w="2498"/>
          </w:tcPr>
          <w:p>
            <w:pPr>
              <w:spacing w:after="0"/>
            </w:pPr>
            <w:r>
              <w:rPr>
                <w:sz w:val="16"/>
              </w:rPr>
              <w:t>Limited visibility</w:t>
            </w:r>
          </w:p>
        </w:tc>
        <w:tc>
          <w:tcPr>
            <w:tcW w:type="dxa" w:w="2498"/>
          </w:tcPr>
          <w:p>
            <w:pPr>
              <w:spacing w:after="0"/>
            </w:pPr>
            <w:r>
              <w:rPr>
                <w:sz w:val="16"/>
              </w:rPr>
              <w:t>Status is difficult to consolidate</w:t>
            </w:r>
          </w:p>
        </w:tc>
        <w:tc>
          <w:tcPr>
            <w:tcW w:type="dxa" w:w="2498"/>
          </w:tcPr>
          <w:p>
            <w:pPr>
              <w:spacing w:after="0"/>
            </w:pPr>
            <w:r>
              <w:rPr>
                <w:sz w:val="16"/>
              </w:rPr>
              <w:t>Case progress and reports</w:t>
            </w:r>
          </w:p>
        </w:tc>
        <w:tc>
          <w:tcPr>
            <w:tcW w:type="dxa" w:w="2498"/>
          </w:tcPr>
          <w:p>
            <w:pPr>
              <w:spacing w:after="0"/>
            </w:pPr>
            <w:r>
              <w:rPr>
                <w:sz w:val="16"/>
              </w:rPr>
              <w:t>Demonstrated</w:t>
            </w:r>
          </w:p>
        </w:tc>
      </w:tr>
      <w:tr>
        <w:tc>
          <w:tcPr>
            <w:tcW w:type="dxa" w:w="2498"/>
          </w:tcPr>
          <w:p>
            <w:pPr>
              <w:spacing w:after="0"/>
            </w:pPr>
            <w:r>
              <w:rPr>
                <w:sz w:val="16"/>
              </w:rPr>
              <w:t>Onboarding readiness</w:t>
            </w:r>
          </w:p>
        </w:tc>
        <w:tc>
          <w:tcPr>
            <w:tcW w:type="dxa" w:w="2498"/>
          </w:tcPr>
          <w:p>
            <w:pPr>
              <w:spacing w:after="0"/>
            </w:pPr>
            <w:r>
              <w:rPr>
                <w:sz w:val="16"/>
              </w:rPr>
              <w:t>Day-1 work can be missed</w:t>
            </w:r>
          </w:p>
        </w:tc>
        <w:tc>
          <w:tcPr>
            <w:tcW w:type="dxa" w:w="2498"/>
          </w:tcPr>
          <w:p>
            <w:pPr>
              <w:spacing w:after="0"/>
            </w:pPr>
            <w:r>
              <w:rPr>
                <w:sz w:val="16"/>
              </w:rPr>
              <w:t>Coordinated onboarding checklist</w:t>
            </w:r>
          </w:p>
        </w:tc>
        <w:tc>
          <w:tcPr>
            <w:tcW w:type="dxa" w:w="2498"/>
          </w:tcPr>
          <w:p>
            <w:pPr>
              <w:spacing w:after="0"/>
            </w:pPr>
            <w:r>
              <w:rPr>
                <w:sz w:val="16"/>
              </w:rPr>
              <w:t>Demonstrated</w:t>
            </w:r>
          </w:p>
        </w:tc>
      </w:tr>
      <w:tr>
        <w:tc>
          <w:tcPr>
            <w:tcW w:type="dxa" w:w="2498"/>
          </w:tcPr>
          <w:p>
            <w:pPr>
              <w:spacing w:after="0"/>
            </w:pPr>
            <w:r>
              <w:rPr>
                <w:sz w:val="16"/>
              </w:rPr>
              <w:t>Offboarding risk</w:t>
            </w:r>
          </w:p>
        </w:tc>
        <w:tc>
          <w:tcPr>
            <w:tcW w:type="dxa" w:w="2498"/>
          </w:tcPr>
          <w:p>
            <w:pPr>
              <w:spacing w:after="0"/>
            </w:pPr>
            <w:r>
              <w:rPr>
                <w:sz w:val="16"/>
              </w:rPr>
              <w:t>Access/assets can remain open</w:t>
            </w:r>
          </w:p>
        </w:tc>
        <w:tc>
          <w:tcPr>
            <w:tcW w:type="dxa" w:w="2498"/>
          </w:tcPr>
          <w:p>
            <w:pPr>
              <w:spacing w:after="0"/>
            </w:pPr>
            <w:r>
              <w:rPr>
                <w:sz w:val="16"/>
              </w:rPr>
              <w:t>Exit clearance and task tracking</w:t>
            </w:r>
          </w:p>
        </w:tc>
        <w:tc>
          <w:tcPr>
            <w:tcW w:type="dxa" w:w="2498"/>
          </w:tcPr>
          <w:p>
            <w:pPr>
              <w:spacing w:after="0"/>
            </w:pPr>
            <w:r>
              <w:rPr>
                <w:sz w:val="16"/>
              </w:rPr>
              <w:t>Demonstrated</w:t>
            </w:r>
          </w:p>
        </w:tc>
      </w:tr>
      <w:tr>
        <w:tc>
          <w:tcPr>
            <w:tcW w:type="dxa" w:w="2498"/>
          </w:tcPr>
          <w:p>
            <w:pPr>
              <w:spacing w:after="0"/>
            </w:pPr>
            <w:r>
              <w:rPr>
                <w:sz w:val="16"/>
              </w:rPr>
              <w:t>Auditability</w:t>
            </w:r>
          </w:p>
        </w:tc>
        <w:tc>
          <w:tcPr>
            <w:tcW w:type="dxa" w:w="2498"/>
          </w:tcPr>
          <w:p>
            <w:pPr>
              <w:spacing w:after="0"/>
            </w:pPr>
            <w:r>
              <w:rPr>
                <w:sz w:val="16"/>
              </w:rPr>
              <w:t>Evidence is scattered</w:t>
            </w:r>
          </w:p>
        </w:tc>
        <w:tc>
          <w:tcPr>
            <w:tcW w:type="dxa" w:w="2498"/>
          </w:tcPr>
          <w:p>
            <w:pPr>
              <w:spacing w:after="0"/>
            </w:pPr>
            <w:r>
              <w:rPr>
                <w:sz w:val="16"/>
              </w:rPr>
              <w:t>Activity history and task state</w:t>
            </w:r>
          </w:p>
        </w:tc>
        <w:tc>
          <w:tcPr>
            <w:tcW w:type="dxa" w:w="2498"/>
          </w:tcPr>
          <w:p>
            <w:pPr>
              <w:spacing w:after="0"/>
            </w:pPr>
            <w:r>
              <w:rPr>
                <w:sz w:val="16"/>
              </w:rPr>
              <w:t>Demonstrated</w:t>
            </w:r>
          </w:p>
        </w:tc>
      </w:tr>
      <w:tr>
        <w:tc>
          <w:tcPr>
            <w:tcW w:type="dxa" w:w="2498"/>
          </w:tcPr>
          <w:p>
            <w:pPr>
              <w:spacing w:after="0"/>
            </w:pPr>
            <w:r>
              <w:rPr>
                <w:sz w:val="16"/>
              </w:rPr>
              <w:t>Reporting</w:t>
            </w:r>
          </w:p>
        </w:tc>
        <w:tc>
          <w:tcPr>
            <w:tcW w:type="dxa" w:w="2498"/>
          </w:tcPr>
          <w:p>
            <w:pPr>
              <w:spacing w:after="0"/>
            </w:pPr>
            <w:r>
              <w:rPr>
                <w:sz w:val="16"/>
              </w:rPr>
              <w:t>Bottlenecks are opaque</w:t>
            </w:r>
          </w:p>
        </w:tc>
        <w:tc>
          <w:tcPr>
            <w:tcW w:type="dxa" w:w="2498"/>
          </w:tcPr>
          <w:p>
            <w:pPr>
              <w:spacing w:after="0"/>
            </w:pPr>
            <w:r>
              <w:rPr>
                <w:sz w:val="16"/>
              </w:rPr>
              <w:t>In-app operational snapshot</w:t>
            </w:r>
          </w:p>
        </w:tc>
        <w:tc>
          <w:tcPr>
            <w:tcW w:type="dxa" w:w="2498"/>
          </w:tcPr>
          <w:p>
            <w:pPr>
              <w:spacing w:after="0"/>
            </w:pPr>
            <w:r>
              <w:rPr>
                <w:sz w:val="16"/>
              </w:rPr>
              <w:t>Demonstrated</w:t>
            </w:r>
          </w:p>
        </w:tc>
      </w:tr>
    </w:tbl>
    <w:p/>
    <w:p>
      <w:pPr>
        <w:pStyle w:val="Heading2"/>
      </w:pPr>
      <w:r>
        <w:t>Did we solve the challenge?</w:t>
      </w:r>
    </w:p>
    <w:p>
      <w:pPr>
        <w:spacing w:after="120"/>
      </w:pPr>
      <w:r>
        <w:t>The prototype successfully demonstrates the concept and end-to-end workflow: lifecycle tasks are centrally coordinated, role ownership is visible, and onboarding/offboarding can be monitored in one portal. Remaining work is enterprise integration, production security, automation, durable persistence, and reporting infrastructure.</w:t>
      </w:r>
    </w:p>
    <w:p>
      <w:pPr>
        <w:pStyle w:val="Heading1"/>
      </w:pPr>
      <w:r>
        <w:t>4. Business problem</w:t>
      </w:r>
    </w:p>
    <w:p>
      <w:pPr>
        <w:spacing w:after="120"/>
      </w:pPr>
      <w:r>
        <w:t>Lifecycle work spans HR, hiring managers, IT Security, onsite IT, facilities, finance, quality, and product stewardship. Disconnected hand-offs create avoidable delay and make completion difficult to prove.</w:t>
      </w:r>
    </w:p>
    <w:p>
      <w:pPr>
        <w:pStyle w:val="Heading1"/>
      </w:pPr>
      <w:r>
        <w:t>5. Solution overview</w:t>
      </w:r>
    </w:p>
    <w:p>
      <w:pPr>
        <w:spacing w:after="120"/>
      </w:pPr>
      <w:r>
        <w:t>A Workday-style source screen and a OneFlow portal work together in the prototype. Lifecycle events create or update cases; task templates allocate work by role; forms, notifications, progress, and history provide an operational view. Workday remains the HR source system; OneFlow is the orchestration and experience layer.</w:t>
      </w:r>
    </w:p>
    <w:p>
      <w:pPr>
        <w:pStyle w:val="Heading1"/>
      </w:pPr>
      <w:r>
        <w:t>6. Benefits</w:t>
      </w:r>
    </w:p>
    <w:p>
      <w:pPr>
        <w:pStyle w:val="Heading2"/>
      </w:pPr>
      <w:r>
        <w:t>HR</w:t>
      </w:r>
    </w:p>
    <w:p>
      <w:pPr>
        <w:pStyle w:val="ListBullet"/>
      </w:pPr>
      <w:r>
        <w:t>Fewer manual follow-ups</w:t>
      </w:r>
    </w:p>
    <w:p>
      <w:pPr>
        <w:pStyle w:val="ListBullet"/>
      </w:pPr>
      <w:r>
        <w:t>Clearer lifecycle overview and easier escalation</w:t>
      </w:r>
    </w:p>
    <w:p>
      <w:pPr>
        <w:pStyle w:val="Heading2"/>
      </w:pPr>
      <w:r>
        <w:t>IT</w:t>
      </w:r>
    </w:p>
    <w:p>
      <w:pPr>
        <w:pStyle w:val="ListBullet"/>
      </w:pPr>
      <w:r>
        <w:t>Earlier provisioning visibility</w:t>
      </w:r>
    </w:p>
    <w:p>
      <w:pPr>
        <w:pStyle w:val="ListBullet"/>
      </w:pPr>
      <w:r>
        <w:t>Clearer ownership and controlled offboarding access removal</w:t>
      </w:r>
    </w:p>
    <w:p>
      <w:pPr>
        <w:pStyle w:val="Heading2"/>
      </w:pPr>
      <w:r>
        <w:t>Hiring Managers and Employees</w:t>
      </w:r>
    </w:p>
    <w:p>
      <w:pPr>
        <w:pStyle w:val="ListBullet"/>
      </w:pPr>
      <w:r>
        <w:t>Visibility into readiness</w:t>
      </w:r>
    </w:p>
    <w:p>
      <w:pPr>
        <w:pStyle w:val="ListBullet"/>
      </w:pPr>
      <w:r>
        <w:t>Clearer responsibilities and less Day-1 uncertainty</w:t>
      </w:r>
    </w:p>
    <w:p>
      <w:pPr>
        <w:pStyle w:val="Heading2"/>
      </w:pPr>
      <w:r>
        <w:t>Management and Organisation</w:t>
      </w:r>
    </w:p>
    <w:p>
      <w:pPr>
        <w:pStyle w:val="ListBullet"/>
      </w:pPr>
      <w:r>
        <w:t>Bottleneck visibility and future SLA monitoring</w:t>
      </w:r>
    </w:p>
    <w:p>
      <w:pPr>
        <w:pStyle w:val="ListBullet"/>
      </w:pPr>
      <w:r>
        <w:t>Standardisation, traceability, scalability, and reduced operational risk</w:t>
      </w:r>
    </w:p>
    <w:p>
      <w:pPr>
        <w:pStyle w:val="Heading1"/>
      </w:pPr>
      <w:r>
        <w:t>7. Current implemented features</w:t>
      </w:r>
    </w:p>
    <w:p>
      <w:pPr>
        <w:pStyle w:val="ListBullet"/>
      </w:pPr>
      <w:r>
        <w:t>Role-aware quick login and task views</w:t>
      </w:r>
    </w:p>
    <w:p>
      <w:pPr>
        <w:pStyle w:val="ListBullet"/>
      </w:pPr>
      <w:r>
        <w:t>Onboarding and offboarding cases</w:t>
      </w:r>
    </w:p>
    <w:p>
      <w:pPr>
        <w:pStyle w:val="ListBullet"/>
      </w:pPr>
      <w:r>
        <w:t>Task checklists, forms, progress, and activity history</w:t>
      </w:r>
    </w:p>
    <w:p>
      <w:pPr>
        <w:pStyle w:val="ListBullet"/>
      </w:pPr>
      <w:r>
        <w:t>Mock inbox and automation-run simulation</w:t>
      </w:r>
    </w:p>
    <w:p>
      <w:pPr>
        <w:pStyle w:val="ListBullet"/>
      </w:pPr>
      <w:r>
        <w:t>Operational reports</w:t>
      </w:r>
    </w:p>
    <w:p>
      <w:pPr>
        <w:spacing w:after="120"/>
      </w:pPr>
      <w:r>
        <w:t>Prototype / legacy demo capability: the repository contains optional AWS SES-related configuration from earlier development. It is NOT recommended for production. Production notifications are expected to use the organisation’s Microsoft 365 environment.</w:t>
      </w:r>
    </w:p>
    <w:p>
      <w:pPr>
        <w:pStyle w:val="Heading1"/>
      </w:pPr>
      <w:r>
        <w:t>8. Current demo users</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0B3A70"/>
          </w:tcPr>
          <w:p>
            <w:r>
              <w:rPr>
                <w:b/>
                <w:color w:val="FFFFFF"/>
              </w:rPr>
              <w:t>User</w:t>
            </w:r>
          </w:p>
        </w:tc>
        <w:tc>
          <w:tcPr>
            <w:tcW w:type="dxa" w:w="3331"/>
            <w:shd w:fill="0B3A70"/>
          </w:tcPr>
          <w:p>
            <w:r>
              <w:rPr>
                <w:b/>
                <w:color w:val="FFFFFF"/>
              </w:rPr>
              <w:t>Role</w:t>
            </w:r>
          </w:p>
        </w:tc>
        <w:tc>
          <w:tcPr>
            <w:tcW w:type="dxa" w:w="3331"/>
            <w:shd w:fill="0B3A70"/>
          </w:tcPr>
          <w:p>
            <w:r>
              <w:rPr>
                <w:b/>
                <w:color w:val="FFFFFF"/>
              </w:rPr>
              <w:t>Demo purpose</w:t>
            </w:r>
          </w:p>
        </w:tc>
        <w:trPr>
          <w:tblHeader/>
        </w:trPr>
      </w:tr>
      <w:tr>
        <w:tc>
          <w:tcPr>
            <w:tcW w:type="dxa" w:w="3331"/>
          </w:tcPr>
          <w:p>
            <w:r>
              <w:t>OneFlow Admin</w:t>
            </w:r>
          </w:p>
        </w:tc>
        <w:tc>
          <w:tcPr>
            <w:tcW w:type="dxa" w:w="3331"/>
          </w:tcPr>
          <w:p>
            <w:r>
              <w:t>Admin</w:t>
            </w:r>
          </w:p>
        </w:tc>
        <w:tc>
          <w:tcPr>
            <w:tcW w:type="dxa" w:w="3331"/>
          </w:tcPr>
          <w:p>
            <w:r>
              <w:t>End-to-end walkthrough</w:t>
            </w:r>
          </w:p>
        </w:tc>
      </w:tr>
      <w:tr>
        <w:tc>
          <w:tcPr>
            <w:tcW w:type="dxa" w:w="3331"/>
          </w:tcPr>
          <w:p>
            <w:r>
              <w:t>Soh, Shi Rui Sherry</w:t>
            </w:r>
          </w:p>
        </w:tc>
        <w:tc>
          <w:tcPr>
            <w:tcW w:type="dxa" w:w="3331"/>
          </w:tcPr>
          <w:p>
            <w:r>
              <w:t>HR</w:t>
            </w:r>
          </w:p>
        </w:tc>
        <w:tc>
          <w:tcPr>
            <w:tcW w:type="dxa" w:w="3331"/>
          </w:tcPr>
          <w:p>
            <w:r>
              <w:t>HR business services</w:t>
            </w:r>
          </w:p>
        </w:tc>
      </w:tr>
      <w:tr>
        <w:tc>
          <w:tcPr>
            <w:tcW w:type="dxa" w:w="3331"/>
          </w:tcPr>
          <w:p>
            <w:r>
              <w:t>Mohd Azli, Amirul Mukhlis</w:t>
            </w:r>
          </w:p>
        </w:tc>
        <w:tc>
          <w:tcPr>
            <w:tcW w:type="dxa" w:w="3331"/>
          </w:tcPr>
          <w:p>
            <w:r>
              <w:t>IT Security</w:t>
            </w:r>
          </w:p>
        </w:tc>
        <w:tc>
          <w:tcPr>
            <w:tcW w:type="dxa" w:w="3331"/>
          </w:tcPr>
          <w:p>
            <w:r>
              <w:t>Security work</w:t>
            </w:r>
          </w:p>
        </w:tc>
      </w:tr>
      <w:tr>
        <w:tc>
          <w:tcPr>
            <w:tcW w:type="dxa" w:w="3331"/>
          </w:tcPr>
          <w:p>
            <w:r>
              <w:t>Zulfikar Zikri, Nuqman Haziq</w:t>
            </w:r>
          </w:p>
        </w:tc>
        <w:tc>
          <w:tcPr>
            <w:tcW w:type="dxa" w:w="3331"/>
          </w:tcPr>
          <w:p>
            <w:r>
              <w:t>Onsite IT</w:t>
            </w:r>
          </w:p>
        </w:tc>
        <w:tc>
          <w:tcPr>
            <w:tcW w:type="dxa" w:w="3331"/>
          </w:tcPr>
          <w:p>
            <w:r>
              <w:t>Device and access</w:t>
            </w:r>
          </w:p>
        </w:tc>
      </w:tr>
      <w:tr>
        <w:tc>
          <w:tcPr>
            <w:tcW w:type="dxa" w:w="3331"/>
          </w:tcPr>
          <w:p>
            <w:r>
              <w:t>Nur Aisyah</w:t>
            </w:r>
          </w:p>
        </w:tc>
        <w:tc>
          <w:tcPr>
            <w:tcW w:type="dxa" w:w="3331"/>
          </w:tcPr>
          <w:p>
            <w:r>
              <w:t>Facilities</w:t>
            </w:r>
          </w:p>
        </w:tc>
        <w:tc>
          <w:tcPr>
            <w:tcW w:type="dxa" w:w="3331"/>
          </w:tcPr>
          <w:p>
            <w:r>
              <w:t>Workplace readiness</w:t>
            </w:r>
          </w:p>
        </w:tc>
      </w:tr>
      <w:tr>
        <w:tc>
          <w:tcPr>
            <w:tcW w:type="dxa" w:w="3331"/>
          </w:tcPr>
          <w:p>
            <w:r>
              <w:t>Sarah Tan</w:t>
            </w:r>
          </w:p>
        </w:tc>
        <w:tc>
          <w:tcPr>
            <w:tcW w:type="dxa" w:w="3331"/>
          </w:tcPr>
          <w:p>
            <w:r>
              <w:t>Hiring Manager</w:t>
            </w:r>
          </w:p>
        </w:tc>
        <w:tc>
          <w:tcPr>
            <w:tcW w:type="dxa" w:w="3331"/>
          </w:tcPr>
          <w:p>
            <w:r>
              <w:t>Manager tasks</w:t>
            </w:r>
          </w:p>
        </w:tc>
      </w:tr>
      <w:tr>
        <w:tc>
          <w:tcPr>
            <w:tcW w:type="dxa" w:w="3331"/>
          </w:tcPr>
          <w:p>
            <w:r>
              <w:t>Bashari, Noorliana (MAL)</w:t>
            </w:r>
          </w:p>
        </w:tc>
        <w:tc>
          <w:tcPr>
            <w:tcW w:type="dxa" w:w="3331"/>
          </w:tcPr>
          <w:p>
            <w:r>
              <w:t>Finance</w:t>
            </w:r>
          </w:p>
        </w:tc>
        <w:tc>
          <w:tcPr>
            <w:tcW w:type="dxa" w:w="3331"/>
          </w:tcPr>
          <w:p>
            <w:r>
              <w:t>Finance tasks</w:t>
            </w:r>
          </w:p>
        </w:tc>
      </w:tr>
      <w:tr>
        <w:tc>
          <w:tcPr>
            <w:tcW w:type="dxa" w:w="3331"/>
          </w:tcPr>
          <w:p>
            <w:r>
              <w:t>Aziz, Nabila</w:t>
            </w:r>
          </w:p>
        </w:tc>
        <w:tc>
          <w:tcPr>
            <w:tcW w:type="dxa" w:w="3331"/>
          </w:tcPr>
          <w:p>
            <w:r>
              <w:t>Onboarding employee</w:t>
            </w:r>
          </w:p>
        </w:tc>
        <w:tc>
          <w:tcPr>
            <w:tcW w:type="dxa" w:w="3331"/>
          </w:tcPr>
          <w:p>
            <w:r>
              <w:t>Preboarding journey</w:t>
            </w:r>
          </w:p>
        </w:tc>
      </w:tr>
      <w:tr>
        <w:tc>
          <w:tcPr>
            <w:tcW w:type="dxa" w:w="3331"/>
          </w:tcPr>
          <w:p>
            <w:r>
              <w:t>Hamdan, Muhamad Asyraf Naqiyuddin</w:t>
            </w:r>
          </w:p>
        </w:tc>
        <w:tc>
          <w:tcPr>
            <w:tcW w:type="dxa" w:w="3331"/>
          </w:tcPr>
          <w:p>
            <w:r>
              <w:t>Offboarding employee</w:t>
            </w:r>
          </w:p>
        </w:tc>
        <w:tc>
          <w:tcPr>
            <w:tcW w:type="dxa" w:w="3331"/>
          </w:tcPr>
          <w:p>
            <w:r>
              <w:t>Exit journey</w:t>
            </w:r>
          </w:p>
        </w:tc>
      </w:tr>
    </w:tbl>
    <w:p/>
    <w:p>
      <w:pPr>
        <w:pStyle w:val="Heading1"/>
      </w:pPr>
      <w:r>
        <w:t>9. Demonstration workforce</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shd w:fill="0B3A70"/>
          </w:tcPr>
          <w:p>
            <w:r>
              <w:rPr>
                <w:b/>
                <w:color w:val="FFFFFF"/>
              </w:rPr>
              <w:t>Worker</w:t>
            </w:r>
          </w:p>
        </w:tc>
        <w:tc>
          <w:tcPr>
            <w:tcW w:type="dxa" w:w="2498"/>
            <w:shd w:fill="0B3A70"/>
          </w:tcPr>
          <w:p>
            <w:r>
              <w:rPr>
                <w:b/>
                <w:color w:val="FFFFFF"/>
              </w:rPr>
              <w:t>Status</w:t>
            </w:r>
          </w:p>
        </w:tc>
        <w:tc>
          <w:tcPr>
            <w:tcW w:type="dxa" w:w="2498"/>
            <w:shd w:fill="0B3A70"/>
          </w:tcPr>
          <w:p>
            <w:r>
              <w:rPr>
                <w:b/>
                <w:color w:val="FFFFFF"/>
              </w:rPr>
              <w:t>Start date</w:t>
            </w:r>
          </w:p>
        </w:tc>
        <w:tc>
          <w:tcPr>
            <w:tcW w:type="dxa" w:w="2498"/>
            <w:shd w:fill="0B3A70"/>
          </w:tcPr>
          <w:p>
            <w:r>
              <w:rPr>
                <w:b/>
                <w:color w:val="FFFFFF"/>
              </w:rPr>
              <w:t>Location</w:t>
            </w:r>
          </w:p>
        </w:tc>
        <w:trPr>
          <w:tblHeader/>
        </w:trPr>
      </w:tr>
      <w:tr>
        <w:tc>
          <w:tcPr>
            <w:tcW w:type="dxa" w:w="2498"/>
          </w:tcPr>
          <w:p>
            <w:r>
              <w:t>Thamotharan, Renuka Malar</w:t>
            </w:r>
          </w:p>
        </w:tc>
        <w:tc>
          <w:tcPr>
            <w:tcW w:type="dxa" w:w="2498"/>
          </w:tcPr>
          <w:p>
            <w:r>
              <w:t>Active</w:t>
            </w:r>
          </w:p>
        </w:tc>
        <w:tc>
          <w:tcPr>
            <w:tcW w:type="dxa" w:w="2498"/>
          </w:tcPr>
          <w:p>
            <w:r>
              <w:t>8 Nov 2021</w:t>
            </w:r>
          </w:p>
        </w:tc>
        <w:tc>
          <w:tcPr>
            <w:tcW w:type="dxa" w:w="2498"/>
          </w:tcPr>
          <w:p>
            <w:r>
              <w:t>Malaysia – UOA Business Park</w:t>
            </w:r>
          </w:p>
        </w:tc>
      </w:tr>
      <w:tr>
        <w:tc>
          <w:tcPr>
            <w:tcW w:type="dxa" w:w="2498"/>
          </w:tcPr>
          <w:p>
            <w:r>
              <w:t>Aziz, Nabila</w:t>
            </w:r>
          </w:p>
        </w:tc>
        <w:tc>
          <w:tcPr>
            <w:tcW w:type="dxa" w:w="2498"/>
          </w:tcPr>
          <w:p>
            <w:r>
              <w:t>Preboarding</w:t>
            </w:r>
          </w:p>
        </w:tc>
        <w:tc>
          <w:tcPr>
            <w:tcW w:type="dxa" w:w="2498"/>
          </w:tcPr>
          <w:p>
            <w:r>
              <w:t>10 business days ahead</w:t>
            </w:r>
          </w:p>
        </w:tc>
        <w:tc>
          <w:tcPr>
            <w:tcW w:type="dxa" w:w="2498"/>
          </w:tcPr>
          <w:p>
            <w:r>
              <w:t>Malaysia – UOA Business Park</w:t>
            </w:r>
          </w:p>
        </w:tc>
      </w:tr>
      <w:tr>
        <w:tc>
          <w:tcPr>
            <w:tcW w:type="dxa" w:w="2498"/>
          </w:tcPr>
          <w:p>
            <w:r>
              <w:t>Nagaraja, Umashangari</w:t>
            </w:r>
          </w:p>
        </w:tc>
        <w:tc>
          <w:tcPr>
            <w:tcW w:type="dxa" w:w="2498"/>
          </w:tcPr>
          <w:p>
            <w:r>
              <w:t>Active</w:t>
            </w:r>
          </w:p>
        </w:tc>
        <w:tc>
          <w:tcPr>
            <w:tcW w:type="dxa" w:w="2498"/>
          </w:tcPr>
          <w:p>
            <w:r>
              <w:t>20 Feb 2023</w:t>
            </w:r>
          </w:p>
        </w:tc>
        <w:tc>
          <w:tcPr>
            <w:tcW w:type="dxa" w:w="2498"/>
          </w:tcPr>
          <w:p>
            <w:r>
              <w:t>Malaysia – UOA Business Park</w:t>
            </w:r>
          </w:p>
        </w:tc>
      </w:tr>
      <w:tr>
        <w:tc>
          <w:tcPr>
            <w:tcW w:type="dxa" w:w="2498"/>
          </w:tcPr>
          <w:p>
            <w:r>
              <w:t>Ramachandran, Yuganeswary</w:t>
            </w:r>
          </w:p>
        </w:tc>
        <w:tc>
          <w:tcPr>
            <w:tcW w:type="dxa" w:w="2498"/>
          </w:tcPr>
          <w:p>
            <w:r>
              <w:t>Active</w:t>
            </w:r>
          </w:p>
        </w:tc>
        <w:tc>
          <w:tcPr>
            <w:tcW w:type="dxa" w:w="2498"/>
          </w:tcPr>
          <w:p>
            <w:r>
              <w:t>15 Jan 2024</w:t>
            </w:r>
          </w:p>
        </w:tc>
        <w:tc>
          <w:tcPr>
            <w:tcW w:type="dxa" w:w="2498"/>
          </w:tcPr>
          <w:p>
            <w:r>
              <w:t>Malaysia – UOA Business Park</w:t>
            </w:r>
          </w:p>
        </w:tc>
      </w:tr>
      <w:tr>
        <w:tc>
          <w:tcPr>
            <w:tcW w:type="dxa" w:w="2498"/>
          </w:tcPr>
          <w:p>
            <w:r>
              <w:t>Hamdan, Muhamad Asyraf Naqiyuddin</w:t>
            </w:r>
          </w:p>
        </w:tc>
        <w:tc>
          <w:tcPr>
            <w:tcW w:type="dxa" w:w="2498"/>
          </w:tcPr>
          <w:p>
            <w:r>
              <w:t>Offboarding</w:t>
            </w:r>
          </w:p>
        </w:tc>
        <w:tc>
          <w:tcPr>
            <w:tcW w:type="dxa" w:w="2498"/>
          </w:tcPr>
          <w:p>
            <w:r>
              <w:t>13 Jun 2022</w:t>
            </w:r>
          </w:p>
        </w:tc>
        <w:tc>
          <w:tcPr>
            <w:tcW w:type="dxa" w:w="2498"/>
          </w:tcPr>
          <w:p>
            <w:r>
              <w:t>Malaysia – UOA Business Park</w:t>
            </w:r>
          </w:p>
        </w:tc>
      </w:tr>
    </w:tbl>
    <w:p/>
    <w:p>
      <w:pPr>
        <w:pStyle w:val="Heading1"/>
      </w:pPr>
      <w:r>
        <w:t>10. Portal capabilities</w:t>
      </w:r>
    </w:p>
    <w:p>
      <w:pPr>
        <w:pStyle w:val="Heading2"/>
      </w:pPr>
      <w:r>
        <w:t>PPG Workday Demo Portal</w:t>
      </w:r>
    </w:p>
    <w:p>
      <w:pPr>
        <w:spacing w:after="120"/>
      </w:pPr>
      <w:r>
        <w:t>This is a mock HR source application, not the real Workday environment; no production Workday API is connected. Users can view the worker population and worker details including department, position, location, start date, and lifecycle status (Active, Preboarding, or Offboarding). Where supported, it can demonstrate worker and lifecycle changes that OneFlow uses in the prototype.</w:t>
      </w:r>
    </w:p>
    <w:p>
      <w:pPr>
        <w:pStyle w:val="Heading2"/>
      </w:pPr>
      <w:r>
        <w:t>OneFlow Portal</w:t>
      </w:r>
    </w:p>
    <w:p>
      <w:pPr>
        <w:spacing w:after="120"/>
      </w:pPr>
      <w:r>
        <w:t>OneFlow provides lifecycle case management, onboarding and offboarding journeys, role-based responsibility, assigned tasks, completion tracking, forms, mock notifications, activity history, progress visibility, operational reports, automation simulation, and role-specific views.</w:t>
      </w:r>
    </w:p>
    <w:p>
      <w:pPr>
        <w:pStyle w:val="Heading1"/>
      </w:pPr>
      <w:r>
        <w:t>11. User manual</w:t>
      </w:r>
    </w:p>
    <w:p>
      <w:pPr>
        <w:pStyle w:val="Heading2"/>
      </w:pPr>
      <w:r>
        <w:t>11.1 Accessing OneFlow</w:t>
      </w:r>
    </w:p>
    <w:p>
      <w:pPr>
        <w:spacing w:after="120"/>
      </w:pPr>
      <w:r>
        <w:t>Open https://oneflow.highrulez.com. This is the official hackathon demo URL. On the login page, use Demo Account Quick Login to select a role. The dashboard presents relevant work and navigation; switch roles by returning to the login flow.</w:t>
      </w:r>
    </w:p>
    <w:tbl>
      <w:tblPr>
        <w:tblStyle w:val="TableGrid"/>
        <w:tblW w:type="auto" w:w="0"/>
        <w:tblLook w:firstColumn="1" w:firstRow="1" w:lastColumn="0" w:lastRow="0" w:noHBand="0" w:noVBand="1" w:val="04A0"/>
      </w:tblPr>
      <w:tblGrid>
        <w:gridCol w:w="9994"/>
      </w:tblGrid>
      <w:tr>
        <w:tc>
          <w:tcPr>
            <w:tcW w:type="dxa" w:w="9994"/>
            <w:shd w:fill="FFF4CE"/>
          </w:tcPr>
          <w:p>
            <w:r>
              <w:t>SCREENSHOT PLACEHOLDER — Login page and Demo Account Quick Login</w:t>
              <w:br/>
              <w:t>Capture from the running hackathon demo before presentation or handover.</w:t>
            </w:r>
          </w:p>
        </w:tc>
        <w:trPr>
          <w:tblHeader/>
        </w:trPr>
      </w:tr>
    </w:tbl>
    <w:p/>
    <w:p>
      <w:pPr>
        <w:pStyle w:val="Heading2"/>
      </w:pPr>
      <w:r>
        <w:t>11.2 Dashboard</w:t>
      </w:r>
    </w:p>
    <w:p>
      <w:pPr>
        <w:spacing w:after="120"/>
      </w:pPr>
      <w:r>
        <w:t>Review assigned work, case summaries, unread mock notifications, and navigation cards.</w:t>
      </w:r>
    </w:p>
    <w:p>
      <w:pPr>
        <w:pStyle w:val="Heading2"/>
      </w:pPr>
      <w:r>
        <w:t>11.3 Workday demo</w:t>
      </w:r>
    </w:p>
    <w:p>
      <w:pPr>
        <w:spacing w:after="120"/>
      </w:pPr>
      <w:r>
        <w:t>Open the Workday Demo Portal to view workers or inspect employee details and lifecycle status.</w:t>
      </w:r>
    </w:p>
    <w:p>
      <w:pPr>
        <w:pStyle w:val="Heading2"/>
      </w:pPr>
      <w:r>
        <w:t>11.4 Lifecycle cases</w:t>
      </w:r>
    </w:p>
    <w:p>
      <w:pPr>
        <w:spacing w:after="120"/>
      </w:pPr>
      <w:r>
        <w:t>Open a case to review employee context, task status, ownership, progress, forms, notifications, and activity history.</w:t>
      </w:r>
    </w:p>
    <w:p>
      <w:pPr>
        <w:pStyle w:val="Heading2"/>
      </w:pPr>
      <w:r>
        <w:t>11.5 Tasks and forms</w:t>
      </w:r>
    </w:p>
    <w:p>
      <w:pPr>
        <w:spacing w:after="120"/>
      </w:pPr>
      <w:r>
        <w:t>Open an assigned task or form, complete the permitted information, then submit or mark the task complete where enabled.</w:t>
      </w:r>
    </w:p>
    <w:p>
      <w:pPr>
        <w:pStyle w:val="Heading2"/>
      </w:pPr>
      <w:r>
        <w:t>11.6 Progress, notifications and history</w:t>
      </w:r>
    </w:p>
    <w:p>
      <w:pPr>
        <w:spacing w:after="120"/>
      </w:pPr>
      <w:r>
        <w:t>Completion updates case progress. The mock inbox and activity history provide prototype audit visibility.</w:t>
      </w:r>
    </w:p>
    <w:p>
      <w:pPr>
        <w:pStyle w:val="Heading2"/>
      </w:pPr>
      <w:r>
        <w:t>11.7 Reports and automation simulation</w:t>
      </w:r>
    </w:p>
    <w:p>
      <w:pPr>
        <w:spacing w:after="120"/>
      </w:pPr>
      <w:r>
        <w:t>Use in-app reports for operational snapshot views; automation runs demonstrate simulation only, not live Power Automate.</w:t>
      </w:r>
    </w:p>
    <w:p>
      <w:pPr>
        <w:pStyle w:val="Heading2"/>
      </w:pPr>
      <w:r>
        <w:t>11.8 Logout or role switching</w:t>
      </w:r>
    </w:p>
    <w:p>
      <w:pPr>
        <w:spacing w:after="120"/>
      </w:pPr>
      <w:r>
        <w:t>Use the application session controls or return to login, then select the appropriate demo role.</w:t>
      </w:r>
    </w:p>
    <w:tbl>
      <w:tblPr>
        <w:tblStyle w:val="TableGrid"/>
        <w:tblW w:type="auto" w:w="0"/>
        <w:tblLook w:firstColumn="1" w:firstRow="1" w:lastColumn="0" w:lastRow="0" w:noHBand="0" w:noVBand="1" w:val="04A0"/>
      </w:tblPr>
      <w:tblGrid>
        <w:gridCol w:w="9994"/>
      </w:tblGrid>
      <w:tr>
        <w:tc>
          <w:tcPr>
            <w:tcW w:type="dxa" w:w="9994"/>
            <w:shd w:fill="FFF4CE"/>
          </w:tcPr>
          <w:p>
            <w:r>
              <w:t>SCREENSHOT PLACEHOLDER — OneFlow case detail, tasks, progress, and activity history</w:t>
              <w:br/>
              <w:t>Capture from the running hackathon demo before presentation or handover.</w:t>
            </w:r>
          </w:p>
        </w:tc>
        <w:trPr>
          <w:tblHeader/>
        </w:trPr>
      </w:tr>
    </w:tbl>
    <w:p/>
    <w:p>
      <w:pPr>
        <w:pStyle w:val="Heading1"/>
      </w:pPr>
      <w:r>
        <w:t>12. Role manuals</w:t>
      </w:r>
    </w:p>
    <w:p>
      <w:pPr>
        <w:pStyle w:val="Heading2"/>
      </w:pPr>
      <w:r>
        <w:t>12.1 OneFlow Admin</w:t>
      </w:r>
    </w:p>
    <w:p>
      <w:pPr>
        <w:spacing w:after="120"/>
      </w:pPr>
      <w:r>
        <w:t>Purpose: participate in the lifecycle workflow. What the user can see: Sees dashboards, settings, reports, demo controls, cases and simulation history. What the user can do: Review the overall demo, reset seeded data where available, inspect cases, reports and automation runs. Typical workflow: open assigned work, review instructions, complete permitted action, and return to the case. What happens after completion: After task completion, the case progress, history, and role views update.</w:t>
      </w:r>
    </w:p>
    <w:p>
      <w:pPr>
        <w:pStyle w:val="Heading2"/>
      </w:pPr>
      <w:r>
        <w:t>12.2 HR</w:t>
      </w:r>
    </w:p>
    <w:p>
      <w:pPr>
        <w:spacing w:after="120"/>
      </w:pPr>
      <w:r>
        <w:t>Purpose: participate in the lifecycle workflow. What the user can see: Sees HR lifecycle work, worker and case context. What the user can do: Coordinate worker details and track onboarding/offboarding readiness. Typical workflow: open assigned work, review instructions, complete permitted action, and return to the case. What happens after completion: Completion is recorded in the case and visible to the owning teams.</w:t>
      </w:r>
    </w:p>
    <w:p>
      <w:pPr>
        <w:pStyle w:val="Heading2"/>
      </w:pPr>
      <w:r>
        <w:t>12.3 Hiring Manager</w:t>
      </w:r>
    </w:p>
    <w:p>
      <w:pPr>
        <w:spacing w:after="120"/>
      </w:pPr>
      <w:r>
        <w:t>Purpose: participate in the lifecycle workflow. What the user can see: Sees manager-owned employee readiness work. What the user can do: Complete assigned team, buddy, training or schedule activities where present. Typical workflow: open assigned work, review instructions, complete permitted action, and return to the case. What happens after completion: The lifecycle case progress is updated.</w:t>
      </w:r>
    </w:p>
    <w:p>
      <w:pPr>
        <w:pStyle w:val="Heading2"/>
      </w:pPr>
      <w:r>
        <w:t>12.4 Onsite IT</w:t>
      </w:r>
    </w:p>
    <w:p>
      <w:pPr>
        <w:spacing w:after="120"/>
      </w:pPr>
      <w:r>
        <w:t>Purpose: participate in the lifecycle workflow. What the user can see: Sees device and onsite technical tasks. What the user can do: Prepare/recover equipment and update assigned task status. Typical workflow: open assigned work, review instructions, complete permitted action, and return to the case. What happens after completion: Status is reflected in the case.</w:t>
      </w:r>
    </w:p>
    <w:p>
      <w:pPr>
        <w:pStyle w:val="Heading2"/>
      </w:pPr>
      <w:r>
        <w:t>12.5 IT Security</w:t>
      </w:r>
    </w:p>
    <w:p>
      <w:pPr>
        <w:spacing w:after="120"/>
      </w:pPr>
      <w:r>
        <w:t>Purpose: participate in the lifecycle workflow. What the user can see: Sees security and access tasks. What the user can do: Complete assigned security/access actions and record task progress. Typical workflow: open assigned work, review instructions, complete permitted action, and return to the case. What happens after completion: Status is reflected in case history.</w:t>
      </w:r>
    </w:p>
    <w:p>
      <w:pPr>
        <w:pStyle w:val="Heading2"/>
      </w:pPr>
      <w:r>
        <w:t>12.6 Finance</w:t>
      </w:r>
    </w:p>
    <w:p>
      <w:pPr>
        <w:spacing w:after="120"/>
      </w:pPr>
      <w:r>
        <w:t>Purpose: participate in the lifecycle workflow. What the user can see: Sees assigned finance work. What the user can do: Complete relevant assigned finance items. Typical workflow: open assigned work, review instructions, complete permitted action, and return to the case. What happens after completion: Status is reflected in the lifecycle case.</w:t>
      </w:r>
    </w:p>
    <w:p>
      <w:pPr>
        <w:pStyle w:val="Heading2"/>
      </w:pPr>
      <w:r>
        <w:t>12.7 Facilities</w:t>
      </w:r>
    </w:p>
    <w:p>
      <w:pPr>
        <w:spacing w:after="120"/>
      </w:pPr>
      <w:r>
        <w:t>Purpose: participate in the lifecycle workflow. What the user can see: Sees workplace readiness or clearance tasks. What the user can do: Complete access card, parking, building, or EHS work where assigned. Typical workflow: open assigned work, review instructions, complete permitted action, and return to the case. What happens after completion: Status is reflected in the lifecycle case.</w:t>
      </w:r>
    </w:p>
    <w:p>
      <w:pPr>
        <w:pStyle w:val="Heading2"/>
      </w:pPr>
      <w:r>
        <w:t>12.8 Quality</w:t>
      </w:r>
    </w:p>
    <w:p>
      <w:pPr>
        <w:spacing w:after="120"/>
      </w:pPr>
      <w:r>
        <w:t>Purpose: participate in the lifecycle workflow. What the user can see: Sees quality acknowledgement work where assigned. What the user can do: Complete the assigned acknowledgement/task. Typical workflow: open assigned work, review instructions, complete permitted action, and return to the case. What happens after completion: Status is reflected in the lifecycle case.</w:t>
      </w:r>
    </w:p>
    <w:p>
      <w:pPr>
        <w:pStyle w:val="Heading2"/>
      </w:pPr>
      <w:r>
        <w:t>12.9 Product Stewardship</w:t>
      </w:r>
    </w:p>
    <w:p>
      <w:pPr>
        <w:spacing w:after="120"/>
      </w:pPr>
      <w:r>
        <w:t>Purpose: participate in the lifecycle workflow. What the user can see: Sees stewardship acknowledgement work where assigned. What the user can do: Complete the assigned acknowledgement/task. Typical workflow: open assigned work, review instructions, complete permitted action, and return to the case. What happens after completion: Status is reflected in the lifecycle case.</w:t>
      </w:r>
    </w:p>
    <w:p>
      <w:pPr>
        <w:pStyle w:val="Heading2"/>
      </w:pPr>
      <w:r>
        <w:t>12.10 Onboarding Employee</w:t>
      </w:r>
    </w:p>
    <w:p>
      <w:pPr>
        <w:spacing w:after="120"/>
      </w:pPr>
      <w:r>
        <w:t>Purpose: participate in the lifecycle workflow. What the user can see: Sees personal onboarding views and assigned forms. What the user can do: Review and complete permitted forms and tasks. Typical workflow: open assigned work, review instructions, complete permitted action, and return to the case. What happens after completion: Completion appears in progress and activity history.</w:t>
      </w:r>
    </w:p>
    <w:p>
      <w:pPr>
        <w:pStyle w:val="Heading2"/>
      </w:pPr>
      <w:r>
        <w:t>12.11 Offboarding Employee</w:t>
      </w:r>
    </w:p>
    <w:p>
      <w:pPr>
        <w:spacing w:after="120"/>
      </w:pPr>
      <w:r>
        <w:t>Purpose: participate in the lifecycle workflow. What the user can see: Sees personal exit views and exit-clearance forms. What the user can do: Complete permitted exit information and forms. Typical workflow: open assigned work, review instructions, complete permitted action, and return to the case. What happens after completion: Completion becomes part of the exit case audit trail.</w:t>
      </w:r>
    </w:p>
    <w:p>
      <w:pPr>
        <w:pStyle w:val="Heading1"/>
      </w:pPr>
      <w:r>
        <w:t>13. Onboarding walkthrough — Aziz, Nabila</w:t>
      </w:r>
    </w:p>
    <w:p>
      <w:pPr>
        <w:spacing w:after="120"/>
      </w:pPr>
      <w:r>
        <w:t>Aziz, Nabila is the confirmed Preboarding demonstration employee. Prototype flow: PPG Workday Demo → Preboarding worker → OneFlow lifecycle case → role tasks created for HR, Hiring Manager, IT Security, Onsite IT, Facilities, Finance and other applicable roles → tasks completed → progress updated → mock notifications and activity history → onboarding ready. In Phase 1, case creation, task templates, updates and notifications are demonstrated locally. In production, approved Workday events and Power Automate would automate and monitor the hand-off.</w:t>
      </w:r>
    </w:p>
    <w:p>
      <w:pPr>
        <w:pStyle w:val="Heading1"/>
      </w:pPr>
      <w:r>
        <w:t>14. Offboarding walkthrough — Hamdan, Muhamad Asyraf Naqiyuddin</w:t>
      </w:r>
    </w:p>
    <w:p>
      <w:pPr>
        <w:spacing w:after="120"/>
      </w:pPr>
      <w:r>
        <w:t>Hamdan is the confirmed Offboarding demonstration employee. The prototype demonstrates offboarding initiation, departmental clearance, access removal, equipment return, finance and manager actions, outstanding items, completion, and the audit trail. These are local case and task behaviours in Phase 1; production automation would require approved Workday integration, identity/access integrations, and managed workflow services.</w:t>
      </w:r>
    </w:p>
    <w:p>
      <w:pPr>
        <w:pStyle w:val="Heading1"/>
      </w:pPr>
      <w:r>
        <w:t>15. Technical architecture — implemented</w:t>
      </w:r>
    </w:p>
    <w:p>
      <w:r>
        <w:drawing>
          <wp:inline xmlns:a="http://schemas.openxmlformats.org/drawingml/2006/main" xmlns:pic="http://schemas.openxmlformats.org/drawingml/2006/picture">
            <wp:extent cx="6080760" cy="2026920"/>
            <wp:docPr id="1" name="Picture 1" descr="Image: image1.png"/>
            <wp:cNvGraphicFramePr>
              <a:graphicFrameLocks noChangeAspect="1"/>
            </wp:cNvGraphicFramePr>
            <a:graphic>
              <a:graphicData uri="http://schemas.openxmlformats.org/drawingml/2006/picture">
                <pic:pic>
                  <pic:nvPicPr>
                    <pic:cNvPr id="0" name="current.png"/>
                    <pic:cNvPicPr/>
                  </pic:nvPicPr>
                  <pic:blipFill>
                    <a:blip r:embed="rId9"/>
                    <a:stretch>
                      <a:fillRect/>
                    </a:stretch>
                  </pic:blipFill>
                  <pic:spPr>
                    <a:xfrm>
                      <a:off x="0" y="0"/>
                      <a:ext cx="6080760" cy="2026920"/>
                    </a:xfrm>
                    <a:prstGeom prst="rect"/>
                  </pic:spPr>
                </pic:pic>
              </a:graphicData>
            </a:graphic>
          </wp:inline>
        </w:drawing>
      </w:r>
    </w:p>
    <w:p>
      <w:pPr>
        <w:spacing w:after="120"/>
        <w:jc w:val="center"/>
      </w:pPr>
      <w:r>
        <w:rPr>
          <w:i/>
          <w:sz w:val="18"/>
        </w:rPr>
        <w:t>Diagram 1. Implemented prototype components.</w:t>
      </w:r>
    </w:p>
    <w:p>
      <w:pPr>
        <w:spacing w:after="120"/>
      </w:pPr>
      <w:r>
        <w:t>Next.js 15 and React 19 provide the UI. DataService and repository abstractions use browser local storage for the self-contained demo. A Dataverse repository placeholder exists but is not connected.</w:t>
      </w:r>
    </w:p>
    <w:p>
      <w:pPr>
        <w:pStyle w:val="Heading1"/>
      </w:pPr>
      <w:r>
        <w:t>16. Deployment architecture — implemented</w:t>
      </w:r>
    </w:p>
    <w:p>
      <w:r>
        <w:drawing>
          <wp:inline xmlns:a="http://schemas.openxmlformats.org/drawingml/2006/main" xmlns:pic="http://schemas.openxmlformats.org/drawingml/2006/picture">
            <wp:extent cx="6080760" cy="2026920"/>
            <wp:docPr id="2" name="Picture 2" descr="Image: image2.png"/>
            <wp:cNvGraphicFramePr>
              <a:graphicFrameLocks noChangeAspect="1"/>
            </wp:cNvGraphicFramePr>
            <a:graphic>
              <a:graphicData uri="http://schemas.openxmlformats.org/drawingml/2006/picture">
                <pic:pic>
                  <pic:nvPicPr>
                    <pic:cNvPr id="0" name="deployment.png"/>
                    <pic:cNvPicPr/>
                  </pic:nvPicPr>
                  <pic:blipFill>
                    <a:blip r:embed="rId10"/>
                    <a:stretch>
                      <a:fillRect/>
                    </a:stretch>
                  </pic:blipFill>
                  <pic:spPr>
                    <a:xfrm>
                      <a:off x="0" y="0"/>
                      <a:ext cx="6080760" cy="2026920"/>
                    </a:xfrm>
                    <a:prstGeom prst="rect"/>
                  </pic:spPr>
                </pic:pic>
              </a:graphicData>
            </a:graphic>
          </wp:inline>
        </w:drawing>
      </w:r>
    </w:p>
    <w:p>
      <w:pPr>
        <w:spacing w:after="120"/>
        <w:jc w:val="center"/>
      </w:pPr>
      <w:r>
        <w:rPr>
          <w:i/>
          <w:sz w:val="18"/>
        </w:rPr>
        <w:t>Diagram 2. User-facing hackathon deployment path.</w:t>
      </w:r>
    </w:p>
    <w:p>
      <w:pPr>
        <w:spacing w:after="120"/>
      </w:pPr>
      <w:r>
        <w:t>Users access the OneFlow hackathon demo through https://oneflow.highrulez.com. The reverse proxy and Docker port mappings are internal deployment details and are not exposed to end users. Technical deployment note: Synology reverse proxy forwards internally to Docker host port 3005; Docker maps 3005:3000; the application listens on container port 3000.</w:t>
      </w:r>
    </w:p>
    <w:p>
      <w:pPr>
        <w:pStyle w:val="Heading1"/>
      </w:pPr>
      <w:r>
        <w:t>17. Proposed Microsoft-first production architecture</w:t>
      </w:r>
    </w:p>
    <w:p>
      <w:r>
        <w:drawing>
          <wp:inline xmlns:a="http://schemas.openxmlformats.org/drawingml/2006/main" xmlns:pic="http://schemas.openxmlformats.org/drawingml/2006/picture">
            <wp:extent cx="6080760" cy="2026920"/>
            <wp:docPr id="3" name="Picture 3" descr="Image: image3.png"/>
            <wp:cNvGraphicFramePr>
              <a:graphicFrameLocks noChangeAspect="1"/>
            </wp:cNvGraphicFramePr>
            <a:graphic>
              <a:graphicData uri="http://schemas.openxmlformats.org/drawingml/2006/picture">
                <pic:pic>
                  <pic:nvPicPr>
                    <pic:cNvPr id="0" name="future.png"/>
                    <pic:cNvPicPr/>
                  </pic:nvPicPr>
                  <pic:blipFill>
                    <a:blip r:embed="rId11"/>
                    <a:stretch>
                      <a:fillRect/>
                    </a:stretch>
                  </pic:blipFill>
                  <pic:spPr>
                    <a:xfrm>
                      <a:off x="0" y="0"/>
                      <a:ext cx="6080760" cy="2026920"/>
                    </a:xfrm>
                    <a:prstGeom prst="rect"/>
                  </pic:spPr>
                </pic:pic>
              </a:graphicData>
            </a:graphic>
          </wp:inline>
        </w:drawing>
      </w:r>
    </w:p>
    <w:p>
      <w:pPr>
        <w:spacing w:after="120"/>
        <w:jc w:val="center"/>
      </w:pPr>
      <w:r>
        <w:rPr>
          <w:i/>
          <w:sz w:val="18"/>
        </w:rPr>
        <w:t>Diagram 3. Proposed production architecture — not yet implemented.</w:t>
      </w:r>
    </w:p>
    <w:p>
      <w:pPr>
        <w:spacing w:after="120"/>
      </w:pPr>
      <w:r>
        <w:t>The proposed production architecture follows a Microsoft-first approach because the organisation already primarily uses Microsoft 365 and Azure services. Final platform selection remains subject to PPG enterprise architecture, cybersecurity and licensing review. Workday integration/API events feed Microsoft Dataverse; Power Automate orchestrates approved workflows; OneFlow provides the experience layer; Microsoft 365 Outlook/Teams and Microsoft Graph support notifications; Power BI provides reporting; Microsoft Entra ID provides identity. Azure integration/API services, Azure Key Vault, Azure Monitor and Application Insights support secure, observable integration where required.</w:t>
      </w:r>
    </w:p>
    <w:p>
      <w:pPr>
        <w:pStyle w:val="Heading1"/>
      </w:pPr>
      <w:r>
        <w:t>18. Production email and notification direction</w:t>
      </w:r>
    </w:p>
    <w:p>
      <w:pPr>
        <w:spacing w:after="120"/>
      </w:pPr>
      <w:r>
        <w:t>Production notifications should use Microsoft 365, Outlook, Exchange Online, Microsoft Graph, and/or the Power Automate Microsoft 365 Outlook connector as appropriate. This uses the organisation’s existing communication ecosystem. The optional AWS SES prototype/legacy capability is NOT part of the recommended production architecture.</w:t>
      </w:r>
    </w:p>
    <w:p>
      <w:pPr>
        <w:pStyle w:val="Heading1"/>
      </w:pPr>
      <w:r>
        <w:t>19. Production cost assumptions</w:t>
      </w:r>
    </w:p>
    <w:p>
      <w:pPr>
        <w:spacing w:after="120"/>
      </w:pPr>
      <w:r>
        <w:t>Indicative planning estimate only. PPG may already have significant Microsoft 365, Outlook/Exchange Online, Entra ID, Azure tenant/services, and some Power Platform entitlement under an existing enterprise agreement; entitlement to be confirmed. Do not treat existing services as free. Actual PPG cost may be materially lower or structured differently due to existing Microsoft enterprise licensing agreements.</w:t>
      </w:r>
    </w:p>
    <w:p>
      <w:pPr>
        <w:pStyle w:val="Heading1"/>
      </w:pPr>
      <w:r>
        <w:t>20. Incremental production costs</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0B3A70"/>
          </w:tcPr>
          <w:p>
            <w:r>
              <w:rPr>
                <w:b/>
                <w:color w:val="FFFFFF"/>
              </w:rPr>
              <w:t>Incremental component</w:t>
            </w:r>
          </w:p>
        </w:tc>
        <w:tc>
          <w:tcPr>
            <w:tcW w:type="dxa" w:w="3331"/>
            <w:shd w:fill="0B3A70"/>
          </w:tcPr>
          <w:p>
            <w:r>
              <w:rPr>
                <w:b/>
                <w:color w:val="FFFFFF"/>
              </w:rPr>
              <w:t>Public planning indicator</w:t>
            </w:r>
          </w:p>
        </w:tc>
        <w:tc>
          <w:tcPr>
            <w:tcW w:type="dxa" w:w="3331"/>
            <w:shd w:fill="0B3A70"/>
          </w:tcPr>
          <w:p>
            <w:r>
              <w:rPr>
                <w:b/>
                <w:color w:val="FFFFFF"/>
              </w:rPr>
              <w:t>Planning note</w:t>
            </w:r>
          </w:p>
        </w:tc>
        <w:trPr>
          <w:tblHeader/>
        </w:trPr>
      </w:tr>
      <w:tr>
        <w:tc>
          <w:tcPr>
            <w:tcW w:type="dxa" w:w="3331"/>
          </w:tcPr>
          <w:p>
            <w:r>
              <w:t>Power Apps Premium</w:t>
            </w:r>
          </w:p>
        </w:tc>
        <w:tc>
          <w:tcPr>
            <w:tcW w:type="dxa" w:w="3331"/>
          </w:tcPr>
          <w:p>
            <w:r>
              <w:t>USD20/user/month ≈ RM85</w:t>
            </w:r>
          </w:p>
        </w:tc>
        <w:tc>
          <w:tcPr>
            <w:tcW w:type="dxa" w:w="3331"/>
          </w:tcPr>
          <w:p>
            <w:r>
              <w:t>Where required; entitlement to be confirmed</w:t>
            </w:r>
          </w:p>
        </w:tc>
      </w:tr>
      <w:tr>
        <w:tc>
          <w:tcPr>
            <w:tcW w:type="dxa" w:w="3331"/>
          </w:tcPr>
          <w:p>
            <w:r>
              <w:t>Power Automate Premium</w:t>
            </w:r>
          </w:p>
        </w:tc>
        <w:tc>
          <w:tcPr>
            <w:tcW w:type="dxa" w:w="3331"/>
          </w:tcPr>
          <w:p>
            <w:r>
              <w:t>USD15/user/month ≈ RM63.75</w:t>
            </w:r>
          </w:p>
        </w:tc>
        <w:tc>
          <w:tcPr>
            <w:tcW w:type="dxa" w:w="3331"/>
          </w:tcPr>
          <w:p>
            <w:r>
              <w:t>Premium users/connectors where required</w:t>
            </w:r>
          </w:p>
        </w:tc>
      </w:tr>
      <w:tr>
        <w:tc>
          <w:tcPr>
            <w:tcW w:type="dxa" w:w="3331"/>
          </w:tcPr>
          <w:p>
            <w:r>
              <w:t>Power Automate Process</w:t>
            </w:r>
          </w:p>
        </w:tc>
        <w:tc>
          <w:tcPr>
            <w:tcW w:type="dxa" w:w="3331"/>
          </w:tcPr>
          <w:p>
            <w:r>
              <w:t>USD150/bot/month ≈ RM637.50</w:t>
            </w:r>
          </w:p>
        </w:tc>
        <w:tc>
          <w:tcPr>
            <w:tcW w:type="dxa" w:w="3331"/>
          </w:tcPr>
          <w:p>
            <w:r>
              <w:t>Only for applicable unattended/process automation</w:t>
            </w:r>
          </w:p>
        </w:tc>
      </w:tr>
      <w:tr>
        <w:tc>
          <w:tcPr>
            <w:tcW w:type="dxa" w:w="3331"/>
          </w:tcPr>
          <w:p>
            <w:r>
              <w:t>Dataverse database capacity</w:t>
            </w:r>
          </w:p>
        </w:tc>
        <w:tc>
          <w:tcPr>
            <w:tcW w:type="dxa" w:w="3331"/>
          </w:tcPr>
          <w:p>
            <w:r>
              <w:t>USD40/GB/month ≈ RM170</w:t>
            </w:r>
          </w:p>
        </w:tc>
        <w:tc>
          <w:tcPr>
            <w:tcW w:type="dxa" w:w="3331"/>
          </w:tcPr>
          <w:p>
            <w:r>
              <w:t>Only for incremental pooled capacity</w:t>
            </w:r>
          </w:p>
        </w:tc>
      </w:tr>
      <w:tr>
        <w:tc>
          <w:tcPr>
            <w:tcW w:type="dxa" w:w="3331"/>
          </w:tcPr>
          <w:p>
            <w:r>
              <w:t>Power BI Pro</w:t>
            </w:r>
          </w:p>
        </w:tc>
        <w:tc>
          <w:tcPr>
            <w:tcW w:type="dxa" w:w="3331"/>
          </w:tcPr>
          <w:p>
            <w:r>
              <w:t>USD14/user/month ≈ RM59.50</w:t>
            </w:r>
          </w:p>
        </w:tc>
        <w:tc>
          <w:tcPr>
            <w:tcW w:type="dxa" w:w="3331"/>
          </w:tcPr>
          <w:p>
            <w:r>
              <w:t>May be included in existing licensing</w:t>
            </w:r>
          </w:p>
        </w:tc>
      </w:tr>
      <w:tr>
        <w:tc>
          <w:tcPr>
            <w:tcW w:type="dxa" w:w="3331"/>
          </w:tcPr>
          <w:p>
            <w:r>
              <w:t>Azure integration, Key Vault, Monitor, App Insights</w:t>
            </w:r>
          </w:p>
        </w:tc>
        <w:tc>
          <w:tcPr>
            <w:tcW w:type="dxa" w:w="3331"/>
          </w:tcPr>
          <w:p>
            <w:r>
              <w:t>Consumption / quote required</w:t>
            </w:r>
          </w:p>
        </w:tc>
        <w:tc>
          <w:tcPr>
            <w:tcW w:type="dxa" w:w="3331"/>
          </w:tcPr>
          <w:p>
            <w:r>
              <w:t>Usage, region, retention and enterprise agreement dependent</w:t>
            </w:r>
          </w:p>
        </w:tc>
      </w:tr>
      <w:tr>
        <w:tc>
          <w:tcPr>
            <w:tcW w:type="dxa" w:w="3331"/>
          </w:tcPr>
          <w:p>
            <w:r>
              <w:t>Workday integration/API access</w:t>
            </w:r>
          </w:p>
        </w:tc>
        <w:tc>
          <w:tcPr>
            <w:tcW w:type="dxa" w:w="3331"/>
          </w:tcPr>
          <w:p>
            <w:r>
              <w:t>Quote / internal confirmation required</w:t>
            </w:r>
          </w:p>
        </w:tc>
        <w:tc>
          <w:tcPr>
            <w:tcW w:type="dxa" w:w="3331"/>
          </w:tcPr>
          <w:p>
            <w:r>
              <w:t>Contract and interface scope dependent</w:t>
            </w:r>
          </w:p>
        </w:tc>
      </w:tr>
    </w:tbl>
    <w:p/>
    <w:p>
      <w:pPr>
        <w:spacing w:after="120"/>
      </w:pPr>
      <w:r>
        <w:t>Prices are public marketing/list-price indicators checked 19 August 2026, exclude tax and discounts, and use USD1 = RM4.25 for illustrative planning conversion. Do not use as a procurement quote.</w:t>
      </w:r>
    </w:p>
    <w:p>
      <w:pPr>
        <w:pStyle w:val="Heading1"/>
      </w:pPr>
      <w:r>
        <w:t>21. Implementation and ongoing cost</w:t>
      </w:r>
    </w:p>
    <w:p>
      <w:pPr>
        <w:spacing w:after="120"/>
      </w:pPr>
      <w:r>
        <w:t>Indicative planning estimate: RM260,000–RM750,000 for discovery, integration, data model, SSO/security, workflow configuration, testing, reporting, training, change management, and support transition. Ongoing cost depends on incremental licences, Azure consumption, Workday interfaces, support, maintenance, assessment, and testing. Avoid false precision; obtain enterprise and vendor quotes.</w:t>
      </w:r>
    </w:p>
    <w:p>
      <w:pPr>
        <w:pStyle w:val="Heading1"/>
      </w:pPr>
      <w:r>
        <w:t>22. ROI framework</w:t>
      </w:r>
    </w:p>
    <w:p>
      <w:pPr>
        <w:spacing w:after="120"/>
      </w:pPr>
      <w:r>
        <w:t>Measure saved handling time, avoided rework, late provisioning, onboarding readiness, offboarding closure, audit evidence, and stakeholder satisfaction. Formula: (annual quantified benefit − annual recurring cost) ÷ implementation cost. Do not assume salary figures without validated HR inputs.</w:t>
      </w:r>
    </w:p>
    <w:p>
      <w:pPr>
        <w:pStyle w:val="Heading1"/>
      </w:pPr>
      <w:r>
        <w:t>23. Security and privacy</w:t>
      </w:r>
    </w:p>
    <w:p>
      <w:pPr>
        <w:spacing w:after="120"/>
      </w:pPr>
      <w:r>
        <w:t>The demo uses synthetic data. Production requires Entra ID SSO/MFA/RBAC, least privilege, Key Vault secrets, encryption, audit retention, secure SDLC, approved integration identities, data minimisation, retention/deletion controls, and required security/privacy assessments.</w:t>
      </w:r>
    </w:p>
    <w:p>
      <w:pPr>
        <w:pStyle w:val="Heading1"/>
      </w:pPr>
      <w:r>
        <w:t>24. Limitations and readiness gap</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0B3A70"/>
          </w:tcPr>
          <w:p>
            <w:r>
              <w:rPr>
                <w:b/>
                <w:color w:val="FFFFFF"/>
              </w:rPr>
              <w:t>Area</w:t>
            </w:r>
          </w:p>
        </w:tc>
        <w:tc>
          <w:tcPr>
            <w:tcW w:type="dxa" w:w="3331"/>
            <w:shd w:fill="0B3A70"/>
          </w:tcPr>
          <w:p>
            <w:r>
              <w:rPr>
                <w:b/>
                <w:color w:val="FFFFFF"/>
              </w:rPr>
              <w:t>Prototype</w:t>
            </w:r>
          </w:p>
        </w:tc>
        <w:tc>
          <w:tcPr>
            <w:tcW w:type="dxa" w:w="3331"/>
            <w:shd w:fill="0B3A70"/>
          </w:tcPr>
          <w:p>
            <w:r>
              <w:rPr>
                <w:b/>
                <w:color w:val="FFFFFF"/>
              </w:rPr>
              <w:t>Production need</w:t>
            </w:r>
          </w:p>
        </w:tc>
        <w:trPr>
          <w:tblHeader/>
        </w:trPr>
      </w:tr>
      <w:tr>
        <w:tc>
          <w:tcPr>
            <w:tcW w:type="dxa" w:w="3331"/>
          </w:tcPr>
          <w:p>
            <w:r>
              <w:t>Identity</w:t>
            </w:r>
          </w:p>
        </w:tc>
        <w:tc>
          <w:tcPr>
            <w:tcW w:type="dxa" w:w="3331"/>
          </w:tcPr>
          <w:p>
            <w:r>
              <w:t>Demo login</w:t>
            </w:r>
          </w:p>
        </w:tc>
        <w:tc>
          <w:tcPr>
            <w:tcW w:type="dxa" w:w="3331"/>
          </w:tcPr>
          <w:p>
            <w:r>
              <w:t>Entra ID SSO/MFA/RBAC</w:t>
            </w:r>
          </w:p>
        </w:tc>
      </w:tr>
      <w:tr>
        <w:tc>
          <w:tcPr>
            <w:tcW w:type="dxa" w:w="3331"/>
          </w:tcPr>
          <w:p>
            <w:r>
              <w:t>Data</w:t>
            </w:r>
          </w:p>
        </w:tc>
        <w:tc>
          <w:tcPr>
            <w:tcW w:type="dxa" w:w="3331"/>
          </w:tcPr>
          <w:p>
            <w:r>
              <w:t>localStorage</w:t>
            </w:r>
          </w:p>
        </w:tc>
        <w:tc>
          <w:tcPr>
            <w:tcW w:type="dxa" w:w="3331"/>
          </w:tcPr>
          <w:p>
            <w:r>
              <w:t>Dataverse/approved store</w:t>
            </w:r>
          </w:p>
        </w:tc>
      </w:tr>
      <w:tr>
        <w:tc>
          <w:tcPr>
            <w:tcW w:type="dxa" w:w="3331"/>
          </w:tcPr>
          <w:p>
            <w:r>
              <w:t>Integration</w:t>
            </w:r>
          </w:p>
        </w:tc>
        <w:tc>
          <w:tcPr>
            <w:tcW w:type="dxa" w:w="3331"/>
          </w:tcPr>
          <w:p>
            <w:r>
              <w:t>Mock Workday</w:t>
            </w:r>
          </w:p>
        </w:tc>
        <w:tc>
          <w:tcPr>
            <w:tcW w:type="dxa" w:w="3331"/>
          </w:tcPr>
          <w:p>
            <w:r>
              <w:t>Approved APIs, retries, monitoring</w:t>
            </w:r>
          </w:p>
        </w:tc>
      </w:tr>
      <w:tr>
        <w:tc>
          <w:tcPr>
            <w:tcW w:type="dxa" w:w="3331"/>
          </w:tcPr>
          <w:p>
            <w:r>
              <w:t>Automation</w:t>
            </w:r>
          </w:p>
        </w:tc>
        <w:tc>
          <w:tcPr>
            <w:tcW w:type="dxa" w:w="3331"/>
          </w:tcPr>
          <w:p>
            <w:r>
              <w:t>Simulation</w:t>
            </w:r>
          </w:p>
        </w:tc>
        <w:tc>
          <w:tcPr>
            <w:tcW w:type="dxa" w:w="3331"/>
          </w:tcPr>
          <w:p>
            <w:r>
              <w:t>Power Automate/managed workflows</w:t>
            </w:r>
          </w:p>
        </w:tc>
      </w:tr>
      <w:tr>
        <w:tc>
          <w:tcPr>
            <w:tcW w:type="dxa" w:w="3331"/>
          </w:tcPr>
          <w:p>
            <w:r>
              <w:t>Notifications</w:t>
            </w:r>
          </w:p>
        </w:tc>
        <w:tc>
          <w:tcPr>
            <w:tcW w:type="dxa" w:w="3331"/>
          </w:tcPr>
          <w:p>
            <w:r>
              <w:t>Mock inbox</w:t>
            </w:r>
          </w:p>
        </w:tc>
        <w:tc>
          <w:tcPr>
            <w:tcW w:type="dxa" w:w="3331"/>
          </w:tcPr>
          <w:p>
            <w:r>
              <w:t>Microsoft 365/Graph/Outlook</w:t>
            </w:r>
          </w:p>
        </w:tc>
      </w:tr>
      <w:tr>
        <w:tc>
          <w:tcPr>
            <w:tcW w:type="dxa" w:w="3331"/>
          </w:tcPr>
          <w:p>
            <w:r>
              <w:t>Observability</w:t>
            </w:r>
          </w:p>
        </w:tc>
        <w:tc>
          <w:tcPr>
            <w:tcW w:type="dxa" w:w="3331"/>
          </w:tcPr>
          <w:p>
            <w:r>
              <w:t>Manual demo support</w:t>
            </w:r>
          </w:p>
        </w:tc>
        <w:tc>
          <w:tcPr>
            <w:tcW w:type="dxa" w:w="3331"/>
          </w:tcPr>
          <w:p>
            <w:r>
              <w:t>Azure Monitor/App Insights</w:t>
            </w:r>
          </w:p>
        </w:tc>
      </w:tr>
      <w:tr>
        <w:tc>
          <w:tcPr>
            <w:tcW w:type="dxa" w:w="3331"/>
          </w:tcPr>
          <w:p>
            <w:r>
              <w:t>Reporting</w:t>
            </w:r>
          </w:p>
        </w:tc>
        <w:tc>
          <w:tcPr>
            <w:tcW w:type="dxa" w:w="3331"/>
          </w:tcPr>
          <w:p>
            <w:r>
              <w:t>In-app snapshot</w:t>
            </w:r>
          </w:p>
        </w:tc>
        <w:tc>
          <w:tcPr>
            <w:tcW w:type="dxa" w:w="3331"/>
          </w:tcPr>
          <w:p>
            <w:r>
              <w:t>Governed Power BI</w:t>
            </w:r>
          </w:p>
        </w:tc>
      </w:tr>
    </w:tbl>
    <w:p/>
    <w:p>
      <w:pPr>
        <w:pStyle w:val="Heading1"/>
      </w:pPr>
      <w:r>
        <w:t>25. Roadmap</w:t>
      </w:r>
    </w:p>
    <w:tbl>
      <w:tblPr>
        <w:tblStyle w:val="TableGrid"/>
        <w:tblW w:type="auto" w:w="0"/>
        <w:jc w:val="center"/>
        <w:tblLook w:firstColumn="1" w:firstRow="1" w:lastColumn="0" w:lastRow="0" w:noHBand="0" w:noVBand="1" w:val="04A0"/>
      </w:tblPr>
      <w:tblGrid>
        <w:gridCol w:w="4997"/>
        <w:gridCol w:w="4997"/>
      </w:tblGrid>
      <w:tr>
        <w:tc>
          <w:tcPr>
            <w:tcW w:type="dxa" w:w="4997"/>
            <w:shd w:fill="0B3A70"/>
          </w:tcPr>
          <w:p>
            <w:r>
              <w:rPr>
                <w:b/>
                <w:color w:val="FFFFFF"/>
              </w:rPr>
              <w:t>Phase</w:t>
            </w:r>
          </w:p>
        </w:tc>
        <w:tc>
          <w:tcPr>
            <w:tcW w:type="dxa" w:w="4997"/>
            <w:shd w:fill="0B3A70"/>
          </w:tcPr>
          <w:p>
            <w:r>
              <w:rPr>
                <w:b/>
                <w:color w:val="FFFFFF"/>
              </w:rPr>
              <w:t>Outcome</w:t>
            </w:r>
          </w:p>
        </w:tc>
        <w:trPr>
          <w:tblHeader/>
        </w:trPr>
      </w:tr>
      <w:tr>
        <w:tc>
          <w:tcPr>
            <w:tcW w:type="dxa" w:w="4997"/>
          </w:tcPr>
          <w:p>
            <w:r>
              <w:t>1 — Hardening</w:t>
            </w:r>
          </w:p>
        </w:tc>
        <w:tc>
          <w:tcPr>
            <w:tcW w:type="dxa" w:w="4997"/>
          </w:tcPr>
          <w:p>
            <w:r>
              <w:t>Stabilise demo, accessibility, tests, documentation</w:t>
            </w:r>
          </w:p>
        </w:tc>
      </w:tr>
      <w:tr>
        <w:tc>
          <w:tcPr>
            <w:tcW w:type="dxa" w:w="4997"/>
          </w:tcPr>
          <w:p>
            <w:r>
              <w:t>2 — Foundation</w:t>
            </w:r>
          </w:p>
        </w:tc>
        <w:tc>
          <w:tcPr>
            <w:tcW w:type="dxa" w:w="4997"/>
          </w:tcPr>
          <w:p>
            <w:r>
              <w:t>Identity, approved data model, environments and Key Vault</w:t>
            </w:r>
          </w:p>
        </w:tc>
      </w:tr>
      <w:tr>
        <w:tc>
          <w:tcPr>
            <w:tcW w:type="dxa" w:w="4997"/>
          </w:tcPr>
          <w:p>
            <w:r>
              <w:t>3 — Integration</w:t>
            </w:r>
          </w:p>
        </w:tc>
        <w:tc>
          <w:tcPr>
            <w:tcW w:type="dxa" w:w="4997"/>
          </w:tcPr>
          <w:p>
            <w:r>
              <w:t>Workday events, Power Automate and Microsoft 365 notifications</w:t>
            </w:r>
          </w:p>
        </w:tc>
      </w:tr>
      <w:tr>
        <w:tc>
          <w:tcPr>
            <w:tcW w:type="dxa" w:w="4997"/>
          </w:tcPr>
          <w:p>
            <w:r>
              <w:t>4 — Scale</w:t>
            </w:r>
          </w:p>
        </w:tc>
        <w:tc>
          <w:tcPr>
            <w:tcW w:type="dxa" w:w="4997"/>
          </w:tcPr>
          <w:p>
            <w:r>
              <w:t>Power BI, observability, support model and regional rollout</w:t>
            </w:r>
          </w:p>
        </w:tc>
      </w:tr>
    </w:tbl>
    <w:p/>
    <w:p>
      <w:pPr>
        <w:pStyle w:val="Heading1"/>
      </w:pPr>
      <w:r>
        <w:t>26. Five-to-ten minute demo guide</w:t>
      </w:r>
    </w:p>
    <w:p>
      <w:pPr>
        <w:spacing w:after="120"/>
      </w:pPr>
      <w:r>
        <w:t>Open https://oneflow.highrulez.com. Sign in as Admin. Show the five-worker Workday dataset. Open Nabila’s Preboarding journey; demonstrate task ownership, forms, mock notifications, progress and activity history. Switch to HR or IT roles to show assigned work. Open Hamdan’s Offboarding journey and show clearance/access tasks. Open reports and automation simulation, clearly identifying Phase 1 versus future production integration.</w:t>
      </w:r>
    </w:p>
    <w:p>
      <w:pPr>
        <w:pStyle w:val="Heading1"/>
      </w:pPr>
      <w:r>
        <w:t>27. Troubleshooting</w:t>
      </w:r>
    </w:p>
    <w:p>
      <w:pPr>
        <w:pStyle w:val="Heading2"/>
      </w:pPr>
      <w:r>
        <w:t>User troubleshooting</w:t>
      </w:r>
    </w:p>
    <w:p>
      <w:pPr>
        <w:pStyle w:val="ListBullet"/>
      </w:pPr>
      <w:r>
        <w:t>Portal does not load: confirm internet connection, verify https://oneflow.highrulez.com, refresh the browser, then contact the demo administrator.</w:t>
      </w:r>
    </w:p>
    <w:p>
      <w:pPr>
        <w:pStyle w:val="ListBullet"/>
      </w:pPr>
      <w:r>
        <w:t>Demo data appears old: use available reset/demo data controls; clear browser site data only when appropriate.</w:t>
      </w:r>
    </w:p>
    <w:p>
      <w:pPr>
        <w:pStyle w:val="ListBullet"/>
      </w:pPr>
      <w:r>
        <w:t>Role cannot see a task: verify the correct Quick Login role and case/task assignment.</w:t>
      </w:r>
    </w:p>
    <w:p>
      <w:pPr>
        <w:pStyle w:val="Heading2"/>
      </w:pPr>
      <w:r>
        <w:t>Administrator troubleshooting</w:t>
      </w:r>
    </w:p>
    <w:p>
      <w:pPr>
        <w:spacing w:after="120"/>
      </w:pPr>
      <w:r>
        <w:t>Administrators may verify reverse-proxy and container health. Docker host port 3005 and container port 3000 are internal implementation details; they are not user access URLs.</w:t>
      </w:r>
    </w:p>
    <w:p>
      <w:pPr>
        <w:pStyle w:val="Heading1"/>
      </w:pPr>
      <w:r>
        <w:t>28. Deployment and maintenance</w:t>
      </w:r>
    </w:p>
    <w:p>
      <w:pPr>
        <w:spacing w:after="120"/>
      </w:pPr>
      <w:r>
        <w:t>Configure NEXT_PUBLIC_APP_URL=https://oneflow.highrulez.com. Synology Reverse Proxy accepts public HTTPS and forwards internally to the Docker host mapping 3005:3000. Next.js remains on internal port 3000. Keep credentials outside source control. Review dependencies/images, rotate secrets, test restore/rollback, monitor health/logs, review access, revalidate licensing, and refresh demo data before events.</w:t>
      </w:r>
    </w:p>
    <w:p>
      <w:pPr>
        <w:pStyle w:val="Heading1"/>
      </w:pPr>
      <w:r>
        <w:t>29. FAQ</w:t>
      </w:r>
    </w:p>
    <w:p>
      <w:pPr>
        <w:spacing w:after="120"/>
      </w:pPr>
      <w:r>
        <w:t>What is the demo URL? https://oneflow.highrulez.com. Is this connected to Workday? No; the source portal is a mock. Is Power Automate live? No; automation is simulated. Does OneFlow replace Workday? No; Workday remains the HR source system. How will production communication work? Through Microsoft 365/Outlook/Exchange Online with Graph and/or Power Automate as appropriate.</w:t>
      </w:r>
    </w:p>
    <w:p>
      <w:pPr>
        <w:pStyle w:val="Heading1"/>
      </w:pPr>
      <w:r>
        <w:t>30. Conclusion</w:t>
      </w:r>
    </w:p>
    <w:p>
      <w:pPr>
        <w:spacing w:after="120"/>
      </w:pPr>
      <w:r>
        <w:t>OneFlow addresses the employee-lifecycle coordination challenge by demonstrating onboarding and offboarding workflows with role ownership and central visibility. It is not intended to replace Workday; Workday remains the source HR system and OneFlow is the orchestration/experience layer. A production implementation should align with PPG’s Microsoft/Azure ecosystem, use Microsoft 365 for enterprise communication, and evaluate Power Platform/Azure services against existing PPG enterprise agreements before procurement.</w:t>
      </w:r>
    </w:p>
    <w:p>
      <w:r>
        <w:br w:type="page"/>
      </w:r>
    </w:p>
    <w:p>
      <w:pPr>
        <w:pStyle w:val="Heading1"/>
      </w:pPr>
      <w:r>
        <w:t>Appendix A. Environment variables</w:t>
      </w:r>
    </w:p>
    <w:tbl>
      <w:tblPr>
        <w:tblStyle w:val="TableGrid"/>
        <w:tblW w:type="auto" w:w="0"/>
        <w:jc w:val="center"/>
        <w:tblLook w:firstColumn="1" w:firstRow="1" w:lastColumn="0" w:lastRow="0" w:noHBand="0" w:noVBand="1" w:val="04A0"/>
      </w:tblPr>
      <w:tblGrid>
        <w:gridCol w:w="4997"/>
        <w:gridCol w:w="4997"/>
      </w:tblGrid>
      <w:tr>
        <w:tc>
          <w:tcPr>
            <w:tcW w:type="dxa" w:w="4997"/>
            <w:shd w:fill="0B3A70"/>
          </w:tcPr>
          <w:p>
            <w:r>
              <w:rPr>
                <w:b/>
                <w:color w:val="FFFFFF"/>
              </w:rPr>
              <w:t>Variable</w:t>
            </w:r>
          </w:p>
        </w:tc>
        <w:tc>
          <w:tcPr>
            <w:tcW w:type="dxa" w:w="4997"/>
            <w:shd w:fill="0B3A70"/>
          </w:tcPr>
          <w:p>
            <w:r>
              <w:rPr>
                <w:b/>
                <w:color w:val="FFFFFF"/>
              </w:rPr>
              <w:t>Purpose</w:t>
            </w:r>
          </w:p>
        </w:tc>
        <w:trPr>
          <w:tblHeader/>
        </w:trPr>
      </w:tr>
      <w:tr>
        <w:tc>
          <w:tcPr>
            <w:tcW w:type="dxa" w:w="4997"/>
          </w:tcPr>
          <w:p>
            <w:r>
              <w:t>NEXT_PUBLIC_APP_URL</w:t>
            </w:r>
          </w:p>
        </w:tc>
        <w:tc>
          <w:tcPr>
            <w:tcW w:type="dxa" w:w="4997"/>
          </w:tcPr>
          <w:p>
            <w:r>
              <w:t>https://oneflow.highrulez.com</w:t>
            </w:r>
          </w:p>
        </w:tc>
      </w:tr>
      <w:tr>
        <w:tc>
          <w:tcPr>
            <w:tcW w:type="dxa" w:w="4997"/>
          </w:tcPr>
          <w:p>
            <w:r>
              <w:t>PORT</w:t>
            </w:r>
          </w:p>
        </w:tc>
        <w:tc>
          <w:tcPr>
            <w:tcW w:type="dxa" w:w="4997"/>
          </w:tcPr>
          <w:p>
            <w:r>
              <w:t>Internal application port 3000</w:t>
            </w:r>
          </w:p>
        </w:tc>
      </w:tr>
      <w:tr>
        <w:tc>
          <w:tcPr>
            <w:tcW w:type="dxa" w:w="4997"/>
          </w:tcPr>
          <w:p>
            <w:r>
              <w:t>HOSTNAME</w:t>
            </w:r>
          </w:p>
        </w:tc>
        <w:tc>
          <w:tcPr>
            <w:tcW w:type="dxa" w:w="4997"/>
          </w:tcPr>
          <w:p>
            <w:r>
              <w:t>Container bind address 0.0.0.0</w:t>
            </w:r>
          </w:p>
        </w:tc>
      </w:tr>
      <w:tr>
        <w:tc>
          <w:tcPr>
            <w:tcW w:type="dxa" w:w="4997"/>
          </w:tcPr>
          <w:p>
            <w:r>
              <w:t>AWS/SES variables</w:t>
            </w:r>
          </w:p>
        </w:tc>
        <w:tc>
          <w:tcPr>
            <w:tcW w:type="dxa" w:w="4997"/>
          </w:tcPr>
          <w:p>
            <w:r>
              <w:t>Prototype/legacy optional configuration — NOT recommended for production mail</w:t>
            </w:r>
          </w:p>
        </w:tc>
      </w:tr>
    </w:tbl>
    <w:p/>
    <w:p>
      <w:pPr>
        <w:pStyle w:val="Heading1"/>
      </w:pPr>
      <w:r>
        <w:t>Appendix B. Pricing sources</w:t>
      </w:r>
    </w:p>
    <w:p>
      <w:pPr>
        <w:pStyle w:val="ListBullet"/>
      </w:pPr>
      <w:r>
        <w:t>Microsoft Power Apps pricing (Malaysia): https://www.microsoft.com/en-my/power-platform/products/power-apps/pricing</w:t>
      </w:r>
    </w:p>
    <w:p>
      <w:pPr>
        <w:pStyle w:val="ListBullet"/>
      </w:pPr>
      <w:r>
        <w:t>Microsoft Power Automate pricing (Malaysia): https://www.microsoft.com/en-my/power-platform/products/power-automate/pricing</w:t>
      </w:r>
    </w:p>
    <w:p>
      <w:pPr>
        <w:pStyle w:val="ListBullet"/>
      </w:pPr>
      <w:r>
        <w:t>Microsoft Power BI pricing (Malaysia): https://www.microsoft.com/en-my/power-platform/products/power-bi</w:t>
      </w:r>
    </w:p>
    <w:p>
      <w:pPr>
        <w:pStyle w:val="ListBullet"/>
      </w:pPr>
      <w:r>
        <w:t>Azure pricing calculator: https://azure.microsoft.com/pricing/calculator/</w:t>
      </w:r>
    </w:p>
    <w:p>
      <w:pPr>
        <w:pStyle w:val="Heading1"/>
      </w:pPr>
      <w:r>
        <w:t>Appendix C. Technical deployment note</w:t>
      </w:r>
    </w:p>
    <w:p>
      <w:pPr>
        <w:spacing w:after="120"/>
      </w:pPr>
      <w:r>
        <w:t>The public endpoint is https://oneflow.highrulez.com. Internal technical mapping is Docker host port 3005 to application container port 3000; it must not be presented as a normal user URL.</w:t>
      </w:r>
    </w:p>
    <w:sectPr w:rsidR="00FC693F" w:rsidRPr="0006063C" w:rsidSect="00034616">
      <w:headerReference w:type="default" r:id="rId12"/>
      <w:footerReference w:type="default" r:id="rId13"/>
      <w:pgSz w:w="12240" w:h="15840"/>
      <w:pgMar w:top="1123"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OneFlow Project Documentation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B3A70"/>
        <w:sz w:val="16"/>
      </w:rPr>
      <w:t>ONEFLOW  |  PPG AEN HACKATHON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b/>
      <w:bCs/>
      <w:color w:val="0B3A7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B3A7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Calibri" w:hAnsi="Calibri"/>
      <w:b/>
      <w:color w:val="0B3A7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OneFlow Project Documentation</dc:title>
  <dc:subject/>
  <dc:creator>Team Error 404</dc:creator>
  <cp:keywords/>
  <dc:description>generated by python-docx</dc:description>
  <cp:lastModifiedBy/>
  <cp:revision>1</cp:revision>
  <dcterms:created xsi:type="dcterms:W3CDTF">2013-12-23T23:15:00Z</dcterms:created>
  <dcterms:modified xsi:type="dcterms:W3CDTF">2013-12-23T23:15:00Z</dcterms:modified>
  <cp:category/>
</cp:coreProperties>
</file>