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spacing w:after="120"/>
      </w:pPr>
    </w:p>
    <w:p>
      <w:pPr>
        <w:spacing w:after="120"/>
        <w:jc w:val="center"/>
      </w:pPr>
      <w:r>
        <w:rPr>
          <w:b/>
          <w:color w:val="0B3A70"/>
          <w:sz w:val="72"/>
        </w:rPr>
        <w:t>OneFlow</w:t>
      </w:r>
    </w:p>
    <w:p>
      <w:pPr>
        <w:spacing w:after="120"/>
        <w:jc w:val="center"/>
      </w:pPr>
      <w:r>
        <w:t>Employee Lifecycle &amp; Onboarding Orchestration Platform</w:t>
      </w:r>
    </w:p>
    <w:p>
      <w:pPr>
        <w:spacing w:after="120"/>
        <w:jc w:val="center"/>
      </w:pPr>
    </w:p>
    <w:p>
      <w:pPr>
        <w:spacing w:after="120"/>
        <w:jc w:val="center"/>
      </w:pPr>
      <w:r>
        <w:t>PPG AEN Hackathon 2026</w:t>
      </w:r>
    </w:p>
    <w:p>
      <w:pPr>
        <w:spacing w:after="120"/>
        <w:jc w:val="center"/>
      </w:pPr>
      <w:r>
        <w:t>Project Documentation</w:t>
      </w:r>
    </w:p>
    <w:p>
      <w:pPr>
        <w:spacing w:after="120"/>
        <w:jc w:val="center"/>
      </w:pPr>
      <w:r>
        <w:t>Project Status: Hackathon Prototype / Phase 1</w:t>
      </w:r>
    </w:p>
    <w:p>
      <w:pPr>
        <w:spacing w:after="120"/>
        <w:jc w:val="center"/>
      </w:pPr>
      <w:r>
        <w:t>Last Updated: 19 August 2026</w:t>
      </w:r>
    </w:p>
    <w:p>
      <w:r>
        <w:br w:type="page"/>
      </w:r>
    </w:p>
    <w:p>
      <w:pPr>
        <w:pStyle w:val="Title"/>
      </w:pPr>
      <w:r>
        <w:t>Document control</w:t>
      </w:r>
    </w:p>
    <w:tbl>
      <w:tblPr>
        <w:tblStyle w:val="TableGrid"/>
        <w:tblW w:type="auto" w:w="0"/>
        <w:jc w:val="center"/>
        <w:tblLook w:firstColumn="1" w:firstRow="1" w:lastColumn="0" w:lastRow="0" w:noHBand="0" w:noVBand="1" w:val="04A0"/>
      </w:tblPr>
      <w:tblGrid>
        <w:gridCol w:w="4968"/>
        <w:gridCol w:w="4968"/>
      </w:tblGrid>
      <w:tr>
        <w:tc>
          <w:tcPr>
            <w:tcW w:type="dxa" w:w="4968"/>
            <w:shd w:fill="0B3A70"/>
          </w:tcPr>
          <w:p>
            <w:r>
              <w:rPr>
                <w:b/>
                <w:color w:val="FFFFFF"/>
              </w:rPr>
              <w:t>Item</w:t>
            </w:r>
          </w:p>
        </w:tc>
        <w:tc>
          <w:tcPr>
            <w:tcW w:type="dxa" w:w="4968"/>
            <w:shd w:fill="0B3A70"/>
          </w:tcPr>
          <w:p>
            <w:r>
              <w:rPr>
                <w:b/>
                <w:color w:val="FFFFFF"/>
              </w:rPr>
              <w:t>Value</w:t>
            </w:r>
          </w:p>
        </w:tc>
      </w:tr>
      <w:tr>
        <w:tc>
          <w:tcPr>
            <w:tcW w:type="dxa" w:w="4968"/>
          </w:tcPr>
          <w:p>
            <w:r>
              <w:t>Owner</w:t>
            </w:r>
          </w:p>
        </w:tc>
        <w:tc>
          <w:tcPr>
            <w:tcW w:type="dxa" w:w="4968"/>
          </w:tcPr>
          <w:p>
            <w:r>
              <w:t>Team Error 404</w:t>
            </w:r>
          </w:p>
        </w:tc>
      </w:tr>
      <w:tr>
        <w:tc>
          <w:tcPr>
            <w:tcW w:type="dxa" w:w="4968"/>
          </w:tcPr>
          <w:p>
            <w:r>
              <w:t>Purpose</w:t>
            </w:r>
          </w:p>
        </w:tc>
        <w:tc>
          <w:tcPr>
            <w:tcW w:type="dxa" w:w="4968"/>
          </w:tcPr>
          <w:p>
            <w:r>
              <w:t>Hackathon documentation and production-readiness reference</w:t>
            </w:r>
          </w:p>
        </w:tc>
      </w:tr>
      <w:tr>
        <w:tc>
          <w:tcPr>
            <w:tcW w:type="dxa" w:w="4968"/>
          </w:tcPr>
          <w:p>
            <w:r>
              <w:t>Scope</w:t>
            </w:r>
          </w:p>
        </w:tc>
        <w:tc>
          <w:tcPr>
            <w:tcW w:type="dxa" w:w="4968"/>
          </w:tcPr>
          <w:p>
            <w:r>
              <w:t>Implemented prototype, demo data, deployment and proposed direction</w:t>
            </w:r>
          </w:p>
        </w:tc>
      </w:tr>
      <w:tr>
        <w:tc>
          <w:tcPr>
            <w:tcW w:type="dxa" w:w="4968"/>
          </w:tcPr>
          <w:p>
            <w:r>
              <w:t>Classification</w:t>
            </w:r>
          </w:p>
        </w:tc>
        <w:tc>
          <w:tcPr>
            <w:tcW w:type="dxa" w:w="4968"/>
          </w:tcPr>
          <w:p>
            <w:r>
              <w:t>Internal; no secrets or infrastructure addresses included</w:t>
            </w:r>
          </w:p>
        </w:tc>
      </w:tr>
    </w:tbl>
    <w:p/>
    <w:p>
      <w:pPr>
        <w:pStyle w:val="Title"/>
      </w:pPr>
      <w:r>
        <w:t>Table of contents</w:t>
      </w:r>
    </w:p>
    <w:p>
      <w:pPr>
        <w:spacing w:after="120"/>
      </w:pPr>
      <w:r>
        <w:t>In Word, select References → Update Table after opening this document.</w:t>
      </w:r>
    </w:p>
    <w:p>
      <w:fldSimple w:instr="TOC \o &quot;1-3&quot; \h \z \u"/>
    </w:p>
    <w:p>
      <w:r>
        <w:br w:type="page"/>
      </w:r>
    </w:p>
    <w:p>
      <w:pPr>
        <w:pStyle w:val="Heading1"/>
      </w:pPr>
      <w:r>
        <w:t>1. Executive summary</w:t>
      </w:r>
    </w:p>
    <w:p>
      <w:pPr>
        <w:spacing w:after="120"/>
      </w:pPr>
      <w:r>
        <w:t>OneFlow is a Phase 1 employee-lifecycle orchestration prototype for PPG AEN Hackathon 2026. A mock Workday event becomes a visible OneFlow case with role-based tasks, forms, notifications, activity history, and reporting. It demonstrates value; it is not a live enterprise integration or production system.</w:t>
      </w:r>
    </w:p>
    <w:p>
      <w:pPr>
        <w:pStyle w:val="Heading1"/>
      </w:pPr>
      <w:r>
        <w:t>2. Hackathon challenge</w:t>
      </w:r>
    </w:p>
    <w:p>
      <w:pPr>
        <w:spacing w:after="120"/>
      </w:pPr>
      <w:r>
        <w:t>The exact original hackathon-question wording is unavailable in this repository. This package therefore documents the demonstrated business problem: fragmented hand-offs when employees join or leave, unclear ownership, delayed readiness, and limited audit visibility.</w:t>
      </w:r>
    </w:p>
    <w:p>
      <w:pPr>
        <w:pStyle w:val="Heading1"/>
      </w:pPr>
      <w:r>
        <w:t>3. Requirement assessment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Need</w:t>
            </w:r>
          </w:p>
        </w:tc>
        <w:tc>
          <w:tcPr>
            <w:tcW w:type="dxa" w:w="3312"/>
            <w:shd w:fill="0B3A70"/>
          </w:tcPr>
          <w:p>
            <w:r>
              <w:rPr>
                <w:b/>
                <w:color w:val="FFFFFF"/>
              </w:rPr>
              <w:t>Assessment</w:t>
            </w:r>
          </w:p>
        </w:tc>
        <w:tc>
          <w:tcPr>
            <w:tcW w:type="dxa" w:w="3312"/>
            <w:shd w:fill="0B3A70"/>
          </w:tcPr>
          <w:p>
            <w:r>
              <w:rPr>
                <w:b/>
                <w:color w:val="FFFFFF"/>
              </w:rPr>
              <w:t>Evidence</w:t>
            </w:r>
          </w:p>
        </w:tc>
      </w:tr>
      <w:tr>
        <w:tc>
          <w:tcPr>
            <w:tcW w:type="dxa" w:w="3312"/>
          </w:tcPr>
          <w:p>
            <w:r>
              <w:t>Lifecycle orchestration</w:t>
            </w:r>
          </w:p>
        </w:tc>
        <w:tc>
          <w:tcPr>
            <w:tcW w:type="dxa" w:w="3312"/>
          </w:tcPr>
          <w:p>
            <w:r>
              <w:t>Demonstrated</w:t>
            </w:r>
          </w:p>
        </w:tc>
        <w:tc>
          <w:tcPr>
            <w:tcW w:type="dxa" w:w="3312"/>
          </w:tcPr>
          <w:p>
            <w:r>
              <w:t>Cases, task templates, history and status</w:t>
            </w:r>
          </w:p>
        </w:tc>
      </w:tr>
      <w:tr>
        <w:tc>
          <w:tcPr>
            <w:tcW w:type="dxa" w:w="3312"/>
          </w:tcPr>
          <w:p>
            <w:r>
              <w:t>Cross-team notifications</w:t>
            </w:r>
          </w:p>
        </w:tc>
        <w:tc>
          <w:tcPr>
            <w:tcW w:type="dxa" w:w="3312"/>
          </w:tcPr>
          <w:p>
            <w:r>
              <w:t>Simulated</w:t>
            </w:r>
          </w:p>
        </w:tc>
        <w:tc>
          <w:tcPr>
            <w:tcW w:type="dxa" w:w="3312"/>
          </w:tcPr>
          <w:p>
            <w:r>
              <w:t>Mock inbox; optional SES configuration</w:t>
            </w:r>
          </w:p>
        </w:tc>
      </w:tr>
      <w:tr>
        <w:tc>
          <w:tcPr>
            <w:tcW w:type="dxa" w:w="3312"/>
          </w:tcPr>
          <w:p>
            <w:r>
              <w:t>Workday source</w:t>
            </w:r>
          </w:p>
        </w:tc>
        <w:tc>
          <w:tcPr>
            <w:tcW w:type="dxa" w:w="3312"/>
          </w:tcPr>
          <w:p>
            <w:r>
              <w:t>Simulated</w:t>
            </w:r>
          </w:p>
        </w:tc>
        <w:tc>
          <w:tcPr>
            <w:tcW w:type="dxa" w:w="3312"/>
          </w:tcPr>
          <w:p>
            <w:r>
              <w:t>PPG Workday mock only</w:t>
            </w:r>
          </w:p>
        </w:tc>
      </w:tr>
      <w:tr>
        <w:tc>
          <w:tcPr>
            <w:tcW w:type="dxa" w:w="3312"/>
          </w:tcPr>
          <w:p>
            <w:r>
              <w:t>Power Platform</w:t>
            </w:r>
          </w:p>
        </w:tc>
        <w:tc>
          <w:tcPr>
            <w:tcW w:type="dxa" w:w="3312"/>
          </w:tcPr>
          <w:p>
            <w:r>
              <w:t>Future Integration</w:t>
            </w:r>
          </w:p>
        </w:tc>
        <w:tc>
          <w:tcPr>
            <w:tcW w:type="dxa" w:w="3312"/>
          </w:tcPr>
          <w:p>
            <w:r>
              <w:t>Dataverse/Power Automate direction only</w:t>
            </w:r>
          </w:p>
        </w:tc>
      </w:tr>
    </w:tbl>
    <w:p/>
    <w:p>
      <w:pPr>
        <w:pStyle w:val="Heading1"/>
      </w:pPr>
      <w:r>
        <w:t>4. Business problem</w:t>
      </w:r>
    </w:p>
    <w:p>
      <w:pPr>
        <w:spacing w:after="120"/>
      </w:pPr>
      <w:r>
        <w:t>Employee lifecycle work spans HR, hiring managers, IT Security, onsite IT, facilities, finance, quality, and product stewardship. Email and spreadsheet hand-offs make ownership hard to track and create avoidable delay.</w:t>
      </w:r>
    </w:p>
    <w:p>
      <w:pPr>
        <w:pStyle w:val="Heading1"/>
      </w:pPr>
      <w:r>
        <w:t>5. Solution overview</w:t>
      </w:r>
    </w:p>
    <w:p>
      <w:pPr>
        <w:spacing w:after="120"/>
      </w:pPr>
      <w:r>
        <w:t>The prototype combines a Workday-style source screen with a OneFlow portal. Lifecycle events create or update cases; task templates allocate work by role; forms, notifications, progress, and history provide one operational view.</w:t>
      </w:r>
    </w:p>
    <w:p>
      <w:pPr>
        <w:pStyle w:val="Heading1"/>
      </w:pPr>
      <w:r>
        <w:t>6. Business benefits</w:t>
      </w:r>
    </w:p>
    <w:p>
      <w:pPr>
        <w:pStyle w:val="ListBullet"/>
      </w:pPr>
      <w:r>
        <w:t>Clear cross-functional accountability</w:t>
      </w:r>
    </w:p>
    <w:p>
      <w:pPr>
        <w:pStyle w:val="ListBullet"/>
      </w:pPr>
      <w:r>
        <w:t>Earlier new-hire readiness</w:t>
      </w:r>
    </w:p>
    <w:p>
      <w:pPr>
        <w:pStyle w:val="ListBullet"/>
      </w:pPr>
      <w:r>
        <w:t>Visible offboarding clearance and risk</w:t>
      </w:r>
    </w:p>
    <w:p>
      <w:pPr>
        <w:pStyle w:val="ListBullet"/>
      </w:pPr>
      <w:r>
        <w:t>Consistent, auditable task execution</w:t>
      </w:r>
    </w:p>
    <w:p>
      <w:pPr>
        <w:pStyle w:val="Heading1"/>
      </w:pPr>
      <w:r>
        <w:t>7. Current implemented features</w:t>
      </w:r>
    </w:p>
    <w:p>
      <w:pPr>
        <w:pStyle w:val="ListBullet"/>
      </w:pPr>
      <w:r>
        <w:t>Role-aware quick login and task views</w:t>
      </w:r>
    </w:p>
    <w:p>
      <w:pPr>
        <w:pStyle w:val="ListBullet"/>
      </w:pPr>
      <w:r>
        <w:t>Onboarding and offboarding cases</w:t>
      </w:r>
    </w:p>
    <w:p>
      <w:pPr>
        <w:pStyle w:val="ListBullet"/>
      </w:pPr>
      <w:r>
        <w:t>Task checklists, forms, progress and activity history</w:t>
      </w:r>
    </w:p>
    <w:p>
      <w:pPr>
        <w:pStyle w:val="ListBullet"/>
      </w:pPr>
      <w:r>
        <w:t>Mock inbox and configurable email mode</w:t>
      </w:r>
    </w:p>
    <w:p>
      <w:pPr>
        <w:pStyle w:val="ListBullet"/>
      </w:pPr>
      <w:r>
        <w:t>Operational reports and automation-run simulation</w:t>
      </w:r>
    </w:p>
    <w:p>
      <w:pPr>
        <w:pStyle w:val="Heading1"/>
      </w:pPr>
      <w:r>
        <w:t>8. Current demo users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User</w:t>
            </w:r>
          </w:p>
        </w:tc>
        <w:tc>
          <w:tcPr>
            <w:tcW w:type="dxa" w:w="3312"/>
            <w:shd w:fill="0B3A70"/>
          </w:tcPr>
          <w:p>
            <w:r>
              <w:rPr>
                <w:b/>
                <w:color w:val="FFFFFF"/>
              </w:rPr>
              <w:t>Role</w:t>
            </w:r>
          </w:p>
        </w:tc>
        <w:tc>
          <w:tcPr>
            <w:tcW w:type="dxa" w:w="3312"/>
            <w:shd w:fill="0B3A70"/>
          </w:tcPr>
          <w:p>
            <w:r>
              <w:rPr>
                <w:b/>
                <w:color w:val="FFFFFF"/>
              </w:rPr>
              <w:t>Purpose</w:t>
            </w:r>
          </w:p>
        </w:tc>
      </w:tr>
      <w:tr>
        <w:tc>
          <w:tcPr>
            <w:tcW w:type="dxa" w:w="3312"/>
          </w:tcPr>
          <w:p>
            <w:r>
              <w:t>OneFlow Admin</w:t>
            </w:r>
          </w:p>
        </w:tc>
        <w:tc>
          <w:tcPr>
            <w:tcW w:type="dxa" w:w="3312"/>
          </w:tcPr>
          <w:p>
            <w:r>
              <w:t>Admin</w:t>
            </w:r>
          </w:p>
        </w:tc>
        <w:tc>
          <w:tcPr>
            <w:tcW w:type="dxa" w:w="3312"/>
          </w:tcPr>
          <w:p>
            <w:r>
              <w:t>End-to-end</w:t>
            </w:r>
          </w:p>
        </w:tc>
      </w:tr>
      <w:tr>
        <w:tc>
          <w:tcPr>
            <w:tcW w:type="dxa" w:w="3312"/>
          </w:tcPr>
          <w:p>
            <w:r>
              <w:t>Soh, Shi Rui Sherry</w:t>
            </w:r>
          </w:p>
        </w:tc>
        <w:tc>
          <w:tcPr>
            <w:tcW w:type="dxa" w:w="3312"/>
          </w:tcPr>
          <w:p>
            <w:r>
              <w:t>HR</w:t>
            </w:r>
          </w:p>
        </w:tc>
        <w:tc>
          <w:tcPr>
            <w:tcW w:type="dxa" w:w="3312"/>
          </w:tcPr>
          <w:p>
            <w:r>
              <w:t>HR business services</w:t>
            </w:r>
          </w:p>
        </w:tc>
      </w:tr>
      <w:tr>
        <w:tc>
          <w:tcPr>
            <w:tcW w:type="dxa" w:w="3312"/>
          </w:tcPr>
          <w:p>
            <w:r>
              <w:t>Mohd Azli, Amirul Mukhlis</w:t>
            </w:r>
          </w:p>
        </w:tc>
        <w:tc>
          <w:tcPr>
            <w:tcW w:type="dxa" w:w="3312"/>
          </w:tcPr>
          <w:p>
            <w:r>
              <w:t>IT Security</w:t>
            </w:r>
          </w:p>
        </w:tc>
        <w:tc>
          <w:tcPr>
            <w:tcW w:type="dxa" w:w="3312"/>
          </w:tcPr>
          <w:p>
            <w:r>
              <w:t>Security</w:t>
            </w:r>
          </w:p>
        </w:tc>
      </w:tr>
      <w:tr>
        <w:tc>
          <w:tcPr>
            <w:tcW w:type="dxa" w:w="3312"/>
          </w:tcPr>
          <w:p>
            <w:r>
              <w:t>Zulfikar Zikri, Nuqman Haziq</w:t>
            </w:r>
          </w:p>
        </w:tc>
        <w:tc>
          <w:tcPr>
            <w:tcW w:type="dxa" w:w="3312"/>
          </w:tcPr>
          <w:p>
            <w:r>
              <w:t>Onsite IT</w:t>
            </w:r>
          </w:p>
        </w:tc>
        <w:tc>
          <w:tcPr>
            <w:tcW w:type="dxa" w:w="3312"/>
          </w:tcPr>
          <w:p>
            <w:r>
              <w:t>Device/access</w:t>
            </w:r>
          </w:p>
        </w:tc>
      </w:tr>
      <w:tr>
        <w:tc>
          <w:tcPr>
            <w:tcW w:type="dxa" w:w="3312"/>
          </w:tcPr>
          <w:p>
            <w:r>
              <w:t>Nur Aisyah</w:t>
            </w:r>
          </w:p>
        </w:tc>
        <w:tc>
          <w:tcPr>
            <w:tcW w:type="dxa" w:w="3312"/>
          </w:tcPr>
          <w:p>
            <w:r>
              <w:t>Facilities</w:t>
            </w:r>
          </w:p>
        </w:tc>
        <w:tc>
          <w:tcPr>
            <w:tcW w:type="dxa" w:w="3312"/>
          </w:tcPr>
          <w:p>
            <w:r>
              <w:t>Workplace</w:t>
            </w:r>
          </w:p>
        </w:tc>
      </w:tr>
      <w:tr>
        <w:tc>
          <w:tcPr>
            <w:tcW w:type="dxa" w:w="3312"/>
          </w:tcPr>
          <w:p>
            <w:r>
              <w:t>Sarah Tan</w:t>
            </w:r>
          </w:p>
        </w:tc>
        <w:tc>
          <w:tcPr>
            <w:tcW w:type="dxa" w:w="3312"/>
          </w:tcPr>
          <w:p>
            <w:r>
              <w:t>Hiring Manager</w:t>
            </w:r>
          </w:p>
        </w:tc>
        <w:tc>
          <w:tcPr>
            <w:tcW w:type="dxa" w:w="3312"/>
          </w:tcPr>
          <w:p>
            <w:r>
              <w:t>Manager tasks</w:t>
            </w:r>
          </w:p>
        </w:tc>
      </w:tr>
      <w:tr>
        <w:tc>
          <w:tcPr>
            <w:tcW w:type="dxa" w:w="3312"/>
          </w:tcPr>
          <w:p>
            <w:r>
              <w:t>Bashari, Noorliana (MAL)</w:t>
            </w:r>
          </w:p>
        </w:tc>
        <w:tc>
          <w:tcPr>
            <w:tcW w:type="dxa" w:w="3312"/>
          </w:tcPr>
          <w:p>
            <w:r>
              <w:t>Finance</w:t>
            </w:r>
          </w:p>
        </w:tc>
        <w:tc>
          <w:tcPr>
            <w:tcW w:type="dxa" w:w="3312"/>
          </w:tcPr>
          <w:p>
            <w:r>
              <w:t>Finance tasks</w:t>
            </w:r>
          </w:p>
        </w:tc>
      </w:tr>
      <w:tr>
        <w:tc>
          <w:tcPr>
            <w:tcW w:type="dxa" w:w="3312"/>
          </w:tcPr>
          <w:p>
            <w:r>
              <w:t>Aziz, Nabila</w:t>
            </w:r>
          </w:p>
        </w:tc>
        <w:tc>
          <w:tcPr>
            <w:tcW w:type="dxa" w:w="3312"/>
          </w:tcPr>
          <w:p>
            <w:r>
              <w:t>Onboarding employee</w:t>
            </w:r>
          </w:p>
        </w:tc>
        <w:tc>
          <w:tcPr>
            <w:tcW w:type="dxa" w:w="3312"/>
          </w:tcPr>
          <w:p>
            <w:r>
              <w:t>Preboarding</w:t>
            </w:r>
          </w:p>
        </w:tc>
      </w:tr>
      <w:tr>
        <w:tc>
          <w:tcPr>
            <w:tcW w:type="dxa" w:w="3312"/>
          </w:tcPr>
          <w:p>
            <w:r>
              <w:t>Hamdan, Muhamad Asyraf Naqiyuddin</w:t>
            </w:r>
          </w:p>
        </w:tc>
        <w:tc>
          <w:tcPr>
            <w:tcW w:type="dxa" w:w="3312"/>
          </w:tcPr>
          <w:p>
            <w:r>
              <w:t>Offboarding employee</w:t>
            </w:r>
          </w:p>
        </w:tc>
        <w:tc>
          <w:tcPr>
            <w:tcW w:type="dxa" w:w="3312"/>
          </w:tcPr>
          <w:p>
            <w:r>
              <w:t>Exit journey</w:t>
            </w:r>
          </w:p>
        </w:tc>
      </w:tr>
    </w:tbl>
    <w:p/>
    <w:p>
      <w:pPr>
        <w:pStyle w:val="Heading1"/>
      </w:pPr>
      <w:r>
        <w:t>9. Demonstration workforce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0B3A70"/>
          </w:tcPr>
          <w:p>
            <w:r>
              <w:rPr>
                <w:b/>
                <w:color w:val="FFFFFF"/>
              </w:rPr>
              <w:t>Worker</w:t>
            </w:r>
          </w:p>
        </w:tc>
        <w:tc>
          <w:tcPr>
            <w:tcW w:type="dxa" w:w="2484"/>
            <w:shd w:fill="0B3A70"/>
          </w:tcPr>
          <w:p>
            <w:r>
              <w:rPr>
                <w:b/>
                <w:color w:val="FFFFFF"/>
              </w:rPr>
              <w:t>Status</w:t>
            </w:r>
          </w:p>
        </w:tc>
        <w:tc>
          <w:tcPr>
            <w:tcW w:type="dxa" w:w="2484"/>
            <w:shd w:fill="0B3A70"/>
          </w:tcPr>
          <w:p>
            <w:r>
              <w:rPr>
                <w:b/>
                <w:color w:val="FFFFFF"/>
              </w:rPr>
              <w:t>Start date</w:t>
            </w:r>
          </w:p>
        </w:tc>
        <w:tc>
          <w:tcPr>
            <w:tcW w:type="dxa" w:w="2484"/>
            <w:shd w:fill="0B3A70"/>
          </w:tcPr>
          <w:p>
            <w:r>
              <w:rPr>
                <w:b/>
                <w:color w:val="FFFFFF"/>
              </w:rPr>
              <w:t>Location</w:t>
            </w:r>
          </w:p>
        </w:tc>
      </w:tr>
      <w:tr>
        <w:tc>
          <w:tcPr>
            <w:tcW w:type="dxa" w:w="2484"/>
          </w:tcPr>
          <w:p>
            <w:r>
              <w:t>Thamotharan, Renuka Malar</w:t>
            </w:r>
          </w:p>
        </w:tc>
        <w:tc>
          <w:tcPr>
            <w:tcW w:type="dxa" w:w="2484"/>
          </w:tcPr>
          <w:p>
            <w:r>
              <w:t>Active</w:t>
            </w:r>
          </w:p>
        </w:tc>
        <w:tc>
          <w:tcPr>
            <w:tcW w:type="dxa" w:w="2484"/>
          </w:tcPr>
          <w:p>
            <w:r>
              <w:t>8 Nov 2021</w:t>
            </w:r>
          </w:p>
        </w:tc>
        <w:tc>
          <w:tcPr>
            <w:tcW w:type="dxa" w:w="2484"/>
          </w:tcPr>
          <w:p>
            <w:r>
              <w:t>Malaysia – UOA Business Park</w:t>
            </w:r>
          </w:p>
        </w:tc>
      </w:tr>
      <w:tr>
        <w:tc>
          <w:tcPr>
            <w:tcW w:type="dxa" w:w="2484"/>
          </w:tcPr>
          <w:p>
            <w:r>
              <w:t>Aziz, Nabila</w:t>
            </w:r>
          </w:p>
        </w:tc>
        <w:tc>
          <w:tcPr>
            <w:tcW w:type="dxa" w:w="2484"/>
          </w:tcPr>
          <w:p>
            <w:r>
              <w:t>Preboarding</w:t>
            </w:r>
          </w:p>
        </w:tc>
        <w:tc>
          <w:tcPr>
            <w:tcW w:type="dxa" w:w="2484"/>
          </w:tcPr>
          <w:p>
            <w:r>
              <w:t>10 business days ahead</w:t>
            </w:r>
          </w:p>
        </w:tc>
        <w:tc>
          <w:tcPr>
            <w:tcW w:type="dxa" w:w="2484"/>
          </w:tcPr>
          <w:p>
            <w:r>
              <w:t>Malaysia – UOA Business Park</w:t>
            </w:r>
          </w:p>
        </w:tc>
      </w:tr>
      <w:tr>
        <w:tc>
          <w:tcPr>
            <w:tcW w:type="dxa" w:w="2484"/>
          </w:tcPr>
          <w:p>
            <w:r>
              <w:t>Nagaraja, Umashangari</w:t>
            </w:r>
          </w:p>
        </w:tc>
        <w:tc>
          <w:tcPr>
            <w:tcW w:type="dxa" w:w="2484"/>
          </w:tcPr>
          <w:p>
            <w:r>
              <w:t>Active</w:t>
            </w:r>
          </w:p>
        </w:tc>
        <w:tc>
          <w:tcPr>
            <w:tcW w:type="dxa" w:w="2484"/>
          </w:tcPr>
          <w:p>
            <w:r>
              <w:t>20 Feb 2023</w:t>
            </w:r>
          </w:p>
        </w:tc>
        <w:tc>
          <w:tcPr>
            <w:tcW w:type="dxa" w:w="2484"/>
          </w:tcPr>
          <w:p>
            <w:r>
              <w:t>Malaysia – UOA Business Park</w:t>
            </w:r>
          </w:p>
        </w:tc>
      </w:tr>
      <w:tr>
        <w:tc>
          <w:tcPr>
            <w:tcW w:type="dxa" w:w="2484"/>
          </w:tcPr>
          <w:p>
            <w:r>
              <w:t>Ramachandran, Yuganeswary</w:t>
            </w:r>
          </w:p>
        </w:tc>
        <w:tc>
          <w:tcPr>
            <w:tcW w:type="dxa" w:w="2484"/>
          </w:tcPr>
          <w:p>
            <w:r>
              <w:t>Active</w:t>
            </w:r>
          </w:p>
        </w:tc>
        <w:tc>
          <w:tcPr>
            <w:tcW w:type="dxa" w:w="2484"/>
          </w:tcPr>
          <w:p>
            <w:r>
              <w:t>15 Jan 2024</w:t>
            </w:r>
          </w:p>
        </w:tc>
        <w:tc>
          <w:tcPr>
            <w:tcW w:type="dxa" w:w="2484"/>
          </w:tcPr>
          <w:p>
            <w:r>
              <w:t>Malaysia – UOA Business Park</w:t>
            </w:r>
          </w:p>
        </w:tc>
      </w:tr>
      <w:tr>
        <w:tc>
          <w:tcPr>
            <w:tcW w:type="dxa" w:w="2484"/>
          </w:tcPr>
          <w:p>
            <w:r>
              <w:t>Hamdan, Muhamad Asyraf Naqiyuddin</w:t>
            </w:r>
          </w:p>
        </w:tc>
        <w:tc>
          <w:tcPr>
            <w:tcW w:type="dxa" w:w="2484"/>
          </w:tcPr>
          <w:p>
            <w:r>
              <w:t>Offboarding</w:t>
            </w:r>
          </w:p>
        </w:tc>
        <w:tc>
          <w:tcPr>
            <w:tcW w:type="dxa" w:w="2484"/>
          </w:tcPr>
          <w:p>
            <w:r>
              <w:t>13 Jun 2022</w:t>
            </w:r>
          </w:p>
        </w:tc>
        <w:tc>
          <w:tcPr>
            <w:tcW w:type="dxa" w:w="2484"/>
          </w:tcPr>
          <w:p>
            <w:r>
              <w:t>Malaysia – UOA Business Park</w:t>
            </w:r>
          </w:p>
        </w:tc>
      </w:tr>
    </w:tbl>
    <w:p/>
    <w:p>
      <w:pPr>
        <w:pStyle w:val="Heading1"/>
      </w:pPr>
      <w:r>
        <w:t>10. User manual</w:t>
      </w:r>
    </w:p>
    <w:p>
      <w:pPr>
        <w:spacing w:after="120"/>
      </w:pPr>
      <w:r>
        <w:t>Sign in at /login using a demo profile, then use the Workday mock or OneFlow navigation. This is browser-local prototype data and must not be used for real employee records.</w:t>
      </w:r>
    </w:p>
    <w:p>
      <w:pPr>
        <w:pStyle w:val="Heading2"/>
      </w:pPr>
      <w:r>
        <w:t>10.1 Admin</w:t>
      </w:r>
    </w:p>
    <w:p>
      <w:pPr>
        <w:spacing w:after="120"/>
      </w:pPr>
      <w:r>
        <w:t>Review cases, automation, settings and reports.</w:t>
      </w:r>
    </w:p>
    <w:p>
      <w:pPr>
        <w:pStyle w:val="Heading2"/>
      </w:pPr>
      <w:r>
        <w:t>10.2 HR</w:t>
      </w:r>
    </w:p>
    <w:p>
      <w:pPr>
        <w:spacing w:after="120"/>
      </w:pPr>
      <w:r>
        <w:t>Validate worker details and coordinate lifecycle work.</w:t>
      </w:r>
    </w:p>
    <w:p>
      <w:pPr>
        <w:pStyle w:val="Heading2"/>
      </w:pPr>
      <w:r>
        <w:t>10.3 IT Security</w:t>
      </w:r>
    </w:p>
    <w:p>
      <w:pPr>
        <w:spacing w:after="120"/>
      </w:pPr>
      <w:r>
        <w:t>Complete security/access work.</w:t>
      </w:r>
    </w:p>
    <w:p>
      <w:pPr>
        <w:pStyle w:val="Heading2"/>
      </w:pPr>
      <w:r>
        <w:t>10.4 Onsite IT</w:t>
      </w:r>
    </w:p>
    <w:p>
      <w:pPr>
        <w:spacing w:after="120"/>
      </w:pPr>
      <w:r>
        <w:t>Prepare/recover equipment.</w:t>
      </w:r>
    </w:p>
    <w:p>
      <w:pPr>
        <w:pStyle w:val="Heading2"/>
      </w:pPr>
      <w:r>
        <w:t>10.5 Facilities</w:t>
      </w:r>
    </w:p>
    <w:p>
      <w:pPr>
        <w:spacing w:after="120"/>
      </w:pPr>
      <w:r>
        <w:t>Complete site-access and EHS work.</w:t>
      </w:r>
    </w:p>
    <w:p>
      <w:pPr>
        <w:pStyle w:val="Heading2"/>
      </w:pPr>
      <w:r>
        <w:t>10.6 Hiring Manager</w:t>
      </w:r>
    </w:p>
    <w:p>
      <w:pPr>
        <w:spacing w:after="120"/>
      </w:pPr>
      <w:r>
        <w:t>Confirm team readiness.</w:t>
      </w:r>
    </w:p>
    <w:p>
      <w:pPr>
        <w:pStyle w:val="Heading2"/>
      </w:pPr>
      <w:r>
        <w:t>10.7 Finance</w:t>
      </w:r>
    </w:p>
    <w:p>
      <w:pPr>
        <w:spacing w:after="120"/>
      </w:pPr>
      <w:r>
        <w:t>Complete finance tasks.</w:t>
      </w:r>
    </w:p>
    <w:p>
      <w:pPr>
        <w:pStyle w:val="Heading2"/>
      </w:pPr>
      <w:r>
        <w:t>10.8 Quality</w:t>
      </w:r>
    </w:p>
    <w:p>
      <w:pPr>
        <w:spacing w:after="120"/>
      </w:pPr>
      <w:r>
        <w:t>Complete quality acknowledgement.</w:t>
      </w:r>
    </w:p>
    <w:p>
      <w:pPr>
        <w:pStyle w:val="Heading2"/>
      </w:pPr>
      <w:r>
        <w:t>10.9 Product Stewardship</w:t>
      </w:r>
    </w:p>
    <w:p>
      <w:pPr>
        <w:spacing w:after="120"/>
      </w:pPr>
      <w:r>
        <w:t>Complete stewardship acknowledgement.</w:t>
      </w:r>
    </w:p>
    <w:p>
      <w:pPr>
        <w:pStyle w:val="Heading2"/>
      </w:pPr>
      <w:r>
        <w:t>10.10 Employee</w:t>
      </w:r>
    </w:p>
    <w:p>
      <w:pPr>
        <w:spacing w:after="120"/>
      </w:pPr>
      <w:r>
        <w:t>Complete assigned forms.</w:t>
      </w:r>
    </w:p>
    <w:tbl>
      <w:tblPr>
        <w:tblStyle w:val="TableGrid"/>
        <w:tblW w:type="auto" w:w="0"/>
        <w:tblLook w:firstColumn="1" w:firstRow="1" w:lastColumn="0" w:lastRow="0" w:noHBand="0" w:noVBand="1" w:val="04A0"/>
      </w:tblPr>
      <w:tblGrid>
        <w:gridCol w:w="9936"/>
      </w:tblGrid>
      <w:tr>
        <w:tc>
          <w:tcPr>
            <w:tcW w:type="dxa" w:w="9936"/>
            <w:shd w:fill="FFF4CE"/>
          </w:tcPr>
          <w:p>
            <w:r>
              <w:t>SCREENSHOT PLACEHOLDER — Login page and role selector</w:t>
              <w:br/>
              <w:t>Capture from the running prototype before a presentation or handover.</w:t>
            </w:r>
          </w:p>
        </w:tc>
      </w:tr>
    </w:tbl>
    <w:p/>
    <w:tbl>
      <w:tblPr>
        <w:tblStyle w:val="TableGrid"/>
        <w:tblW w:type="auto" w:w="0"/>
        <w:tblLook w:firstColumn="1" w:firstRow="1" w:lastColumn="0" w:lastRow="0" w:noHBand="0" w:noVBand="1" w:val="04A0"/>
      </w:tblPr>
      <w:tblGrid>
        <w:gridCol w:w="9936"/>
      </w:tblGrid>
      <w:tr>
        <w:tc>
          <w:tcPr>
            <w:tcW w:type="dxa" w:w="9936"/>
            <w:shd w:fill="FFF4CE"/>
          </w:tcPr>
          <w:p>
            <w:r>
              <w:t>SCREENSHOT PLACEHOLDER — Case detail with task progress</w:t>
              <w:br/>
              <w:t>Capture from the running prototype before a presentation or handover.</w:t>
            </w:r>
          </w:p>
        </w:tc>
      </w:tr>
    </w:tbl>
    <w:p/>
    <w:p>
      <w:pPr>
        <w:pStyle w:val="Heading1"/>
      </w:pPr>
      <w:r>
        <w:t>11. Onboarding scenario — Aziz, Nabila</w:t>
      </w:r>
    </w:p>
    <w:p>
      <w:pPr>
        <w:spacing w:after="120"/>
      </w:pPr>
      <w:r>
        <w:t>Nabila Aziz is the main onboarding employee. Her status is Preboarding and her start date is dynamically set to ten business days ahead, keeping the scenario current. Use her case to show tasks, forms, inbox items, progress, and activity history.</w:t>
      </w:r>
    </w:p>
    <w:p>
      <w:pPr>
        <w:pStyle w:val="Heading1"/>
      </w:pPr>
      <w:r>
        <w:t>12. Offboarding scenario — Hamdan, Muhamad Asyraf Naqiyuddin</w:t>
      </w:r>
    </w:p>
    <w:p>
      <w:pPr>
        <w:spacing w:after="120"/>
      </w:pPr>
      <w:r>
        <w:t>Hamdan is the main offboarding employee. His employment began 13 June 2022 and the demo uses an upcoming last-working-day scenario. Use his case to show exit clearance, asset return, access removal, notifications, and audit activity.</w:t>
      </w:r>
    </w:p>
    <w:p>
      <w:pPr>
        <w:pStyle w:val="Heading1"/>
      </w:pPr>
      <w:r>
        <w:t>13. Workday mock</w:t>
      </w:r>
    </w:p>
    <w:p>
      <w:pPr>
        <w:spacing w:after="120"/>
      </w:pPr>
      <w:r>
        <w:t>The Workday area is a mock source application for worker create/edit and lifecycle status demonstration. It has no live Workday connection and persists only in browser local storage.</w:t>
      </w:r>
    </w:p>
    <w:p>
      <w:pPr>
        <w:pStyle w:val="Heading1"/>
      </w:pPr>
      <w:r>
        <w:t>14. Role and responsibility matrix</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Role</w:t>
            </w:r>
          </w:p>
        </w:tc>
        <w:tc>
          <w:tcPr>
            <w:tcW w:type="dxa" w:w="3312"/>
            <w:shd w:fill="0B3A70"/>
          </w:tcPr>
          <w:p>
            <w:r>
              <w:rPr>
                <w:b/>
                <w:color w:val="FFFFFF"/>
              </w:rPr>
              <w:t>Onboarding</w:t>
            </w:r>
          </w:p>
        </w:tc>
        <w:tc>
          <w:tcPr>
            <w:tcW w:type="dxa" w:w="3312"/>
            <w:shd w:fill="0B3A70"/>
          </w:tcPr>
          <w:p>
            <w:r>
              <w:rPr>
                <w:b/>
                <w:color w:val="FFFFFF"/>
              </w:rPr>
              <w:t>Offboarding</w:t>
            </w:r>
          </w:p>
        </w:tc>
      </w:tr>
      <w:tr>
        <w:tc>
          <w:tcPr>
            <w:tcW w:type="dxa" w:w="3312"/>
          </w:tcPr>
          <w:p>
            <w:r>
              <w:t>HR</w:t>
            </w:r>
          </w:p>
        </w:tc>
        <w:tc>
          <w:tcPr>
            <w:tcW w:type="dxa" w:w="3312"/>
          </w:tcPr>
          <w:p>
            <w:r>
              <w:t>Own lifecycle case</w:t>
            </w:r>
          </w:p>
        </w:tc>
        <w:tc>
          <w:tcPr>
            <w:tcW w:type="dxa" w:w="3312"/>
          </w:tcPr>
          <w:p>
            <w:r>
              <w:t>Initiate and verify exit</w:t>
            </w:r>
          </w:p>
        </w:tc>
      </w:tr>
      <w:tr>
        <w:tc>
          <w:tcPr>
            <w:tcW w:type="dxa" w:w="3312"/>
          </w:tcPr>
          <w:p>
            <w:r>
              <w:t>IT Security</w:t>
            </w:r>
          </w:p>
        </w:tc>
        <w:tc>
          <w:tcPr>
            <w:tcW w:type="dxa" w:w="3312"/>
          </w:tcPr>
          <w:p>
            <w:r>
              <w:t>Provision access</w:t>
            </w:r>
          </w:p>
        </w:tc>
        <w:tc>
          <w:tcPr>
            <w:tcW w:type="dxa" w:w="3312"/>
          </w:tcPr>
          <w:p>
            <w:r>
              <w:t>Remove access</w:t>
            </w:r>
          </w:p>
        </w:tc>
      </w:tr>
      <w:tr>
        <w:tc>
          <w:tcPr>
            <w:tcW w:type="dxa" w:w="3312"/>
          </w:tcPr>
          <w:p>
            <w:r>
              <w:t>Onsite IT</w:t>
            </w:r>
          </w:p>
        </w:tc>
        <w:tc>
          <w:tcPr>
            <w:tcW w:type="dxa" w:w="3312"/>
          </w:tcPr>
          <w:p>
            <w:r>
              <w:t>Prepare device</w:t>
            </w:r>
          </w:p>
        </w:tc>
        <w:tc>
          <w:tcPr>
            <w:tcW w:type="dxa" w:w="3312"/>
          </w:tcPr>
          <w:p>
            <w:r>
              <w:t>Recover assets</w:t>
            </w:r>
          </w:p>
        </w:tc>
      </w:tr>
      <w:tr>
        <w:tc>
          <w:tcPr>
            <w:tcW w:type="dxa" w:w="3312"/>
          </w:tcPr>
          <w:p>
            <w:r>
              <w:t>Facilities</w:t>
            </w:r>
          </w:p>
        </w:tc>
        <w:tc>
          <w:tcPr>
            <w:tcW w:type="dxa" w:w="3312"/>
          </w:tcPr>
          <w:p>
            <w:r>
              <w:t>Prepare site access</w:t>
            </w:r>
          </w:p>
        </w:tc>
        <w:tc>
          <w:tcPr>
            <w:tcW w:type="dxa" w:w="3312"/>
          </w:tcPr>
          <w:p>
            <w:r>
              <w:t>Clear facilities items</w:t>
            </w:r>
          </w:p>
        </w:tc>
      </w:tr>
      <w:tr>
        <w:tc>
          <w:tcPr>
            <w:tcW w:type="dxa" w:w="3312"/>
          </w:tcPr>
          <w:p>
            <w:r>
              <w:t>Hiring Manager</w:t>
            </w:r>
          </w:p>
        </w:tc>
        <w:tc>
          <w:tcPr>
            <w:tcW w:type="dxa" w:w="3312"/>
          </w:tcPr>
          <w:p>
            <w:r>
              <w:t>Confirm readiness</w:t>
            </w:r>
          </w:p>
        </w:tc>
        <w:tc>
          <w:tcPr>
            <w:tcW w:type="dxa" w:w="3312"/>
          </w:tcPr>
          <w:p>
            <w:r>
              <w:t>Confirm transition</w:t>
            </w:r>
          </w:p>
        </w:tc>
      </w:tr>
      <w:tr>
        <w:tc>
          <w:tcPr>
            <w:tcW w:type="dxa" w:w="3312"/>
          </w:tcPr>
          <w:p>
            <w:r>
              <w:t>Finance</w:t>
            </w:r>
          </w:p>
        </w:tc>
        <w:tc>
          <w:tcPr>
            <w:tcW w:type="dxa" w:w="3312"/>
          </w:tcPr>
          <w:p>
            <w:r>
              <w:t>Complete finance tasks</w:t>
            </w:r>
          </w:p>
        </w:tc>
        <w:tc>
          <w:tcPr>
            <w:tcW w:type="dxa" w:w="3312"/>
          </w:tcPr>
          <w:p>
            <w:r>
              <w:t>Close finance items</w:t>
            </w:r>
          </w:p>
        </w:tc>
      </w:tr>
    </w:tbl>
    <w:p/>
    <w:p>
      <w:pPr>
        <w:pStyle w:val="Heading1"/>
      </w:pPr>
      <w:r>
        <w:t>15. Technical architecture — implemented</w:t>
      </w:r>
    </w:p>
    <w:p>
      <w:r>
        <w:drawing>
          <wp:inline xmlns:a="http://schemas.openxmlformats.org/drawingml/2006/main" xmlns:pic="http://schemas.openxmlformats.org/drawingml/2006/picture">
            <wp:extent cx="6080760" cy="1945843"/>
            <wp:docPr id="1" name="Picture 1"/>
            <wp:cNvGraphicFramePr>
              <a:graphicFrameLocks noChangeAspect="1"/>
            </wp:cNvGraphicFramePr>
            <a:graphic>
              <a:graphicData uri="http://schemas.openxmlformats.org/drawingml/2006/picture">
                <pic:pic>
                  <pic:nvPicPr>
                    <pic:cNvPr id="0" name="current.png"/>
                    <pic:cNvPicPr/>
                  </pic:nvPicPr>
                  <pic:blipFill>
                    <a:blip r:embed="rId9"/>
                    <a:stretch>
                      <a:fillRect/>
                    </a:stretch>
                  </pic:blipFill>
                  <pic:spPr>
                    <a:xfrm>
                      <a:off x="0" y="0"/>
                      <a:ext cx="6080760" cy="1945843"/>
                    </a:xfrm>
                    <a:prstGeom prst="rect"/>
                  </pic:spPr>
                </pic:pic>
              </a:graphicData>
            </a:graphic>
          </wp:inline>
        </w:drawing>
      </w:r>
    </w:p>
    <w:p>
      <w:pPr>
        <w:spacing w:after="120"/>
        <w:jc w:val="center"/>
      </w:pPr>
      <w:r>
        <w:rPr>
          <w:i/>
          <w:sz w:val="18"/>
        </w:rPr>
        <w:t>Architecture diagram. Implemented prototype.</w:t>
      </w:r>
    </w:p>
    <w:p>
      <w:pPr>
        <w:pStyle w:val="Heading1"/>
      </w:pPr>
      <w:r>
        <w:t>16. Deployment architecture — implemented</w:t>
      </w:r>
    </w:p>
    <w:p>
      <w:r>
        <w:drawing>
          <wp:inline xmlns:a="http://schemas.openxmlformats.org/drawingml/2006/main" xmlns:pic="http://schemas.openxmlformats.org/drawingml/2006/picture">
            <wp:extent cx="6080760" cy="1945843"/>
            <wp:docPr id="2" name="Picture 2"/>
            <wp:cNvGraphicFramePr>
              <a:graphicFrameLocks noChangeAspect="1"/>
            </wp:cNvGraphicFramePr>
            <a:graphic>
              <a:graphicData uri="http://schemas.openxmlformats.org/drawingml/2006/picture">
                <pic:pic>
                  <pic:nvPicPr>
                    <pic:cNvPr id="0" name="deployment.png"/>
                    <pic:cNvPicPr/>
                  </pic:nvPicPr>
                  <pic:blipFill>
                    <a:blip r:embed="rId10"/>
                    <a:stretch>
                      <a:fillRect/>
                    </a:stretch>
                  </pic:blipFill>
                  <pic:spPr>
                    <a:xfrm>
                      <a:off x="0" y="0"/>
                      <a:ext cx="6080760" cy="1945843"/>
                    </a:xfrm>
                    <a:prstGeom prst="rect"/>
                  </pic:spPr>
                </pic:pic>
              </a:graphicData>
            </a:graphic>
          </wp:inline>
        </w:drawing>
      </w:r>
    </w:p>
    <w:p>
      <w:pPr>
        <w:spacing w:after="120"/>
        <w:jc w:val="center"/>
      </w:pPr>
      <w:r>
        <w:rPr>
          <w:i/>
          <w:sz w:val="18"/>
        </w:rPr>
        <w:t>Architecture diagram. Implemented prototype.</w:t>
      </w:r>
    </w:p>
    <w:p>
      <w:pPr>
        <w:spacing w:after="120"/>
      </w:pPr>
      <w:r>
        <w:t>Internet → Cloudflare DNS → HTTPS reverse proxy :443 → http://localhost:3005 → Docker host port 3005 → OneFlow container port 3000 → Next.js :3000.</w:t>
      </w:r>
    </w:p>
    <w:p>
      <w:pPr>
        <w:pStyle w:val="Heading1"/>
      </w:pPr>
      <w:r>
        <w:t>17. Future architecture — proposed</w:t>
      </w:r>
    </w:p>
    <w:p>
      <w:r>
        <w:drawing>
          <wp:inline xmlns:a="http://schemas.openxmlformats.org/drawingml/2006/main" xmlns:pic="http://schemas.openxmlformats.org/drawingml/2006/picture">
            <wp:extent cx="6080760" cy="1945843"/>
            <wp:docPr id="3" name="Picture 3"/>
            <wp:cNvGraphicFramePr>
              <a:graphicFrameLocks noChangeAspect="1"/>
            </wp:cNvGraphicFramePr>
            <a:graphic>
              <a:graphicData uri="http://schemas.openxmlformats.org/drawingml/2006/picture">
                <pic:pic>
                  <pic:nvPicPr>
                    <pic:cNvPr id="0" name="future.png"/>
                    <pic:cNvPicPr/>
                  </pic:nvPicPr>
                  <pic:blipFill>
                    <a:blip r:embed="rId11"/>
                    <a:stretch>
                      <a:fillRect/>
                    </a:stretch>
                  </pic:blipFill>
                  <pic:spPr>
                    <a:xfrm>
                      <a:off x="0" y="0"/>
                      <a:ext cx="6080760" cy="1945843"/>
                    </a:xfrm>
                    <a:prstGeom prst="rect"/>
                  </pic:spPr>
                </pic:pic>
              </a:graphicData>
            </a:graphic>
          </wp:inline>
        </w:drawing>
      </w:r>
    </w:p>
    <w:p>
      <w:pPr>
        <w:spacing w:after="120"/>
        <w:jc w:val="center"/>
      </w:pPr>
      <w:r>
        <w:rPr>
          <w:i/>
          <w:sz w:val="18"/>
        </w:rPr>
        <w:t>Architecture diagram. Proposed direction; not implemented.</w:t>
      </w:r>
    </w:p>
    <w:p>
      <w:pPr>
        <w:pStyle w:val="Heading1"/>
      </w:pPr>
      <w:r>
        <w:t>18. Why Power Platform</w:t>
      </w:r>
    </w:p>
    <w:p>
      <w:pPr>
        <w:spacing w:after="120"/>
      </w:pPr>
      <w:r>
        <w:t>Power Platform is a suitable proposed direction because it combines governed workflow automation, Dataverse data modelling, Microsoft 365 integration, reporting, and enterprise identity. Licensing, connectors, data residency, and architecture still require review.</w:t>
      </w:r>
    </w:p>
    <w:p>
      <w:pPr>
        <w:pStyle w:val="Heading1"/>
      </w:pPr>
      <w:r>
        <w:t>19. Prototype cost</w:t>
      </w:r>
    </w:p>
    <w:p>
      <w:pPr>
        <w:spacing w:after="120"/>
      </w:pPr>
      <w:r>
        <w:t>Incremental software licensing for the prototype is RM0 where existing Synology/Docker infrastructure and open-source dependencies are used. Developer effort, domain/DNS services, support, and optional email are real costs but are not valued here.</w:t>
      </w:r>
    </w:p>
    <w:p>
      <w:pPr>
        <w:pStyle w:val="Heading1"/>
      </w:pPr>
      <w:r>
        <w:t>20. Estimated production cost — planning only</w:t>
      </w:r>
    </w:p>
    <w:p>
      <w:pPr>
        <w:spacing w:after="120"/>
      </w:pPr>
      <w:r>
        <w:t>Public pricing checked 19 August 2026 using Microsoft Malaysia and AWS price pages. Values are indicative list-price planning figures, exclude taxes and discounts, and use USD 1 = RM4.25 as an illustrative planning conversion; obtain a quote before approval.</w:t>
      </w:r>
    </w:p>
    <w:p>
      <w:pPr>
        <w:pStyle w:val="Heading2"/>
      </w:pPr>
      <w:r>
        <w:t>20.1 Licensing scenarios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Scenario</w:t>
            </w:r>
          </w:p>
        </w:tc>
        <w:tc>
          <w:tcPr>
            <w:tcW w:type="dxa" w:w="3312"/>
            <w:shd w:fill="0B3A70"/>
          </w:tcPr>
          <w:p>
            <w:r>
              <w:rPr>
                <w:b/>
                <w:color w:val="FFFFFF"/>
              </w:rPr>
              <w:t>Indicative monthly list cost</w:t>
            </w:r>
          </w:p>
        </w:tc>
        <w:tc>
          <w:tcPr>
            <w:tcW w:type="dxa" w:w="3312"/>
            <w:shd w:fill="0B3A70"/>
          </w:tcPr>
          <w:p>
            <w:r>
              <w:rPr>
                <w:b/>
                <w:color w:val="FFFFFF"/>
              </w:rPr>
              <w:t>Assumptions</w:t>
            </w:r>
          </w:p>
        </w:tc>
      </w:tr>
      <w:tr>
        <w:tc>
          <w:tcPr>
            <w:tcW w:type="dxa" w:w="3312"/>
          </w:tcPr>
          <w:p>
            <w:r>
              <w:t>Pilot</w:t>
            </w:r>
          </w:p>
        </w:tc>
        <w:tc>
          <w:tcPr>
            <w:tcW w:type="dxa" w:w="3312"/>
          </w:tcPr>
          <w:p>
            <w:r>
              <w:t>RM4,485</w:t>
            </w:r>
          </w:p>
        </w:tc>
        <w:tc>
          <w:tcPr>
            <w:tcW w:type="dxa" w:w="3312"/>
          </w:tcPr>
          <w:p>
            <w:r>
              <w:t>25 Power Apps + Power Automate; 10 Power BI Pro; 1 GB Dataverse</w:t>
            </w:r>
          </w:p>
        </w:tc>
      </w:tr>
      <w:tr>
        <w:tc>
          <w:tcPr>
            <w:tcW w:type="dxa" w:w="3312"/>
          </w:tcPr>
          <w:p>
            <w:r>
              <w:t>Malaysia production</w:t>
            </w:r>
          </w:p>
        </w:tc>
        <w:tc>
          <w:tcPr>
            <w:tcW w:type="dxa" w:w="3312"/>
          </w:tcPr>
          <w:p>
            <w:r>
              <w:t>RM17,315</w:t>
            </w:r>
          </w:p>
        </w:tc>
        <w:tc>
          <w:tcPr>
            <w:tcW w:type="dxa" w:w="3312"/>
          </w:tcPr>
          <w:p>
            <w:r>
              <w:t>100 Power Apps + Power Automate; 30 Power BI Pro; 2 GB Dataverse</w:t>
            </w:r>
          </w:p>
        </w:tc>
      </w:tr>
      <w:tr>
        <w:tc>
          <w:tcPr>
            <w:tcW w:type="dxa" w:w="3312"/>
          </w:tcPr>
          <w:p>
            <w:r>
              <w:t>Regional enterprise</w:t>
            </w:r>
          </w:p>
        </w:tc>
        <w:tc>
          <w:tcPr>
            <w:tcW w:type="dxa" w:w="3312"/>
          </w:tcPr>
          <w:p>
            <w:r>
              <w:t>Quote required</w:t>
            </w:r>
          </w:p>
        </w:tc>
        <w:tc>
          <w:tcPr>
            <w:tcW w:type="dxa" w:w="3312"/>
          </w:tcPr>
          <w:p>
            <w:r>
              <w:t>Agreement, usage, connectors, capacity and support</w:t>
            </w:r>
          </w:p>
        </w:tc>
      </w:tr>
    </w:tbl>
    <w:p/>
    <w:p>
      <w:pPr>
        <w:pStyle w:val="Heading2"/>
      </w:pPr>
      <w:r>
        <w:t>20.2 One-time implementation</w:t>
      </w:r>
    </w:p>
    <w:p>
      <w:pPr>
        <w:spacing w:after="120"/>
      </w:pPr>
      <w:r>
        <w:t>Indicative discovery-to-rollout range: RM260,000–RM750,000 for approved integrations, data model, SSO/security, workflow configuration, testing, reporting, training, change management, and support transition. This is not a vendor quote.</w:t>
      </w:r>
    </w:p>
    <w:p>
      <w:pPr>
        <w:pStyle w:val="Heading2"/>
      </w:pPr>
      <w:r>
        <w:t>20.3 Recurring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Component</w:t>
            </w:r>
          </w:p>
        </w:tc>
        <w:tc>
          <w:tcPr>
            <w:tcW w:type="dxa" w:w="3312"/>
            <w:shd w:fill="0B3A70"/>
          </w:tcPr>
          <w:p>
            <w:r>
              <w:rPr>
                <w:b/>
                <w:color w:val="FFFFFF"/>
              </w:rPr>
              <w:t>Public list price</w:t>
            </w:r>
          </w:p>
        </w:tc>
        <w:tc>
          <w:tcPr>
            <w:tcW w:type="dxa" w:w="3312"/>
            <w:shd w:fill="0B3A70"/>
          </w:tcPr>
          <w:p>
            <w:r>
              <w:rPr>
                <w:b/>
                <w:color w:val="FFFFFF"/>
              </w:rPr>
              <w:t>Planning MYR</w:t>
            </w:r>
          </w:p>
        </w:tc>
      </w:tr>
      <w:tr>
        <w:tc>
          <w:tcPr>
            <w:tcW w:type="dxa" w:w="3312"/>
          </w:tcPr>
          <w:p>
            <w:r>
              <w:t>Power Apps Premium</w:t>
            </w:r>
          </w:p>
        </w:tc>
        <w:tc>
          <w:tcPr>
            <w:tcW w:type="dxa" w:w="3312"/>
          </w:tcPr>
          <w:p>
            <w:r>
              <w:t>USD20/user/month</w:t>
            </w:r>
          </w:p>
        </w:tc>
        <w:tc>
          <w:tcPr>
            <w:tcW w:type="dxa" w:w="3312"/>
          </w:tcPr>
          <w:p>
            <w:r>
              <w:t>RM85/user/month</w:t>
            </w:r>
          </w:p>
        </w:tc>
      </w:tr>
      <w:tr>
        <w:tc>
          <w:tcPr>
            <w:tcW w:type="dxa" w:w="3312"/>
          </w:tcPr>
          <w:p>
            <w:r>
              <w:t>Power Automate Premium</w:t>
            </w:r>
          </w:p>
        </w:tc>
        <w:tc>
          <w:tcPr>
            <w:tcW w:type="dxa" w:w="3312"/>
          </w:tcPr>
          <w:p>
            <w:r>
              <w:t>USD15/user/month</w:t>
            </w:r>
          </w:p>
        </w:tc>
        <w:tc>
          <w:tcPr>
            <w:tcW w:type="dxa" w:w="3312"/>
          </w:tcPr>
          <w:p>
            <w:r>
              <w:t>RM63.75/user/month</w:t>
            </w:r>
          </w:p>
        </w:tc>
      </w:tr>
      <w:tr>
        <w:tc>
          <w:tcPr>
            <w:tcW w:type="dxa" w:w="3312"/>
          </w:tcPr>
          <w:p>
            <w:r>
              <w:t>Power BI Pro</w:t>
            </w:r>
          </w:p>
        </w:tc>
        <w:tc>
          <w:tcPr>
            <w:tcW w:type="dxa" w:w="3312"/>
          </w:tcPr>
          <w:p>
            <w:r>
              <w:t>USD14/user/month</w:t>
            </w:r>
          </w:p>
        </w:tc>
        <w:tc>
          <w:tcPr>
            <w:tcW w:type="dxa" w:w="3312"/>
          </w:tcPr>
          <w:p>
            <w:r>
              <w:t>RM59.50/user/month</w:t>
            </w:r>
          </w:p>
        </w:tc>
      </w:tr>
      <w:tr>
        <w:tc>
          <w:tcPr>
            <w:tcW w:type="dxa" w:w="3312"/>
          </w:tcPr>
          <w:p>
            <w:r>
              <w:t>Dataverse DB add-on</w:t>
            </w:r>
          </w:p>
        </w:tc>
        <w:tc>
          <w:tcPr>
            <w:tcW w:type="dxa" w:w="3312"/>
          </w:tcPr>
          <w:p>
            <w:r>
              <w:t>USD40/GB/month</w:t>
            </w:r>
          </w:p>
        </w:tc>
        <w:tc>
          <w:tcPr>
            <w:tcW w:type="dxa" w:w="3312"/>
          </w:tcPr>
          <w:p>
            <w:r>
              <w:t>RM170/GB/month</w:t>
            </w:r>
          </w:p>
        </w:tc>
      </w:tr>
      <w:tr>
        <w:tc>
          <w:tcPr>
            <w:tcW w:type="dxa" w:w="3312"/>
          </w:tcPr>
          <w:p>
            <w:r>
              <w:t>Power Automate Process</w:t>
            </w:r>
          </w:p>
        </w:tc>
        <w:tc>
          <w:tcPr>
            <w:tcW w:type="dxa" w:w="3312"/>
          </w:tcPr>
          <w:p>
            <w:r>
              <w:t>USD150/bot/month</w:t>
            </w:r>
          </w:p>
        </w:tc>
        <w:tc>
          <w:tcPr>
            <w:tcW w:type="dxa" w:w="3312"/>
          </w:tcPr>
          <w:p>
            <w:r>
              <w:t>RM637.50/bot/month</w:t>
            </w:r>
          </w:p>
        </w:tc>
      </w:tr>
      <w:tr>
        <w:tc>
          <w:tcPr>
            <w:tcW w:type="dxa" w:w="3312"/>
          </w:tcPr>
          <w:p>
            <w:r>
              <w:t>AWS SES Essentials</w:t>
            </w:r>
          </w:p>
        </w:tc>
        <w:tc>
          <w:tcPr>
            <w:tcW w:type="dxa" w:w="3312"/>
          </w:tcPr>
          <w:p>
            <w:r>
              <w:t>USD0.16/1,000 emails</w:t>
            </w:r>
          </w:p>
        </w:tc>
        <w:tc>
          <w:tcPr>
            <w:tcW w:type="dxa" w:w="3312"/>
          </w:tcPr>
          <w:p>
            <w:r>
              <w:t>RM0.68/1,000 emails</w:t>
            </w:r>
          </w:p>
        </w:tc>
      </w:tr>
    </w:tbl>
    <w:p/>
    <w:p>
      <w:pPr>
        <w:pStyle w:val="Heading2"/>
      </w:pPr>
      <w:r>
        <w:t>20.4 Executive cost view</w:t>
      </w:r>
    </w:p>
    <w:p>
      <w:pPr>
        <w:spacing w:after="120"/>
      </w:pPr>
      <w:r>
        <w:t>The pilot is a controlled baseline, not a procurement recommendation. Validate eligible bundled Microsoft entitlements, tax, discounts, capacity, and delivery scope with Microsoft and implementation partners.</w:t>
      </w:r>
    </w:p>
    <w:p>
      <w:pPr>
        <w:pStyle w:val="Heading1"/>
      </w:pPr>
      <w:r>
        <w:t>21. ROI framework</w:t>
      </w:r>
    </w:p>
    <w:p>
      <w:pPr>
        <w:spacing w:after="120"/>
      </w:pPr>
      <w:r>
        <w:t>Measure saved handling time, avoided rework, late provisioning, onboarding readiness, exit-risk closure, audit evidence, and stakeholder satisfaction. Formula: (annual quantified benefit − annual recurring cost) ÷ implementation cost. Do not use salary figures without validated HR inputs.</w:t>
      </w:r>
    </w:p>
    <w:p>
      <w:pPr>
        <w:pStyle w:val="Heading1"/>
      </w:pPr>
      <w:r>
        <w:t>22. Security considerations</w:t>
      </w:r>
    </w:p>
    <w:p>
      <w:pPr>
        <w:spacing w:after="120"/>
      </w:pPr>
      <w:r>
        <w:t>Current controls are demo-oriented. Production requires Entra ID SSO, least privilege, secrets management, encryption, audit retention, vulnerability management, secure SDLC, and approved integration identities.</w:t>
      </w:r>
    </w:p>
    <w:p>
      <w:pPr>
        <w:pStyle w:val="Heading1"/>
      </w:pPr>
      <w:r>
        <w:t>23. Privacy and data handling</w:t>
      </w:r>
    </w:p>
    <w:p>
      <w:pPr>
        <w:spacing w:after="120"/>
      </w:pPr>
      <w:r>
        <w:t>Use synthetic demo data only. Production must minimise personal data, define retention/deletion, assess transfers, use access logging, and complete required privacy and security assessments.</w:t>
      </w:r>
    </w:p>
    <w:p>
      <w:pPr>
        <w:pStyle w:val="Heading1"/>
      </w:pPr>
      <w:r>
        <w:t>24. Limitations</w:t>
      </w:r>
    </w:p>
    <w:p>
      <w:pPr>
        <w:spacing w:after="120"/>
      </w:pPr>
      <w:r>
        <w:t>No live Workday, Dataverse, Power Automate, Entra ID, Power BI, or production-grade email delivery is implemented. Mock inbox and optional SES configuration are for demonstration only.</w:t>
      </w:r>
    </w:p>
    <w:p>
      <w:pPr>
        <w:pStyle w:val="Heading1"/>
      </w:pPr>
      <w:r>
        <w:t>25. Production readiness gap</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B3A70"/>
          </w:tcPr>
          <w:p>
            <w:r>
              <w:rPr>
                <w:b/>
                <w:color w:val="FFFFFF"/>
              </w:rPr>
              <w:t>Area</w:t>
            </w:r>
          </w:p>
        </w:tc>
        <w:tc>
          <w:tcPr>
            <w:tcW w:type="dxa" w:w="3312"/>
            <w:shd w:fill="0B3A70"/>
          </w:tcPr>
          <w:p>
            <w:r>
              <w:rPr>
                <w:b/>
                <w:color w:val="FFFFFF"/>
              </w:rPr>
              <w:t>Prototype</w:t>
            </w:r>
          </w:p>
        </w:tc>
        <w:tc>
          <w:tcPr>
            <w:tcW w:type="dxa" w:w="3312"/>
            <w:shd w:fill="0B3A70"/>
          </w:tcPr>
          <w:p>
            <w:r>
              <w:rPr>
                <w:b/>
                <w:color w:val="FFFFFF"/>
              </w:rPr>
              <w:t>Production need</w:t>
            </w:r>
          </w:p>
        </w:tc>
      </w:tr>
      <w:tr>
        <w:tc>
          <w:tcPr>
            <w:tcW w:type="dxa" w:w="3312"/>
          </w:tcPr>
          <w:p>
            <w:r>
              <w:t>Identity</w:t>
            </w:r>
          </w:p>
        </w:tc>
        <w:tc>
          <w:tcPr>
            <w:tcW w:type="dxa" w:w="3312"/>
          </w:tcPr>
          <w:p>
            <w:r>
              <w:t>Demo login</w:t>
            </w:r>
          </w:p>
        </w:tc>
        <w:tc>
          <w:tcPr>
            <w:tcW w:type="dxa" w:w="3312"/>
          </w:tcPr>
          <w:p>
            <w:r>
              <w:t>Entra ID SSO/MFA/RBAC</w:t>
            </w:r>
          </w:p>
        </w:tc>
      </w:tr>
      <w:tr>
        <w:tc>
          <w:tcPr>
            <w:tcW w:type="dxa" w:w="3312"/>
          </w:tcPr>
          <w:p>
            <w:r>
              <w:t>Data</w:t>
            </w:r>
          </w:p>
        </w:tc>
        <w:tc>
          <w:tcPr>
            <w:tcW w:type="dxa" w:w="3312"/>
          </w:tcPr>
          <w:p>
            <w:r>
              <w:t>localStorage</w:t>
            </w:r>
          </w:p>
        </w:tc>
        <w:tc>
          <w:tcPr>
            <w:tcW w:type="dxa" w:w="3312"/>
          </w:tcPr>
          <w:p>
            <w:r>
              <w:t>Dataverse/approved store</w:t>
            </w:r>
          </w:p>
        </w:tc>
      </w:tr>
      <w:tr>
        <w:tc>
          <w:tcPr>
            <w:tcW w:type="dxa" w:w="3312"/>
          </w:tcPr>
          <w:p>
            <w:r>
              <w:t>Integration</w:t>
            </w:r>
          </w:p>
        </w:tc>
        <w:tc>
          <w:tcPr>
            <w:tcW w:type="dxa" w:w="3312"/>
          </w:tcPr>
          <w:p>
            <w:r>
              <w:t>Mock Workday</w:t>
            </w:r>
          </w:p>
        </w:tc>
        <w:tc>
          <w:tcPr>
            <w:tcW w:type="dxa" w:w="3312"/>
          </w:tcPr>
          <w:p>
            <w:r>
              <w:t>APIs, retries, monitoring</w:t>
            </w:r>
          </w:p>
        </w:tc>
      </w:tr>
      <w:tr>
        <w:tc>
          <w:tcPr>
            <w:tcW w:type="dxa" w:w="3312"/>
          </w:tcPr>
          <w:p>
            <w:r>
              <w:t>Automation</w:t>
            </w:r>
          </w:p>
        </w:tc>
        <w:tc>
          <w:tcPr>
            <w:tcW w:type="dxa" w:w="3312"/>
          </w:tcPr>
          <w:p>
            <w:r>
              <w:t>Simulated</w:t>
            </w:r>
          </w:p>
        </w:tc>
        <w:tc>
          <w:tcPr>
            <w:tcW w:type="dxa" w:w="3312"/>
          </w:tcPr>
          <w:p>
            <w:r>
              <w:t>Power Automate</w:t>
            </w:r>
          </w:p>
        </w:tc>
      </w:tr>
      <w:tr>
        <w:tc>
          <w:tcPr>
            <w:tcW w:type="dxa" w:w="3312"/>
          </w:tcPr>
          <w:p>
            <w:r>
              <w:t>Reporting</w:t>
            </w:r>
          </w:p>
        </w:tc>
        <w:tc>
          <w:tcPr>
            <w:tcW w:type="dxa" w:w="3312"/>
          </w:tcPr>
          <w:p>
            <w:r>
              <w:t>In-app snapshot</w:t>
            </w:r>
          </w:p>
        </w:tc>
        <w:tc>
          <w:tcPr>
            <w:tcW w:type="dxa" w:w="3312"/>
          </w:tcPr>
          <w:p>
            <w:r>
              <w:t>Governed Power BI</w:t>
            </w:r>
          </w:p>
        </w:tc>
      </w:tr>
      <w:tr>
        <w:tc>
          <w:tcPr>
            <w:tcW w:type="dxa" w:w="3312"/>
          </w:tcPr>
          <w:p>
            <w:r>
              <w:t>Operations</w:t>
            </w:r>
          </w:p>
        </w:tc>
        <w:tc>
          <w:tcPr>
            <w:tcW w:type="dxa" w:w="3312"/>
          </w:tcPr>
          <w:p>
            <w:r>
              <w:t>Manual support</w:t>
            </w:r>
          </w:p>
        </w:tc>
        <w:tc>
          <w:tcPr>
            <w:tcW w:type="dxa" w:w="3312"/>
          </w:tcPr>
          <w:p>
            <w:r>
              <w:t>Monitoring, backup, change process</w:t>
            </w:r>
          </w:p>
        </w:tc>
      </w:tr>
    </w:tbl>
    <w:p/>
    <w:p>
      <w:pPr>
        <w:pStyle w:val="Heading1"/>
      </w:pPr>
      <w:r>
        <w:t>26. Roadmap</w:t>
      </w:r>
    </w:p>
    <w:tbl>
      <w:tblPr>
        <w:tblStyle w:val="TableGrid"/>
        <w:tblW w:type="auto" w:w="0"/>
        <w:jc w:val="center"/>
        <w:tblLook w:firstColumn="1" w:firstRow="1" w:lastColumn="0" w:lastRow="0" w:noHBand="0" w:noVBand="1" w:val="04A0"/>
      </w:tblPr>
      <w:tblGrid>
        <w:gridCol w:w="4968"/>
        <w:gridCol w:w="4968"/>
      </w:tblGrid>
      <w:tr>
        <w:tc>
          <w:tcPr>
            <w:tcW w:type="dxa" w:w="4968"/>
            <w:shd w:fill="0B3A70"/>
          </w:tcPr>
          <w:p>
            <w:r>
              <w:rPr>
                <w:b/>
                <w:color w:val="FFFFFF"/>
              </w:rPr>
              <w:t>Phase</w:t>
            </w:r>
          </w:p>
        </w:tc>
        <w:tc>
          <w:tcPr>
            <w:tcW w:type="dxa" w:w="4968"/>
            <w:shd w:fill="0B3A70"/>
          </w:tcPr>
          <w:p>
            <w:r>
              <w:rPr>
                <w:b/>
                <w:color w:val="FFFFFF"/>
              </w:rPr>
              <w:t>Outcome</w:t>
            </w:r>
          </w:p>
        </w:tc>
      </w:tr>
      <w:tr>
        <w:tc>
          <w:tcPr>
            <w:tcW w:type="dxa" w:w="4968"/>
          </w:tcPr>
          <w:p>
            <w:r>
              <w:t>1 — Hardening</w:t>
            </w:r>
          </w:p>
        </w:tc>
        <w:tc>
          <w:tcPr>
            <w:tcW w:type="dxa" w:w="4968"/>
          </w:tcPr>
          <w:p>
            <w:r>
              <w:t>Stabilise demo, accessibility, tests, documentation</w:t>
            </w:r>
          </w:p>
        </w:tc>
      </w:tr>
      <w:tr>
        <w:tc>
          <w:tcPr>
            <w:tcW w:type="dxa" w:w="4968"/>
          </w:tcPr>
          <w:p>
            <w:r>
              <w:t>2 — Foundation</w:t>
            </w:r>
          </w:p>
        </w:tc>
        <w:tc>
          <w:tcPr>
            <w:tcW w:type="dxa" w:w="4968"/>
          </w:tcPr>
          <w:p>
            <w:r>
              <w:t>Identity, approved data model and environments</w:t>
            </w:r>
          </w:p>
        </w:tc>
      </w:tr>
      <w:tr>
        <w:tc>
          <w:tcPr>
            <w:tcW w:type="dxa" w:w="4968"/>
          </w:tcPr>
          <w:p>
            <w:r>
              <w:t>3 — Integration</w:t>
            </w:r>
          </w:p>
        </w:tc>
        <w:tc>
          <w:tcPr>
            <w:tcW w:type="dxa" w:w="4968"/>
          </w:tcPr>
          <w:p>
            <w:r>
              <w:t>Workday events, Power Automate and M365</w:t>
            </w:r>
          </w:p>
        </w:tc>
      </w:tr>
      <w:tr>
        <w:tc>
          <w:tcPr>
            <w:tcW w:type="dxa" w:w="4968"/>
          </w:tcPr>
          <w:p>
            <w:r>
              <w:t>4 — Scale</w:t>
            </w:r>
          </w:p>
        </w:tc>
        <w:tc>
          <w:tcPr>
            <w:tcW w:type="dxa" w:w="4968"/>
          </w:tcPr>
          <w:p>
            <w:r>
              <w:t>Power BI, controls, support and rollout</w:t>
            </w:r>
          </w:p>
        </w:tc>
      </w:tr>
    </w:tbl>
    <w:p/>
    <w:p>
      <w:pPr>
        <w:pStyle w:val="Heading1"/>
      </w:pPr>
      <w:r>
        <w:t>27. Success metrics</w:t>
      </w:r>
    </w:p>
    <w:p>
      <w:pPr>
        <w:spacing w:after="120"/>
      </w:pPr>
      <w:r>
        <w:t>Measure case creation time, task completion before start date, overdue-task rate, onboarding readiness, offboarding closure by last working day, delivery outcomes, rework, and stakeholder satisfaction.</w:t>
      </w:r>
    </w:p>
    <w:p>
      <w:pPr>
        <w:pStyle w:val="Heading1"/>
      </w:pPr>
      <w:r>
        <w:t>28. Five-to-ten minute demo guide</w:t>
      </w:r>
    </w:p>
    <w:p>
      <w:pPr>
        <w:spacing w:after="120"/>
      </w:pPr>
      <w:r>
        <w:t>1) Sign in as Admin. 2) Show the five-worker Workday dataset. 3) Open Nabila’s Preboarding journey. 4) Switch to HR or IT roles for assigned work. 5) Open Hamdan’s Offboarding journey. 6) Open reports and explain implemented versus proposed components.</w:t>
      </w:r>
    </w:p>
    <w:p>
      <w:pPr>
        <w:pStyle w:val="Heading1"/>
      </w:pPr>
      <w:r>
        <w:t>29. Troubleshooting</w:t>
      </w:r>
    </w:p>
    <w:p>
      <w:pPr>
        <w:spacing w:after="120"/>
      </w:pPr>
      <w:r>
        <w:t>If data looks stale, use available reset/seed controls or clear site storage for the demo browser. If a container cannot be reached, confirm the reverse proxy targets localhost:3005 and Docker maps 3005:3000. Never change the container application port from 3000.</w:t>
      </w:r>
    </w:p>
    <w:p>
      <w:pPr>
        <w:pStyle w:val="Heading1"/>
      </w:pPr>
      <w:r>
        <w:t>30. Deployment manual</w:t>
      </w:r>
    </w:p>
    <w:p>
      <w:pPr>
        <w:spacing w:after="120"/>
      </w:pPr>
      <w:r>
        <w:t>Set NEXT_PUBLIC_APP_URL=https://oneflow.highrulez.com in the deployment environment. Start with Docker Compose. Synology Reverse Proxy accepts HTTPS on :443 and forwards to http://localhost:3005. Keep the internal Next.js port at 3000. Never commit .env secrets.</w:t>
      </w:r>
    </w:p>
    <w:p>
      <w:pPr>
        <w:pStyle w:val="Heading1"/>
      </w:pPr>
      <w:r>
        <w:t>31. Maintenance</w:t>
      </w:r>
    </w:p>
    <w:p>
      <w:pPr>
        <w:spacing w:after="120"/>
      </w:pPr>
      <w:r>
        <w:t>Review dependencies and images, rotate credentials outside source control, test restore and rollback, monitor logs and health, review access, revalidate pricing, and refresh demo data before events.</w:t>
      </w:r>
    </w:p>
    <w:p>
      <w:pPr>
        <w:pStyle w:val="Heading1"/>
      </w:pPr>
      <w:r>
        <w:t>32. FAQ</w:t>
      </w:r>
    </w:p>
    <w:p>
      <w:pPr>
        <w:spacing w:after="120"/>
      </w:pPr>
      <w:r>
        <w:t>Is this connected to Workday? No, it is a mock. Is Power Automate live? No, it is proposed. Where is data stored today? Browser local storage. Is port 3005 the app port? No: it is only the Docker host mapping; Next.js stays on 3000 in the container.</w:t>
      </w:r>
    </w:p>
    <w:p>
      <w:pPr>
        <w:pStyle w:val="Heading1"/>
      </w:pPr>
      <w:r>
        <w:t>33. Conclusion</w:t>
      </w:r>
    </w:p>
    <w:p>
      <w:pPr>
        <w:spacing w:after="120"/>
      </w:pPr>
      <w:r>
        <w:t>OneFlow demonstrates coherent employee lifecycle orchestration: mock source events, role ownership, tasks, forms, notifications, and visibility. The roadmap identifies the controls and integrations needed to progress from prototype to production.</w:t>
      </w:r>
    </w:p>
    <w:p>
      <w:r>
        <w:br w:type="page"/>
      </w:r>
    </w:p>
    <w:p>
      <w:pPr>
        <w:pStyle w:val="Heading1"/>
      </w:pPr>
      <w:r>
        <w:t>Appendix A. Demo accounts</w:t>
      </w:r>
    </w:p>
    <w:p>
      <w:pPr>
        <w:spacing w:after="120"/>
      </w:pPr>
      <w:r>
        <w:t>Use role-specific demo accounts configured in the prototype. The shared password is intentionally not printed; use the local demo login or secure handover material.</w:t>
      </w:r>
    </w:p>
    <w:p>
      <w:pPr>
        <w:pStyle w:val="Heading1"/>
      </w:pPr>
      <w:r>
        <w:t>Appendix B. Workforce and location</w:t>
      </w:r>
    </w:p>
    <w:p>
      <w:pPr>
        <w:spacing w:after="120"/>
      </w:pPr>
      <w:r>
        <w:t>Exactly five workers: three Active, one Preboarding, and one Offboarding. All use Malaysia – UOA Business Park.</w:t>
      </w:r>
    </w:p>
    <w:p>
      <w:pPr>
        <w:pStyle w:val="Heading1"/>
      </w:pPr>
      <w:r>
        <w:t>Appendix C. Role matrix</w:t>
      </w:r>
    </w:p>
    <w:p>
      <w:pPr>
        <w:spacing w:after="120"/>
      </w:pPr>
      <w:r>
        <w:t>See Section 14.</w:t>
      </w:r>
    </w:p>
    <w:p>
      <w:pPr>
        <w:pStyle w:val="Heading1"/>
      </w:pPr>
      <w:r>
        <w:t>Appendix D. Technology stack</w:t>
      </w:r>
    </w:p>
    <w:p>
      <w:pPr>
        <w:spacing w:after="120"/>
      </w:pPr>
      <w:r>
        <w:t>Next.js 15, React 19, TypeScript, Tailwind CSS, Node.js 22 Alpine, Docker Compose, and a local-storage repository abstraction.</w:t>
      </w:r>
    </w:p>
    <w:p>
      <w:pPr>
        <w:pStyle w:val="Heading1"/>
      </w:pPr>
      <w:r>
        <w:t>Appendix E. Environment variables</w:t>
      </w:r>
    </w:p>
    <w:p>
      <w:pPr>
        <w:spacing w:after="120"/>
      </w:pPr>
      <w:r>
        <w:t>NEXT_PUBLIC_APP_URL is https://oneflow.highrulez.com. PORT=3000 and HOSTNAME=0.0.0.0 apply inside the container. AWS and SES variables are optional configuration; keep all secrets outside source control.</w:t>
      </w:r>
    </w:p>
    <w:p>
      <w:pPr>
        <w:pStyle w:val="Heading1"/>
      </w:pPr>
      <w:r>
        <w:t>Appendix F. Cost assumptions</w:t>
      </w:r>
    </w:p>
    <w:p>
      <w:pPr>
        <w:spacing w:after="120"/>
      </w:pPr>
      <w:r>
        <w:t>Public price pages checked 19 August 2026; USD 1 = RM4.25 planning conversion; prices exclude taxes and enterprise discounts.</w:t>
      </w:r>
    </w:p>
    <w:p>
      <w:pPr>
        <w:pStyle w:val="Heading1"/>
      </w:pPr>
      <w:r>
        <w:t>Appendix G. Pricing sources</w:t>
      </w:r>
    </w:p>
    <w:p>
      <w:pPr>
        <w:spacing w:after="120"/>
      </w:pPr>
      <w:r>
        <w:t>Microsoft Power Apps (Malaysia): https://www.microsoft.com/en-my/power-platform/products/power-apps/pricing</w:t>
        <w:br/>
        <w:t>Microsoft Power Automate (Malaysia): https://www.microsoft.com/en-my/power-platform/products/power-automate/pricing</w:t>
        <w:br/>
        <w:t>Microsoft Power BI (Malaysia): https://www.microsoft.com/en-my/power-platform/products/power-bi</w:t>
        <w:br/>
        <w:t>AWS SES: https://aws.amazon.com/ses/pricing/</w:t>
      </w:r>
    </w:p>
    <w:sectPr w:rsidR="00FC693F" w:rsidRPr="0006063C" w:rsidSect="00034616">
      <w:headerReference w:type="default" r:id="rId12"/>
      <w:footerReference w:type="default" r:id="rId13"/>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OneFlow Project Documentation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B3A70"/>
        <w:sz w:val="16"/>
      </w:rPr>
      <w:t>ONEFLOW  |  PPG AEN HACKATHON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A7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A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3A7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OneFlow Project Documentation</dc:title>
  <dc:subject/>
  <dc:creator>Team Error 404</dc:creator>
  <cp:keywords/>
  <dc:description>generated by python-docx</dc:description>
  <cp:lastModifiedBy/>
  <cp:revision>1</cp:revision>
  <dcterms:created xsi:type="dcterms:W3CDTF">2013-12-23T23:15:00Z</dcterms:created>
  <dcterms:modified xsi:type="dcterms:W3CDTF">2013-12-23T23:15:00Z</dcterms:modified>
  <cp:category/>
</cp:coreProperties>
</file>