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" w:before="0"/>
      </w:pPr>
      <w:r>
        <w:rPr>
          <w:rFonts w:ascii="Helvetica Neue" w:cs="Helvetica Neue" w:eastAsia="Helvetica Neue" w:hAnsi="Helvetica Neue"/>
          <w:b/>
          <w:bCs/>
          <w:color w:val="000000"/>
          <w:sz w:val="52"/>
          <w:szCs w:val="52"/>
        </w:rPr>
        <w:t xml:space="preserve">W.S. Gong</w:t>
      </w:r>
    </w:p>
    <w:p>
      <w:pPr>
        <w:tabs>
          <w:tab w:val="left" w:pos="2400"/>
          <w:tab w:val="left" w:pos="5200"/>
        </w:tabs>
        <w:spacing w:after="0" w:before="0"/>
      </w:pPr>
      <w:hyperlink w:history="1" r:id="rIdc0nq5imnn4jrtbxibkaog">
        <w:r>
          <w:rPr>
            <w:rFonts w:ascii="Helvetica Neue" w:cs="Helvetica Neue" w:eastAsia="Helvetica Neue" w:hAnsi="Helvetica Neue"/>
            <w:color w:val="999999"/>
            <w:sz w:val="14"/>
            <w:szCs w:val="14"/>
          </w:rPr>
          <w:t xml:space="preserve">wsgong@ws-gong.com</w:t>
        </w:r>
      </w:hyperlink>
      <w:r>
        <w:rPr>
          <w:sz w:val="14"/>
          <w:szCs w:val="14"/>
        </w:rPr>
        <w:t xml:space="preserve">	</w:t>
      </w:r>
      <w:hyperlink w:history="1" r:id="rIdn4djfte65fwlfdwx9llq0">
        <w:r>
          <w:rPr>
            <w:rFonts w:ascii="Helvetica Neue" w:cs="Helvetica Neue" w:eastAsia="Helvetica Neue" w:hAnsi="Helvetica Neue"/>
            <w:color w:val="999999"/>
            <w:sz w:val="14"/>
            <w:szCs w:val="14"/>
          </w:rPr>
          <w:t xml:space="preserve">linkedin.com/in/billy-gong</w:t>
        </w:r>
      </w:hyperlink>
      <w:r>
        <w:rPr>
          <w:sz w:val="14"/>
          <w:szCs w:val="14"/>
        </w:rPr>
        <w:t xml:space="preserve">	</w:t>
      </w:r>
      <w:hyperlink w:history="1" r:id="rIdcn-wdwebmirg_jdfat__c">
        <w:r>
          <w:rPr>
            <w:rFonts w:ascii="Helvetica Neue" w:cs="Helvetica Neue" w:eastAsia="Helvetica Neue" w:hAnsi="Helvetica Neue"/>
            <w:color w:val="999999"/>
            <w:sz w:val="14"/>
            <w:szCs w:val="14"/>
          </w:rPr>
          <w:t xml:space="preserve">tech.ws-gong.com</w:t>
        </w:r>
      </w:hyperlink>
    </w:p>
    <w:p>
      <w:pPr>
        <w:spacing w:after="48" w:before="260"/>
      </w:pPr>
      <w:r>
        <w:rPr>
          <w:rFonts w:ascii="Helvetica Neue" w:cs="Helvetica Neue" w:eastAsia="Helvetica Neue" w:hAnsi="Helvetica Neue"/>
          <w:b/>
          <w:bCs/>
          <w:color w:val="999999"/>
          <w:sz w:val="17"/>
          <w:szCs w:val="17"/>
        </w:rPr>
        <w:t xml:space="preserve">Summary</w:t>
      </w:r>
    </w:p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20"/>
              <w:left w:type="dxa" w:w="140"/>
              <w:bottom w:type="dxa" w:w="20"/>
              <w:right w:type="dxa" w:w="0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2A2A2A"/>
                <w:sz w:val="15"/>
                <w:szCs w:val="15"/>
              </w:rPr>
              <w:t xml:space="preserve">Twenty-five years in tech — writing test plans, runbooks, API specs, and developer tooling. Then an MFA. Clarity is a form of respect. Most technical documentation treats the reader like an inconvenience. Now building documentation systems backed by agentic workflows and docs-as-tests pipelines — accuracy isn’t an editorial judgment, it’s a test result.</w:t>
            </w:r>
          </w:p>
        </w:tc>
      </w:tr>
    </w:tbl>
    <w:p>
      <w:pPr>
        <w:spacing w:after="48" w:before="260"/>
      </w:pPr>
      <w:r>
        <w:rPr>
          <w:rFonts w:ascii="Helvetica Neue" w:cs="Helvetica Neue" w:eastAsia="Helvetica Neue" w:hAnsi="Helvetica Neue"/>
          <w:b/>
          <w:bCs/>
          <w:color w:val="999999"/>
          <w:sz w:val="17"/>
          <w:szCs w:val="17"/>
        </w:rPr>
        <w:t xml:space="preserve">Current Roles</w:t>
      </w:r>
    </w:p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2022 – Present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Technical Writer &amp; Developer, AI Documentation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Independent  ·  Contract  ·  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Spec-to-Docs Pipelines  </w:t>
            </w: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Builds end-to-end documentation pipelines that ingest OpenAPI/Swagger specs, JSON Schema, and Postman collections and produce accurate API references, developer guides, and quickstart tutorials; deploys to production via Vercel with CI/CD.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Agentic QA &amp; Docs-as-Tests  </w:t>
            </w: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Designs agentic QA workflows in Python where AI agents autonomously exercise API endpoints, construct adversarial payloads, and validate response schemas; applies docs-as-tests methodology to flag discrepancies between live behavior and documented contracts and keep code samples continuously verified.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Agent Development  </w:t>
            </w: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Builds production-grade AI agents using the Anthropic SDK, LangChain, and LangGraph; designs tool-use loops, manages multi-agent state, and integrates MCP servers (Gmail, Calendar, Drive) into agentic pipelines.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Prompt Engineering &amp; Safety  </w:t>
            </w: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Fluent across the Claude model family; deep experience with chain-of-thought, few-shot, and XML-structured prompting; working knowledge of Constitutional AI, prompt injection defense, context windows, and hallucination risk.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2024 – Present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Fiction Editor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The Rumpus  ·  Part-time  ·  Remote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Manages the end-to-end editorial workflow for a high-volume independent literary publication under Editor-in-Chief Roxane Gay — submission intake, triage, structural editing, copyediting, and production handoff — applying consistent quality criteria across hundreds of submissions per cycle.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2022 – Present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Bookseller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Fabulosa Books  ·  Part-time  ·  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Built agentic workflows to automate special order sourcing, event scheduling, and promotional outreach for an independent bookselling business carrying new, rare, and vintage titles.</w:t>
            </w:r>
          </w:p>
        </w:tc>
      </w:tr>
    </w:tbl>
    <w:p>
      <w:pPr>
        <w:spacing w:after="48" w:before="260"/>
      </w:pPr>
      <w:r>
        <w:rPr>
          <w:rFonts w:ascii="Helvetica Neue" w:cs="Helvetica Neue" w:eastAsia="Helvetica Neue" w:hAnsi="Helvetica Neue"/>
          <w:b/>
          <w:bCs/>
          <w:color w:val="999999"/>
          <w:sz w:val="17"/>
          <w:szCs w:val="17"/>
        </w:rPr>
        <w:t xml:space="preserve">Career History</w:t>
      </w:r>
    </w:p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2020 – 2024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MFA Teaching Fellow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San Francisco State University  ·  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Directed a 12-member editorial team through biannual production of Transfer Literary Magazine, managing hundreds of submissions per cycle across the full editorial and production pipeline.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Designed and delivered undergraduate writing courses for 20–45 students per class, with emphasis on precision, clarity, and audience-aware prose.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2017 – 2020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Technical Lead Manager / Staff Engineer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Slack Technologies  ·  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Produced API references, integration guides, SDK documentation, and platform tutorials that contributed to the Slack developer documentation ecosystem and were adopted by external developers as a primary implementation reference.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Designed and ran weekly coding workshops covering Slack platform development, Node.js, and QA tooling; served as official onboarding for engineers from non-traditional backgrounds; attendees independently shipped on the platform.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Led testing strategy across 8 concurrent feature teams (Hack/HHVM, React/Redux, Electron, WebSockets); drove frontend coverage to 90%; scaled QA capacity 3x across SF, Vancouver, and Pune.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Directed 4 senior/staff engineers; promoted 3 to senior-level; designed a technical interviewing framework and rubric adopted company-wide.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2015 – 2017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Senior QA Specialist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Appthority (acquired by Symantec)  ·  San Francisco,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Engineered end-to-end testing infrastructure for a mobile app risk management platform; authored API specs, test plan documentation, and internal architecture records that transferred through the Symantec acquisition.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2012 – 2015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Senior QA Engineer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GoPro  ·  San Mateo,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Architected a Ruby-based REST API testing framework with OAuth integration; wrote and delivered performance testing curriculum to 30+ developers; produced runbooks that reduced integrated environment load testing by 70%.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2006 – 2012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QA Engineer &amp; Manager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KIT digital  ·  Coincident.tv  ·  Adobe Systems  ·  San Francisco Bay Area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QA engineering and management across video streaming and creative software; produced test plans, release notes, and architecture documentation; managed quality for clients including ESPN and Clear Channel.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1997 – 2006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4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9"/>
                <w:szCs w:val="19"/>
              </w:rPr>
              <w:t xml:space="preserve">QA Engineer / Sales Engineer</w:t>
            </w:r>
          </w:p>
          <w:p>
            <w:pPr>
              <w:spacing w:after="18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Keepmedia  ·  FutureTrade Technologies  ·  Pixel Translations  ·  Bay Area / Los Angeles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QA and sales engineering across digital media, fintech, and software; established a documentation practice — runbooks, API specs, user guides — that ran alongside every technical role.</w:t>
            </w:r>
          </w:p>
        </w:tc>
      </w:tr>
    </w:tbl>
    <w:p>
      <w:pPr>
        <w:spacing w:after="48" w:before="260"/>
      </w:pPr>
      <w:r>
        <w:rPr>
          <w:rFonts w:ascii="Helvetica Neue" w:cs="Helvetica Neue" w:eastAsia="Helvetica Neue" w:hAnsi="Helvetica Neue"/>
          <w:b/>
          <w:bCs/>
          <w:color w:val="999999"/>
          <w:sz w:val="17"/>
          <w:szCs w:val="17"/>
        </w:rPr>
        <w:t xml:space="preserve">Skills &amp; Tools</w:t>
      </w:r>
    </w:p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1530"/>
        <w:gridCol w:w="612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153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Writing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API docs, developer guides, runbooks, release notes, UX copy, style guides</w:t>
            </w:r>
          </w:p>
        </w:tc>
      </w:tr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153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AI / ML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Anthropic SDK, LangChain / LangGraph, MCP integration, multi-agent systems</w:t>
            </w:r>
          </w:p>
        </w:tc>
      </w:tr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153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Dev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Python, Node.js, Git / GitHub, Vercel, REST, OpenAPI / Swagger, JSON Schema, CI/CD</w:t>
            </w:r>
          </w:p>
        </w:tc>
      </w:tr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153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Doc Tools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Markdown, Confluence, Notion, Vale, Docs-as-Code, Postman</w:t>
            </w:r>
          </w:p>
        </w:tc>
      </w:tr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153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Editing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Structural, developmental, copyediting; AI-assisted manuscript evaluation and feedback</w:t>
            </w:r>
          </w:p>
        </w:tc>
      </w:tr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306"/>
            </w:tcMar>
          </w:tcPr>
          <w:p/>
        </w:tc>
        <w:tc>
          <w:tcPr>
            <w:tcW w:type="dxa" w:w="153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6"/>
              <w:left w:type="dxa" w:w="140"/>
              <w:bottom w:type="dxa" w:w="6"/>
              <w:right w:type="dxa" w:w="120"/>
            </w:tcMar>
          </w:tcPr>
          <w:p>
            <w:r>
              <w:rPr>
                <w:rFonts w:ascii="Helvetica Neue" w:cs="Helvetica Neue" w:eastAsia="Helvetica Neue" w:hAnsi="Helvetica Neue"/>
                <w:b/>
                <w:bCs/>
                <w:color w:val="2A2A2A"/>
                <w:sz w:val="14"/>
                <w:szCs w:val="14"/>
              </w:rPr>
              <w:t xml:space="preserve">Domains</w:t>
            </w:r>
          </w:p>
        </w:tc>
        <w:tc>
          <w:tcPr>
            <w:tcW w:type="dxa" w:w="6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Developer platforms, AI / LLM tooling, SaaS, fintech, security, creative industries</w:t>
            </w:r>
          </w:p>
        </w:tc>
      </w:tr>
    </w:tbl>
    <w:p>
      <w:pPr>
        <w:spacing w:after="48" w:before="260"/>
      </w:pPr>
      <w:r>
        <w:rPr>
          <w:rFonts w:ascii="Helvetica Neue" w:cs="Helvetica Neue" w:eastAsia="Helvetica Neue" w:hAnsi="Helvetica Neue"/>
          <w:b/>
          <w:bCs/>
          <w:color w:val="999999"/>
          <w:sz w:val="17"/>
          <w:szCs w:val="17"/>
        </w:rPr>
        <w:t xml:space="preserve">Education</w:t>
      </w:r>
    </w:p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2024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2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5"/>
                <w:szCs w:val="15"/>
              </w:rPr>
              <w:t xml:space="preserve">MFA, Creative Writing</w:t>
            </w:r>
          </w:p>
          <w:p>
            <w:pPr>
              <w:spacing w:after="2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San Francisco State University</w:t>
            </w:r>
          </w:p>
          <w:p>
            <w:pPr>
              <w:spacing w:after="2" w:before="0"/>
            </w:pPr>
            <w:r>
              <w:rPr>
                <w:rFonts w:ascii="Helvetica Neue" w:cs="Helvetica Neue" w:eastAsia="Helvetica Neue" w:hAnsi="Helvetica Neue"/>
                <w:i/>
                <w:iCs/>
                <w:color w:val="999999"/>
                <w:sz w:val="13"/>
                <w:szCs w:val="13"/>
              </w:rPr>
              <w:t xml:space="preserve">Fiction  ·  Published in Sewanee Review and Fourteen Hills</w:t>
            </w:r>
          </w:p>
          <w:p>
            <w:pPr>
              <w:spacing w:after="2" w:before="0"/>
            </w:pPr>
            <w:r>
              <w:rPr>
                <w:rFonts w:ascii="Helvetica Neue" w:cs="Helvetica Neue" w:eastAsia="Helvetica Neue" w:hAnsi="Helvetica Neue"/>
                <w:i/>
                <w:iCs/>
                <w:color w:val="999999"/>
                <w:sz w:val="13"/>
                <w:szCs w:val="13"/>
              </w:rPr>
              <w:t xml:space="preserve">Bread Loaf  ·  Sewanee Writers’ Conference  ·  Tin House  ·  Kenyon Review</w:t>
            </w:r>
          </w:p>
          <w:p>
            <w:pPr>
              <w:spacing w:after="36" w:before="0"/>
            </w:pPr>
            <w:r>
              <w:rPr>
                <w:rFonts w:ascii="Helvetica Neue" w:cs="Helvetica Neue" w:eastAsia="Helvetica Neue" w:hAnsi="Helvetica Neue"/>
                <w:i/>
                <w:iCs/>
                <w:color w:val="999999"/>
                <w:sz w:val="13"/>
                <w:szCs w:val="13"/>
              </w:rPr>
              <w:t xml:space="preserve">Writer in Residence, Ruth Asawa School of the Arts (SFUSD)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1995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2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5"/>
                <w:szCs w:val="15"/>
              </w:rPr>
              <w:t xml:space="preserve">BA, English &amp; Philosophy</w:t>
            </w:r>
          </w:p>
          <w:p>
            <w:pPr>
              <w:spacing w:after="36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University of California, Santa Barbara</w:t>
            </w:r>
          </w:p>
        </w:tc>
      </w:tr>
    </w:tbl>
    <w:tbl>
      <w:tblPr>
        <w:tblW w:type="dxa" w:w="91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30"/>
        <w:gridCol w:w="7650"/>
      </w:tblGrid>
      <w:tr>
        <w:tc>
          <w:tcPr>
            <w:tcW w:type="dxa" w:w="15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"/>
              <w:left w:type="dxa" w:w="0"/>
              <w:bottom w:type="dxa" w:w="0"/>
              <w:right w:type="dxa" w:w="306"/>
            </w:tcMar>
          </w:tcPr>
          <w:p>
            <w:pPr>
              <w:spacing w:after="0" w:before="0"/>
            </w:pPr>
            <w:r>
              <w:rPr>
                <w:rFonts w:ascii="Helvetica Neue" w:cs="Helvetica Neue" w:eastAsia="Helvetica Neue" w:hAnsi="Helvetica Neue"/>
                <w:color w:val="999999"/>
                <w:sz w:val="14"/>
                <w:szCs w:val="14"/>
              </w:rPr>
              <w:t xml:space="preserve">2020</w:t>
            </w:r>
          </w:p>
        </w:tc>
        <w:tc>
          <w:tcPr>
            <w:tcW w:type="dxa" w:w="7650"/>
            <w:tcBorders>
              <w:top w:val="none" w:color="FFFFFF" w:sz="0"/>
              <w:left w:val="single" w:color="DDDDDD" w:sz="1" w:space="0"/>
              <w:bottom w:val="none" w:color="FFFFFF" w:sz="0"/>
              <w:right w:val="none" w:color="FFFFFF" w:sz="0"/>
            </w:tcBorders>
            <w:tcMar>
              <w:top w:type="dxa" w:w="0"/>
              <w:left w:type="dxa" w:w="140"/>
              <w:bottom w:type="dxa" w:w="0"/>
              <w:right w:type="dxa" w:w="0"/>
            </w:tcMar>
          </w:tcPr>
          <w:p>
            <w:pPr>
              <w:spacing w:after="2" w:before="0"/>
            </w:pPr>
            <w:r>
              <w:rPr>
                <w:rFonts w:ascii="Helvetica Neue" w:cs="Helvetica Neue" w:eastAsia="Helvetica Neue" w:hAnsi="Helvetica Neue"/>
                <w:b/>
                <w:bCs/>
                <w:color w:val="000000"/>
                <w:sz w:val="15"/>
                <w:szCs w:val="15"/>
              </w:rPr>
              <w:t xml:space="preserve">Certificate in Professional Editing</w:t>
            </w:r>
          </w:p>
          <w:p>
            <w:pPr>
              <w:spacing w:after="36" w:before="0"/>
            </w:pPr>
            <w:r>
              <w:rPr>
                <w:rFonts w:ascii="Helvetica Neue" w:cs="Helvetica Neue" w:eastAsia="Helvetica Neue" w:hAnsi="Helvetica Neue"/>
                <w:color w:val="666666"/>
                <w:sz w:val="14"/>
                <w:szCs w:val="14"/>
              </w:rPr>
              <w:t xml:space="preserve">UC Berkeley Extension</w:t>
            </w:r>
          </w:p>
        </w:tc>
      </w:tr>
    </w:tbl>
    <w:sectPr>
      <w:pgSz w:w="12240" w:h="15840" w:orient="portrait"/>
      <w:pgMar w:top="1148" w:right="1530" w:bottom="2295" w:left="15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160"/>
      </w:pPr>
      <w:rPr>
        <w:rFonts w:ascii="Helvetica Neue" w:cs="Helvetica Neue" w:eastAsia="Helvetica Neue" w:hAnsi="Helvetica Neue"/>
        <w:color w:val="999999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0nq5imnn4jrtbxibkaog" Type="http://schemas.openxmlformats.org/officeDocument/2006/relationships/hyperlink" Target="mailto:wsgong@ws-gong.com" TargetMode="External"/><Relationship Id="rIdn4djfte65fwlfdwx9llq0" Type="http://schemas.openxmlformats.org/officeDocument/2006/relationships/hyperlink" Target="https://www.linkedin.com/in/billy-gong" TargetMode="External"/><Relationship Id="rIdcn-wdwebmirg_jdfat__c" Type="http://schemas.openxmlformats.org/officeDocument/2006/relationships/hyperlink" Target="https://tech.ws-gong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2026-03-19T05:07:40.459Z</dcterms:created>
  <dcterms:modified xsi:type="dcterms:W3CDTF">2026-03-19T05:07:40.460Z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