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Sarabun" w:cs="Sarabun" w:eastAsia="Sarabun" w:hAnsi="Sarabun"/>
          <w:b/>
          <w:bCs/>
          <w:color w:val="1E40AF"/>
          <w:sz w:val="72"/>
          <w:szCs w:val="72"/>
        </w:rPr>
        <w:t xml:space="preserve">Stock Pro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1F2937"/>
          <w:sz w:val="36"/>
          <w:szCs w:val="36"/>
        </w:rPr>
        <w:t xml:space="preserve">คู่มือการใช้งานระบบจัดการคลังสินค้า</w:t>
      </w:r>
    </w:p>
    <w:p>
      <w:pPr>
        <w:spacing w:after="400"/>
        <w:jc w:val="center"/>
      </w:pPr>
      <w:r>
        <w:rPr>
          <w:rFonts w:ascii="Sarabun" w:cs="Sarabun" w:eastAsia="Sarabun" w:hAnsi="Sarabun"/>
          <w:color w:val="6B7280"/>
          <w:sz w:val="26"/>
          <w:szCs w:val="26"/>
        </w:rPr>
        <w:t xml:space="preserve">Warehouse Management System — User Manual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10 พฤษภาคม 2569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URL ระบบ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https://stock-pro-warehouse-management-w4w7.vercel.app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ผู้ดูแลระบบ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admin@test.com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ภาษา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ภาษาไทย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1. ภาพรวมระบบ (System Overview)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Stock Pro คือระบบจัดการคลังสินค้าออนไลน์ที่ช่วยให้ผู้ดูแลระบบสามารถติดตามสินค้า ลูกค้า ซัพพลายเออร์ และการเคลื่อนไหวของสินค้าเข้า-ออกได้อย่างมีประสิทธิภาพ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หน้าหลัก (Dashboard)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แสดงสรุปข้อมูลสำคัญของระบบ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สินค้า (Products)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จัดการรายการสินค้าในคลัง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ลูกค้า (Customers)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จัดการข้อมูลลูกค้า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ซัพพลายเออร์ (Suppliers)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จัดการข้อมูลผู้จัดจำหน่าย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นำเข้าสินค้า (Inbound)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บันทึกสินค้าที่รับเข้าคลัง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ส่งออกสินค้า (Outbound)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บันทึกสินค้าที่ออกจากคลัง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2. การเข้าสู่ระบบ (Login)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เปิดเบราว์เซอร์และไปที่ URL: https://stock-pro-warehouse-management-w4w7.vercel.app/auth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หน้าเข้าสู่ระบบ (Login Page)</w:t>
      </w:r>
    </w:p>
    <w:p>
      <w:pPr>
        <w:pStyle w:val="Heading2"/>
        <w:spacing w:after="160" w:before="300"/>
      </w:pPr>
      <w:r>
        <w:t xml:space="preserve">ขั้นตอนการเข้าสู่ระบบ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กรอก Email ในช่อง "name@company.com"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กรอก Password ในช่องรหัสผ่าน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กดปุ่ม "เข้าสู่ระบบ"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ระบบจะนำไปยังหน้า Dashboard โดยอัตโนมัติ</w:t>
      </w:r>
    </w:p>
    <w:p>
      <w:pPr>
        <w:spacing w:after="120"/>
      </w:pPr>
    </w:p>
    <w:p>
      <w:pPr>
        <w:shd w:fill="EFF6FF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1E40AF"/>
          <w:sz w:val="20"/>
          <w:szCs w:val="20"/>
        </w:rPr>
        <w:t xml:space="preserve">หมายเหตุ: </w:t>
      </w:r>
      <w:r>
        <w:rPr>
          <w:rFonts w:ascii="Sarabun" w:cs="Sarabun" w:eastAsia="Sarabun" w:hAnsi="Sarabun"/>
          <w:color w:val="6B7280"/>
          <w:sz w:val="20"/>
          <w:szCs w:val="20"/>
        </w:rPr>
        <w:t xml:space="preserve">หากลืมรหัสผ่าน กดปุ่ม "ลืมรหัสผ่าน?" ด้านบนปุ่มเข้าสู่ระบบ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3. หน้าหลัก (Dashboard)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หน้าหลักแสดงสรุปข้อมูลสำคัญของระบบ ได้แก่ จำนวนสินค้า ลูกค้า ซัพพลายเออร์ และสินค้าเคลื่อนไหวประจำเดือน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หน้าหลัก (Dashboard)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หน้าหลัก — แสดงผลเต็มหน้า</w:t>
      </w:r>
    </w:p>
    <w:p>
      <w:pPr>
        <w:pStyle w:val="Heading2"/>
        <w:spacing w:after="160" w:before="300"/>
      </w:pPr>
      <w:r>
        <w:t xml:space="preserve">ข้อมูลที่แสดงบนหน้าหลัก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สินค้าทั้งหมด — จำนวนสินค้าในระบบ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ลูกค้าทั้งหมด — จำนวนลูกค้าที่ลงทะเบียน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ซัพพลายเออร์ — จำนวนผู้จัดจำหน่าย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สินค้าเข้า (เดือนนี้) — จำนวนสินค้าที่รับเข้าเดือนปัจจุบัน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สินค้าออก (เดือนนี้) — จำนวนสินค้าที่ออกเดือนปัจจุบัน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สต็อกใกล้หมด — สินค้าที่ปริมาณต่ำกว่าเกณฑ์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4. จัดการสินค้า (Products)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หน้าสินค้าแสดงรายการสินค้าทั้งหมดในคลัง พร้อมข้อมูลปริมาณและสถานะ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หน้าจัดการสินค้า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รายการสินค้าทั้งหมด</w:t>
      </w:r>
    </w:p>
    <w:p>
      <w:pPr>
        <w:pStyle w:val="Heading2"/>
        <w:spacing w:after="160" w:before="300"/>
      </w:pPr>
      <w:r>
        <w:t xml:space="preserve">การดูรายละเอียดสินค้า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คลิกที่แถวสินค้าเพื่อดูข้อมูลรายละเอียด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หน้ารายละเอียดสินค้า</w:t>
      </w:r>
    </w:p>
    <w:p>
      <w:pPr>
        <w:pStyle w:val="Heading2"/>
        <w:spacing w:after="160" w:before="300"/>
      </w:pPr>
      <w:r>
        <w:t xml:space="preserve">ฟังก์ชันในหน้าสินค้า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ดูรายการสินค้าทั้งหมด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ค้นหาสินค้าด้วยชื่อหรือรหัส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ดูปริมาณสต็อกปัจจุบัน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ตรวจสอบสินค้าที่ใกล้หมด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5. จัดการลูกค้า (Customers)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หน้าลูกค้าแสดงรายชื่อลูกค้าทั้งหมดพร้อมข้อมูลติดต่อ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หน้าจัดการลูกค้า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รายการลูกค้าทั้งหมด</w:t>
      </w:r>
    </w:p>
    <w:p>
      <w:pPr>
        <w:pStyle w:val="Heading2"/>
        <w:spacing w:after="160" w:before="300"/>
      </w:pPr>
      <w:r>
        <w:t xml:space="preserve">ฟังก์ชันในหน้าลูกค้า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ดูรายชื่อลูกค้าทั้งหมด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ค้นหาลูกค้าด้วยชื่อหรือข้อมูลติดต่อ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เพิ่ม/แก้ไข/ลบข้อมูลลูกค้า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6. จัดการซัพพลายเออร์ (Suppliers)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หน้าซัพพลายเออร์แสดงรายชื่อผู้จัดจำหน่ายสินค้าทั้งหมด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หน้าจัดการซัพพลายเออร์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รายการซัพพลายเออร์ทั้งหมด</w:t>
      </w:r>
    </w:p>
    <w:p>
      <w:pPr>
        <w:pStyle w:val="Heading2"/>
        <w:spacing w:after="160" w:before="300"/>
      </w:pPr>
      <w:r>
        <w:t xml:space="preserve">ฟังก์ชันในหน้าซัพพลายเออร์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ดูรายชื่อซัพพลายเออร์ทั้งหมด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ข้อมูลติดต่อผู้จัดจำหน่าย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เพิ่ม/แก้ไข/ลบข้อมูลซัพพลายเออร์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7. นำเข้าสินค้า (Inbound Products)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หน้านำเข้าสินค้าใช้สำหรับบันทึกสินค้าที่รับเข้าคลัง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หน้านำเข้าสินค้า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รายการนำเข้าสินค้า</w:t>
      </w:r>
    </w:p>
    <w:p>
      <w:pPr>
        <w:pStyle w:val="Heading2"/>
        <w:spacing w:after="160" w:before="300"/>
      </w:pPr>
      <w:r>
        <w:t xml:space="preserve">ขั้นตอนการบันทึกสินค้าเข้า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กดปุ่มเพิ่มรายการนำเข้า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เลือกสินค้าและซัพพลายเออร์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กรอกจำนวนที่รับเข้า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บันทึกข้อมูล — ระบบจะอัปเดตสต็อกอัตโนมัติ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8. ส่งออกสินค้า (Outbound Products)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หน้าส่งออกสินค้าใช้สำหรับบันทึกสินค้าที่ออกจากคลัง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หน้าส่งออกสินค้า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รายการส่งออกสินค้า</w:t>
      </w:r>
    </w:p>
    <w:p>
      <w:pPr>
        <w:pStyle w:val="Heading2"/>
        <w:spacing w:after="160" w:before="300"/>
      </w:pPr>
      <w:r>
        <w:t xml:space="preserve">ขั้นตอนการบันทึกสินค้าออก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กดปุ่มเพิ่มรายการส่งออก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เลือกสินค้าและลูกค้า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กรอกจำนวนที่ส่งออก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บันทึกข้อมูล — ระบบจะหักสต็อกอัตโนมัติ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9. การใช้งานบนมือถือ (Mobile)</w:t>
      </w:r>
    </w:p>
    <w:p>
      <w:pPr>
        <w:spacing w:after="120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ระบบรองรับการใช้งานบนอุปกรณ์มือถือและแท็บเล็ต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2857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หน้าหลักบนมือถือ (375px)</w:t>
      </w:r>
    </w:p>
    <w:p>
      <w:pPr>
        <w:spacing w:after="80" w:before="160"/>
        <w:jc w:val="center"/>
      </w:pPr>
      <w:r>
        <w:drawing>
          <wp:inline distT="0" distB="0" distL="0" distR="0">
            <wp:extent cx="2857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arabun" w:cs="Sarabun" w:eastAsia="Sarabun" w:hAnsi="Sarabun"/>
          <w:i/>
          <w:iCs/>
          <w:color w:val="6B7280"/>
          <w:sz w:val="18"/>
          <w:szCs w:val="18"/>
        </w:rPr>
        <w:t xml:space="preserve">หน้าสินค้าบนมือถือ</w:t>
      </w:r>
    </w:p>
    <w:p>
      <w:r>
        <w:br w:type="page"/>
      </w:r>
    </w:p>
    <w:p>
      <w:pPr>
        <w:pStyle w:val="Heading1"/>
        <w:pBdr>
          <w:bottom w:val="single" w:color="1E40AF" w:sz="4"/>
        </w:pBdr>
        <w:spacing w:after="200" w:before="400"/>
      </w:pPr>
      <w:r>
        <w:t xml:space="preserve">10. ข้อมูลอ้างอิงด่วน (Quick Reference)</w:t>
      </w:r>
    </w:p>
    <w:p>
      <w:pPr>
        <w:pStyle w:val="Heading2"/>
        <w:spacing w:after="160" w:before="300"/>
      </w:pPr>
      <w:r>
        <w:t xml:space="preserve">URL ของระบบ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เข้าสู่ระบบ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https://stock-pro-warehouse-management-w4w7.vercel.app/auth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หน้าหลัก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https://stock-pro-warehouse-management-w4w7.vercel.app/dashboard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สินค้า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https://stock-pro-warehouse-management-w4w7.vercel.app/products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ลูกค้า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https://stock-pro-warehouse-management-w4w7.vercel.app/customers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ซัพพลายเออร์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https://stock-pro-warehouse-management-w4w7.vercel.app/suppliers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นำเข้าสินค้า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https://stock-pro-warehouse-management-w4w7.vercel.app/inbounds-products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rFonts w:ascii="Sarabun" w:cs="Sarabun" w:eastAsia="Sarabun" w:hAnsi="Sarabun"/>
                <w:b/>
                <w:bCs/>
                <w:color w:val="1E40AF"/>
                <w:sz w:val="20"/>
                <w:szCs w:val="20"/>
              </w:rPr>
              <w:t xml:space="preserve">ส่งออกสินค้า</w:t>
            </w:r>
          </w:p>
        </w:tc>
        <w:tc>
          <w:tcPr>
            <w:tcW w:type="pct" w:w="65%"/>
          </w:tcPr>
          <w:p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https://stock-pro-warehouse-management-w4w7.vercel.app/outbounds-products</w:t>
            </w:r>
          </w:p>
        </w:tc>
      </w:tr>
    </w:tbl>
    <w:p>
      <w:pPr>
        <w:spacing w:after="240"/>
      </w:pPr>
    </w:p>
    <w:p>
      <w:pPr>
        <w:pStyle w:val="Heading2"/>
        <w:spacing w:after="160" w:before="300"/>
      </w:pPr>
      <w:r>
        <w:t xml:space="preserve">เบราว์เซอร์ที่รองรับ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Google Chrome (แนะนำ)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Mozilla Firefox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Microsoft Edge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1F2937"/>
          <w:sz w:val="22"/>
          <w:szCs w:val="22"/>
        </w:rPr>
        <w:t xml:space="preserve">• Safari (iOS/macOS)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Sarabun" w:cs="Sarabun" w:eastAsia="Sarabun" w:hAnsi="Sarabun"/>
      <w:b/>
      <w:bCs/>
      <w:color w:val="1E40AF"/>
      <w:sz w:val="32"/>
      <w:szCs w:val="32"/>
    </w:rPr>
  </w:style>
  <w:style w:type="paragraph" w:styleId="Heading2">
    <w:name w:val="Heading 2"/>
    <w:rPr>
      <w:rFonts w:ascii="Sarabun" w:cs="Sarabun" w:eastAsia="Sarabun" w:hAnsi="Sarabun"/>
      <w:b/>
      <w:bCs/>
      <w:color w:val="1F2937"/>
      <w:sz w:val="26"/>
      <w:szCs w:val="26"/>
    </w:rPr>
  </w:style>
  <w:style w:type="paragraph" w:styleId="Heading3">
    <w:name w:val="Heading 3"/>
    <w:rPr>
      <w:rFonts w:ascii="Sarabun" w:cs="Sarabun" w:eastAsia="Sarabun" w:hAnsi="Sarabun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70429a09d2be81d5cf30fdfc3d737b6c9c25da.png"/><Relationship Id="rId8" Type="http://schemas.openxmlformats.org/officeDocument/2006/relationships/image" Target="media/bf23e478c74913e5d9f53253db5fe6e5cc98c67b.png"/><Relationship Id="rId9" Type="http://schemas.openxmlformats.org/officeDocument/2006/relationships/image" Target="media/1c764d1c75392702704dc06df4225f09adc8f99c.png"/><Relationship Id="rId10" Type="http://schemas.openxmlformats.org/officeDocument/2006/relationships/image" Target="media/42555a97d9551466328597f1dacf34587ea15866.png"/><Relationship Id="rId11" Type="http://schemas.openxmlformats.org/officeDocument/2006/relationships/image" Target="media/4acde898c4977b631bb41a259ce281bc05e262c5.png"/><Relationship Id="rId12" Type="http://schemas.openxmlformats.org/officeDocument/2006/relationships/image" Target="media/3a516b982984d1e4651bb3418cdc081f21ca8f96.png"/><Relationship Id="rId13" Type="http://schemas.openxmlformats.org/officeDocument/2006/relationships/image" Target="media/056bd648e39f91817c22ed820ae511cd2c808dd5.png"/><Relationship Id="rId14" Type="http://schemas.openxmlformats.org/officeDocument/2006/relationships/image" Target="media/0aadf17d31ac5bb228ec91671a857d900337e27d.png"/><Relationship Id="rId15" Type="http://schemas.openxmlformats.org/officeDocument/2006/relationships/image" Target="media/d2f95e9c0d76f44ad102e8be0a0034e1056a88f3.png"/><Relationship Id="rId16" Type="http://schemas.openxmlformats.org/officeDocument/2006/relationships/image" Target="media/4dbcba2d1a95d13e45bdbed7234bd1412f2b5e86.png"/><Relationship Id="rId17" Type="http://schemas.openxmlformats.org/officeDocument/2006/relationships/image" Target="media/319cc1b20504496fd48800fff39923c1a9d6a426.png"/><Relationship Id="rId18" Type="http://schemas.openxmlformats.org/officeDocument/2006/relationships/image" Target="media/53966f4cda148d71cbb9bd7423ce3dad702e9ebd.png"/><Relationship Id="rId19" Type="http://schemas.openxmlformats.org/officeDocument/2006/relationships/image" Target="media/859d190bbb86e86a8a6198b411c0376402acaf6b.png"/><Relationship Id="rId20" Type="http://schemas.openxmlformats.org/officeDocument/2006/relationships/image" Target="media/05bfea3ed577b1a36bbc02c8c8b41df2769cda1a.png"/><Relationship Id="rId21" Type="http://schemas.openxmlformats.org/officeDocument/2006/relationships/image" Target="media/eca91c1e96dd93b8d2d6bc1fcb9e95f1323460ee.png"/><Relationship Id="rId22" Type="http://schemas.openxmlformats.org/officeDocument/2006/relationships/image" Target="media/2d3b5a629ec2472458c190b97433af2853bdab6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2026-05-10T11:53:24.474Z</dcterms:created>
  <dcterms:modified xsi:type="dcterms:W3CDTF">2026-05-10T11:53:24.475Z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