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[Instituição de Ensino]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Disciplina: Engenharia Econômica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Plataforma Inteligente Integrada de Monitoramento Rural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5A2E"/>
          <w:sz w:val="26"/>
          <w:szCs w:val="26"/>
        </w:rPr>
        <w:t xml:space="preserve">IA · Drones · IoT · Visão Computacional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Relatório de Viabilidade Econômica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Equipe: [preencher]</w:t>
      </w:r>
    </w:p>
    <w:p>
      <w:pPr>
        <w:spacing w:after="1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 (nome a definir)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Goiânia, GO — 2026</w:t>
      </w: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Plataforma Inteligente Integrada de Monitoramento Rural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IA · Drones · IoT · Visão Computacional — Relatório de Viabilidade (Engenharia Econômica)</w:t>
      </w:r>
    </w:p>
    <w:p>
      <w:pP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Equipe: [preencher]  ·  Data: [preencher]/2026  ·  Produto (nome a definir)</w:t>
      </w:r>
    </w:p>
    <w:p>
      <w:pPr>
        <w:pBdr>
          <w:left w:val="single" w:color="2E5A2E" w:sz="18" w:space="8"/>
        </w:pBdr>
        <w:shd w:fill="EAF1EA" w:val="clear"/>
        <w:spacing w:after="120" w:before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Os valores financeiros deste relatório são premissas de trabalho conferidas matematicamente, não dados de mercado verificados. A versão final deve substituí-los pelas cotações e preços de concorrentes coletados (Seção 4). A planilha modelo_financeiro.xlsx recalcula tudo automaticamente ao editar as premissas.</w:t>
      </w:r>
    </w:p>
    <w:p>
      <w:pPr>
        <w:pStyle w:val="Heading2"/>
      </w:pPr>
      <w:r>
        <w:rPr>
          <w:rFonts w:ascii="Arial" w:cs="Arial" w:eastAsia="Arial" w:hAnsi="Arial"/>
        </w:rPr>
        <w:t xml:space="preserve">Resumo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Este relatório avalia a viabilidade econômica de uma plataforma B2B de monitoramento rural que integra drones, IoT e visão computacional com IA, voltada a médias e grandes fazendas de grãos. Comparam-se três modelos de receita (SaaS, DaaS e Híbrido) pelos indicadores de Engenharia Econômica — VPL, TIR, payback simples e descontado, IBC e ROIA — usando a Selic vigente como base da TMA. O modelo Híbrido (taxa de implantação + assinatura por hectare) é o recomendado, com VPL positivo e payback descontado de cerca de três anos. A análise de sensibilidade mostra que a viabilidade depende criticamente da velocidade de adoção de hectares.</w:t>
      </w:r>
    </w:p>
    <w:p>
      <w:pPr>
        <w:pStyle w:val="Heading1"/>
      </w:pPr>
      <w:r>
        <w:rPr>
          <w:rFonts w:ascii="Arial" w:cs="Arial" w:eastAsia="Arial" w:hAnsi="Arial"/>
        </w:rPr>
        <w:t xml:space="preserve">0. Contextualização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O agronegócio brasileiro opera sob margens apertadas, exigência crescente de rastreabilidade e janelas de decisão curtas — pragas, doenças e estresse hídrico comprometem a safra em poucos dias. Simultaneamente, três habilitadores amadureceram: conectividade rural em forte expansão (parcela relevante da área já com 4G/5G), queda no custo de drones e sensores, e IA/visão computacional com precisão operacional. O resultado é uma transição para “fazendas inteligentes”. A demanda já está validada por concorrentes ativos (Perfect Flight, com dezenas de milhões de hectares digitalizados; SIMA, com milhões de hectares monitorados) — o risco não é de mercado, é de execução comercial. O papel da análise econômica é duplo: provar que o investimento se paga, e em quanto tempo, tanto para o produtor quanto para o negócio que oferece a plataforma.</w:t>
      </w:r>
    </w:p>
    <w:p>
      <w:pPr>
        <w:pStyle w:val="Heading1"/>
      </w:pPr>
      <w:r>
        <w:rPr>
          <w:rFonts w:ascii="Arial" w:cs="Arial" w:eastAsia="Arial" w:hAnsi="Arial"/>
        </w:rPr>
        <w:t xml:space="preserve">1. Problema (a dor do cliente)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Médias e grandes fazendas de grãos perdem produtividade por detecção tardia de pragas, doenças, falhas de plantio e estresse hídrico, e gastam mais que o necessário com insumos por aplicação uniforme. Hoje resolvem com inspeção manual amostral e ferramentas fragmentadas (um app de satélite, outro fornecedor de drone, planilha de sensores, ERP à parte — sem integração). As soluções atuais falham por: (i) fragmentação dos dados; (ii) pressuposto de conectividade estável, que quebra no campo; (iii) entrega de “mapas”, não de prescrições acionáveis; e (iv) retorno não demonstrado em R$, o que trava a adoção. A consequência prática é perda financeira recorrente que o produtor sequer mede com precisão.</w:t>
      </w:r>
    </w:p>
    <w:p>
      <w:pPr>
        <w:pStyle w:val="Heading1"/>
      </w:pPr>
      <w:r>
        <w:rPr>
          <w:rFonts w:ascii="Arial" w:cs="Arial" w:eastAsia="Arial" w:hAnsi="Arial"/>
        </w:rPr>
        <w:t xml:space="preserve">2. Proposta de solução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Uma plataforma única que conecta drones, sensores IoT e visão computacional com IA e transforma imagens e leituras em decisões acionáveis: alertas priorizados de praga/doença, mapas de prescrição de taxa variável (VRT) exportáveis para o maquinário e indicadores de produtividade por talhão — funcionando mesmo com conectividade ruim (operação offline-first).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Diferenciais defensáveis: </w:t>
      </w:r>
      <w:r>
        <w:rPr>
          <w:rFonts w:ascii="Arial" w:cs="Arial" w:eastAsia="Arial" w:hAnsi="Arial"/>
          <w:sz w:val="23"/>
          <w:szCs w:val="23"/>
        </w:rPr>
        <w:t xml:space="preserve">integração ponta-a-ponta (drone + IoT + satélite + ERP) em uma camada só; tradução em prescrição e em R$, não apenas visualização; resiliência de conectividade; e base de dados proprietária que melhora os modelos a cada safra (efeito de rede de dados).</w:t>
      </w:r>
    </w:p>
    <w:p>
      <w:pPr>
        <w:pStyle w:val="Heading1"/>
      </w:pPr>
      <w:r>
        <w:rPr>
          <w:rFonts w:ascii="Arial" w:cs="Arial" w:eastAsia="Arial" w:hAnsi="Arial"/>
        </w:rPr>
        <w:t xml:space="preserve">3. Metodologia da solução</w:t>
      </w:r>
    </w:p>
    <w:p>
      <w:pPr>
        <w:pStyle w:val="Heading2"/>
      </w:pPr>
      <w:r>
        <w:rPr>
          <w:rFonts w:ascii="Arial" w:cs="Arial" w:eastAsia="Arial" w:hAnsi="Arial"/>
        </w:rPr>
        <w:t xml:space="preserve">3.1 Técnico — arquitetura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A arquitetura é organizada em camadas, o que permite um MVP enxuto e escala sem reescrever o núcleo. A separação entre borda (campo) e nuvem é a decisão central: tarefas leves e o buffer offline ficam num gateway na fazenda; o processamento pesado (ortomosaico, treino de modelos) fica na nuvem, com custo elástico.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Captação (Edge)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Drone (RGB/multiespectral) + IoT + satélite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Redundância de fonte de 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Borda (Gateway)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Buffer offline, pré-processamento, inferência leve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 conectividade; reduz custo de nuvem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(Nuvem)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Ortomosaico, treino, visão computacional pesada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 elástica de GPU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Dados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Geoespacial + séries temporais + imagens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dado no banco adequado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Dashboard, alertas, mapas de prescrição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Onde o dado vira decisão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prescrição (ISOBUS/ISO-XML) e ERP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“último metro” do valor</w:t>
            </w:r>
          </w:p>
        </w:tc>
      </w:tr>
    </w:tbl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Faseamento: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MVP (uma fonte + um caso de IA + dashboard + 1 fazenda-piloto) → V1 (IoT, satélite e mapa de prescrição) → V2 (modelos preditivos, integrações com maquinário, base multi-fazenda).</w:t>
      </w:r>
    </w:p>
    <w:p>
      <w:pPr>
        <w:pStyle w:val="Heading2"/>
      </w:pPr>
      <w:r>
        <w:rPr>
          <w:rFonts w:ascii="Arial" w:cs="Arial" w:eastAsia="Arial" w:hAnsi="Arial"/>
        </w:rPr>
        <w:t xml:space="preserve">3.2 Financeiro — viabilidade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Indicadores utilizados (e o que cada um mede):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60"/>
        <w:gridCol w:w="27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mede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decisão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 de oportunidade (melhor aplicação de baixo risco)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de desconto do VPL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VPL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Riqueza criada hoje, já descontada a TMA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Viável se VPL &gt; 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que zera o VPL (rentabilidade intrínseca)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Atrativo se TIR &gt; TMA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Payback simples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para recuperar o capital (sem desconto)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Quanto menor, melhor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Payback descontado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para recuperar o capital pagando a TMA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real da criação de valor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presente dos benefícios ÷ investimento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valor se IBC &gt; 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Ganho percentual real acima da TMA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Quanto maior, melhor</w:t>
            </w:r>
          </w:p>
        </w:tc>
      </w:tr>
    </w:tbl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TMA. </w:t>
      </w:r>
      <w:r>
        <w:rPr>
          <w:rFonts w:ascii="Arial" w:cs="Arial" w:eastAsia="Arial" w:hAnsi="Arial"/>
          <w:sz w:val="23"/>
          <w:szCs w:val="23"/>
        </w:rPr>
        <w:t xml:space="preserve">A referência atual é a Selic = 14,50% a.a. (Copom, jun/2026). Usamos três níveis: piso 14,5% (custo de oportunidade puro), recomendada 20% (Selic + prêmio de risco de venture) e estresse 30%.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Premissas centrais (ilustrativas — recalibrar com dados reais):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Investimento inicial (Ano 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R$ 380.000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Horizonte de análise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anos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Curva de adoção (hectares ativos)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mil → 550 mil ha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Fazenda média (médias/grandes grãos)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3.000 ha/cliente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Preço SaaS (modelo recomendado)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R$ 22/ha/ano + implantação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Comparação dos três modelos de receita (à TMA recomendada de 20% a.a.):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A) 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B) DaaS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C) Híbrido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Investimento Ano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R$ 380.000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R$ 380.000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R$ 380.000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VPL (TMA 20%)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R$ 2.788.869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R$ 431.690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R$ 2.937.891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VPL (TMA 14,5%)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R$ 3.581.113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R$ 843.042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R$ 3.743.110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VPL (TMA 30%)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R$ 1.774.627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(R$ 67.162)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R$ 1.903.646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79,9%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28,3%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85,6%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Payback simples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2,91 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4,21 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2,70 anos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Payback descontado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3,20 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4,70 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3,07 anos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8,73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52,8% a.a.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16,4% a.a.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54,2% a.a.</w:t>
            </w:r>
          </w:p>
        </w:tc>
      </w:tr>
    </w:tbl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Leitura (decisão entre alternativas excludentes — método do Módulo 4):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 (Híbrido)</w:t>
      </w:r>
      <w:r>
        <w:rPr>
          <w:rFonts w:ascii="Arial" w:cs="Arial" w:eastAsia="Arial" w:hAnsi="Arial"/>
          <w:sz w:val="23"/>
          <w:szCs w:val="23"/>
        </w:rPr>
        <w:t xml:space="preserve"> é o melhor: a taxa de implantação adianta caixa e dá o menor payback com o maior VPL. Recomendado como modelo principal.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 (SaaS asset-light)</w:t>
      </w:r>
      <w:r>
        <w:rPr>
          <w:rFonts w:ascii="Arial" w:cs="Arial" w:eastAsia="Arial" w:hAnsi="Arial"/>
          <w:sz w:val="23"/>
          <w:szCs w:val="23"/>
        </w:rPr>
        <w:t xml:space="preserve"> é alternativa enxuta, simples de escalar, quase tão boa quanto C.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 (DaaS frota própria)</w:t>
      </w:r>
      <w:r>
        <w:rPr>
          <w:rFonts w:ascii="Arial" w:cs="Arial" w:eastAsia="Arial" w:hAnsi="Arial"/>
          <w:sz w:val="23"/>
          <w:szCs w:val="23"/>
        </w:rPr>
        <w:t xml:space="preserve"> parece atraente (ticket 3× maior), mas é intensivo em capital (46 unidades no Ano 5) e de margem fina (serviço de campo). Resultado: VPL muito menor, payback de ~4,7 anos e valor negativo a 30% de TMA. É a alternativa a rejeitar (ou oferecer só como serviço premium).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Fluxo de caixa do modelo recomendado (C — Híbrido):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(R$)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total (R$)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 líquido (R$)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 acumulado (R$)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(380.000)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(380.000)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716.667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1.115.000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(398.333)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(778.333)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1.840.000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1.752.000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(690.333)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4.120.000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3.136.000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984.000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293.667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8.106.667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5.632.000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2.474.667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2.768.333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13.633.333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9.090.000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4.543.333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7.311.667</w:t>
            </w:r>
          </w:p>
        </w:tc>
      </w:tr>
    </w:tbl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“A partir de quando se tem lucro?” </w:t>
      </w:r>
      <w:r>
        <w:rPr>
          <w:rFonts w:ascii="Arial" w:cs="Arial" w:eastAsia="Arial" w:hAnsi="Arial"/>
          <w:sz w:val="23"/>
          <w:szCs w:val="23"/>
        </w:rPr>
        <w:t xml:space="preserve">— três respostas, da mais simples à mais rigorosa (modelo C):</w:t>
      </w:r>
    </w:p>
    <w:p>
      <w:pPr>
        <w:pStyle w:val="ListParagraph"/>
        <w:numPr>
          <w:ilvl w:val="0"/>
          <w:numId w:val="3"/>
        </w:numPr>
        <w:spacing w:after="90" w:line="320" w:lineRule="auto"/>
      </w:pPr>
      <w:r>
        <w:rPr>
          <w:rFonts w:ascii="Arial" w:cs="Arial" w:eastAsia="Arial" w:hAnsi="Arial"/>
          <w:sz w:val="23"/>
          <w:szCs w:val="23"/>
        </w:rPr>
        <w:t xml:space="preserve">Break-even operacional (fluxo anual deixa de ser negativo): Ano 2 (fluxo +R$ 88 mil).</w:t>
      </w:r>
    </w:p>
    <w:p>
      <w:pPr>
        <w:pStyle w:val="ListParagraph"/>
        <w:numPr>
          <w:ilvl w:val="0"/>
          <w:numId w:val="3"/>
        </w:numPr>
        <w:spacing w:after="90" w:line="320" w:lineRule="auto"/>
      </w:pPr>
      <w:r>
        <w:rPr>
          <w:rFonts w:ascii="Arial" w:cs="Arial" w:eastAsia="Arial" w:hAnsi="Arial"/>
          <w:sz w:val="23"/>
          <w:szCs w:val="23"/>
        </w:rPr>
        <w:t xml:space="preserve">Payback simples (recupera o capital, sem descontar): ≈ 2,7 anos (o acumulado cruza zero no Ano 3).</w:t>
      </w:r>
    </w:p>
    <w:p>
      <w:pPr>
        <w:pStyle w:val="ListParagraph"/>
        <w:numPr>
          <w:ilvl w:val="0"/>
          <w:numId w:val="3"/>
        </w:numPr>
        <w:spacing w:after="90" w:line="320" w:lineRule="auto"/>
      </w:pPr>
      <w:r>
        <w:rPr>
          <w:rFonts w:ascii="Arial" w:cs="Arial" w:eastAsia="Arial" w:hAnsi="Arial"/>
          <w:sz w:val="23"/>
          <w:szCs w:val="23"/>
        </w:rPr>
        <w:t xml:space="preserve">Payback descontado (recupera já pagando a TMA — definição mais rigorosa de início de criação de riqueza): ≈ 3,1 anos. Com horizonte de 5 anos, o projeto é viável: VPL &gt; 0, TIR ≫ TMA e IBC &gt; 1.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Análise de sensibilidade (modelo C — o motor é a adoção):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1800"/>
        <w:gridCol w:w="12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VPL (TMA 20%)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2E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Otimista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adoção +25%, preço +10%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R$ 6.048.934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133,8%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Muito viável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premissas centrais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R$ 2.937.891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85,6%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Viável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Pessimista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adoção −40%, preço −15%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(R$ 381.183)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Inviável no horizonte</w:t>
            </w:r>
          </w:p>
        </w:tc>
      </w:tr>
    </w:tbl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A viabilidade depende da adoção: se a contratação de hectares ficar ~40% abaixo do esperado, o projeto não se paga em 5 anos. A tese é, no fundo, sobre velocidade de aquisição de hectares.</w:t>
      </w:r>
    </w:p>
    <w:p>
      <w:pPr>
        <w:pStyle w:val="Heading1"/>
      </w:pPr>
      <w:r>
        <w:rPr>
          <w:rFonts w:ascii="Arial" w:cs="Arial" w:eastAsia="Arial" w:hAnsi="Arial"/>
        </w:rPr>
        <w:t xml:space="preserve">4. Case Real (dados a coletar)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Para fechar o trabalho, substituir as premissas por dados verificáveis: (1) tamanho de mercado atual com fonte citada e datada; (2) preço e escopo de concorrentes reais (Perfect Flight, SIMA, SSCrop); (3) caso de uma fazenda representativa do Centro-Oeste — área, cultura, perda média por safra, gasto com insumos, horas de inspeção — traduzido em R$ economizados/ano (a proposta de valor quantificada que justifica o preço/ha); (4) cotações reais de drone, sensores, nuvem e equipe para o CAPEX/OPEX; e (5) recálculo dos indicadores na planilha. Como a equipe está em Goiânia, no coração do agro, o acesso a um caso real é uma vantagem.</w:t>
      </w:r>
    </w:p>
    <w:p>
      <w:pPr>
        <w:pStyle w:val="Heading1"/>
      </w:pPr>
      <w:r>
        <w:rPr>
          <w:rFonts w:ascii="Arial" w:cs="Arial" w:eastAsia="Arial" w:hAnsi="Arial"/>
        </w:rPr>
        <w:t xml:space="preserve">5. Riscos e mitigações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Adoção mais lenta que o previsto (risco nº 1): </w:t>
      </w:r>
      <w:r>
        <w:rPr>
          <w:rFonts w:ascii="Arial" w:cs="Arial" w:eastAsia="Arial" w:hAnsi="Arial"/>
          <w:sz w:val="23"/>
          <w:szCs w:val="23"/>
        </w:rPr>
        <w:t xml:space="preserve">pilotos que provem o ROI em R$, canal via cooperativas e revendas, contratos plurianuais.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Conectividade no campo: </w:t>
      </w:r>
      <w:r>
        <w:rPr>
          <w:rFonts w:ascii="Arial" w:cs="Arial" w:eastAsia="Arial" w:hAnsi="Arial"/>
          <w:sz w:val="23"/>
          <w:szCs w:val="23"/>
        </w:rPr>
        <w:t xml:space="preserve">mitigada por design (operação offline-first no gateway de borda).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Custo de nuvem/processamento: </w:t>
      </w:r>
      <w:r>
        <w:rPr>
          <w:rFonts w:ascii="Arial" w:cs="Arial" w:eastAsia="Arial" w:hAnsi="Arial"/>
          <w:sz w:val="23"/>
          <w:szCs w:val="23"/>
        </w:rPr>
        <w:t xml:space="preserve">inferência leve na borda reduz o OPEX variável.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Qualidade do dado e segurança: </w:t>
      </w:r>
      <w:r>
        <w:rPr>
          <w:rFonts w:ascii="Arial" w:cs="Arial" w:eastAsia="Arial" w:hAnsi="Arial"/>
          <w:sz w:val="23"/>
          <w:szCs w:val="23"/>
        </w:rPr>
        <w:t xml:space="preserve">validação humana (agrônomo) sobre as recomendações da IA antes da ação em campo.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Concentração de receita: </w:t>
      </w:r>
      <w:r>
        <w:rPr>
          <w:rFonts w:ascii="Arial" w:cs="Arial" w:eastAsia="Arial" w:hAnsi="Arial"/>
          <w:sz w:val="23"/>
          <w:szCs w:val="23"/>
        </w:rPr>
        <w:t xml:space="preserve">diversificar a base para reduzir dependência de poucos clientes grandes.</w:t>
      </w:r>
    </w:p>
    <w:p>
      <w:pPr>
        <w:pStyle w:val="Heading1"/>
      </w:pPr>
      <w:r>
        <w:rPr>
          <w:rFonts w:ascii="Arial" w:cs="Arial" w:eastAsia="Arial" w:hAnsi="Arial"/>
        </w:rPr>
        <w:t xml:space="preserve">6. Conclusões e próximos passos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O problema é real e validado pelo mercado; a solução tem diferencial defensável (integração + offline-first + prescrição acionável); é construível em fases. No modelo recomendado (Híbrido), a análise indica viabilidade: VPL positivo e TIR muito acima da TMA em todos os níveis testados (14,5% / 20% / 30%), com payback descontado de ~3 anos. A honestidade da análise está na sensibilidade: se a adoção decepcionar (~40% abaixo), o projeto não se paga no horizonte — logo, a decisão de investir é uma decisão sobre a capacidade de acelerar a adoção de hectares.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Próximos passos (MVP até julho): </w:t>
      </w:r>
      <w:r>
        <w:rPr>
          <w:rFonts w:ascii="Arial" w:cs="Arial" w:eastAsia="Arial" w:hAnsi="Arial"/>
          <w:sz w:val="23"/>
          <w:szCs w:val="23"/>
        </w:rPr>
        <w:t xml:space="preserve">(1) construir o ciclo “voo → análise de IA → alerta” com uma fonte de dado e um caso de uso; (2) rodar um piloto em uma fazenda real e medir o R$ economizado; (3) coletar cotações e preços de concorrentes para recalibrar a planilha; (4) consolidar os entregáveis (apresentação, vídeo, artigo) sobre estes números.</w:t>
      </w:r>
    </w:p>
    <w:p>
      <w:pPr>
        <w:pStyle w:val="Heading1"/>
      </w:pPr>
      <w:r>
        <w:rPr>
          <w:rFonts w:ascii="Arial" w:cs="Arial" w:eastAsia="Arial" w:hAnsi="Arial"/>
        </w:rPr>
        <w:t xml:space="preserve">Referências e fontes a verificar</w:t>
      </w:r>
    </w:p>
    <w:p>
      <w:pPr>
        <w:spacing w:after="160" w:line="360" w:lineRule="auto"/>
        <w:jc w:val="both"/>
      </w:pPr>
      <w:r>
        <w:rPr>
          <w:rFonts w:ascii="Arial" w:cs="Arial" w:eastAsia="Arial" w:hAnsi="Arial"/>
          <w:sz w:val="23"/>
          <w:szCs w:val="23"/>
        </w:rPr>
        <w:t xml:space="preserve">As premissas devem ser confirmadas, com fonte citada e datada, antes da entrega final: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TMA / Selic: </w:t>
      </w:r>
      <w:r>
        <w:rPr>
          <w:rFonts w:ascii="Arial" w:cs="Arial" w:eastAsia="Arial" w:hAnsi="Arial"/>
          <w:sz w:val="23"/>
          <w:szCs w:val="23"/>
        </w:rPr>
        <w:t xml:space="preserve">Banco Central do Brasil — decisão do Copom (jun/2026). Reconfirmar a taxa vigente na data da apresentação.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Concorrentes: </w:t>
      </w:r>
      <w:r>
        <w:rPr>
          <w:rFonts w:ascii="Arial" w:cs="Arial" w:eastAsia="Arial" w:hAnsi="Arial"/>
          <w:sz w:val="23"/>
          <w:szCs w:val="23"/>
        </w:rPr>
        <w:t xml:space="preserve">Perfect Flight, SIMA e SSCrop — páginas oficiais das empresas (verificar os números de hectares e o escopo de cada serviço).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Conectividade rural: </w:t>
      </w:r>
      <w:r>
        <w:rPr>
          <w:rFonts w:ascii="Arial" w:cs="Arial" w:eastAsia="Arial" w:hAnsi="Arial"/>
          <w:sz w:val="23"/>
          <w:szCs w:val="23"/>
        </w:rPr>
        <w:t xml:space="preserve">usar uma fonte oficial (ex.: pesquisa setorial de conectividade no campo) e citar ano da medição.</w:t>
      </w:r>
    </w:p>
    <w:p>
      <w:pPr>
        <w:pStyle w:val="ListParagraph"/>
        <w:numPr>
          <w:ilvl w:val="0"/>
          <w:numId w:val="2"/>
        </w:numPr>
        <w:spacing w:after="90" w:line="320" w:lineRule="auto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CAPEX/OPEX e preços por hectare: </w:t>
      </w:r>
      <w:r>
        <w:rPr>
          <w:rFonts w:ascii="Arial" w:cs="Arial" w:eastAsia="Arial" w:hAnsi="Arial"/>
          <w:sz w:val="23"/>
          <w:szCs w:val="23"/>
        </w:rPr>
        <w:t xml:space="preserve">são premissas próprias deste estudo, sem fonte externa; substituir por cotações reais de fornecedores e pela tabela de preços dos concorrentes.</w:t>
      </w:r>
    </w:p>
    <w:p>
      <w:pPr>
        <w:pBdr>
          <w:left w:val="single" w:color="2E5A2E" w:sz="18" w:space="8"/>
        </w:pBdr>
        <w:shd w:fill="EAF1EA" w:val="clear"/>
        <w:spacing w:after="120" w:before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Limite de confiança: os números financeiros são premissas conferidas, não dados verificados. A defesa final depende de substituí-los pelos dados reais da Seção 4.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2E5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3A3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2026-06-16T20:41:32.731Z</dcterms:created>
  <dcterms:modified xsi:type="dcterms:W3CDTF">2026-06-16T20:41:32.731Z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