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44"/>
          <w:szCs w:val="44"/>
          <w:rtl w:val="0"/>
        </w:rPr>
        <w:t xml:space="preserve">Plataforma Inteligente de Monitoramento Rural com IA e Visão Computacional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20" w:lineRule="auto"/>
        <w:jc w:val="center"/>
        <w:rPr>
          <w:sz w:val="24"/>
          <w:szCs w:val="24"/>
        </w:rPr>
        <w:sectPr>
          <w:pgSz w:h="15840" w:w="12240" w:orient="portrait"/>
          <w:pgMar w:bottom="1080" w:top="1080" w:left="1080" w:right="1080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Higor Ferreira Silva, Igor Barbosa Lino e Wallyson Miranda Aguiar, EMC/UFG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="230" w:lineRule="auto"/>
        <w:ind w:firstLine="24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color w:val="000000"/>
          <w:rtl w:val="0"/>
        </w:rPr>
        <w:t xml:space="preserve">Resumo</w:t>
      </w:r>
      <w:r w:rsidDel="00000000" w:rsidR="00000000" w:rsidRPr="00000000">
        <w:rPr>
          <w:b w:val="1"/>
          <w:bCs w:val="1"/>
          <w:i w:val="0"/>
          <w:iCs w:val="0"/>
          <w:smallCaps w:val="0"/>
          <w:color w:val="000000"/>
          <w:rtl w:val="0"/>
        </w:rPr>
        <w:t xml:space="preserve">— Este artigo avalia a viabilidade econômica de uma plataforma B2B de monitoramento rural que integra drones, sensores IoT e visão computacional com inteligência artificial, voltada a médias e grandes fazendas. O problema central </w:t>
      </w:r>
      <w:r w:rsidDel="00000000" w:rsidR="00000000" w:rsidRPr="00000000">
        <w:rPr>
          <w:b w:val="1"/>
          <w:bCs w:val="1"/>
          <w:rtl w:val="0"/>
        </w:rPr>
        <w:t xml:space="preserve">da Engenharia</w:t>
      </w:r>
      <w:r w:rsidDel="00000000" w:rsidR="00000000" w:rsidRPr="00000000">
        <w:rPr>
          <w:b w:val="1"/>
          <w:bCs w:val="1"/>
          <w:i w:val="0"/>
          <w:iCs w:val="0"/>
          <w:smallCaps w:val="0"/>
          <w:color w:val="000000"/>
          <w:rtl w:val="0"/>
        </w:rPr>
        <w:t xml:space="preserve"> Econômica é determinar se, e em quanto tempo, o investimento se paga. Comparam-se três arquiteturas de receita — SaaS asset-light (A), Drone-as-a-Service com frota própria (B) e Híbrido com taxa de implantação mais assinatura (C) — por meio de VPL, TIR, payback simples e descontado, IBC e ROIA. A TMA é ancorada na Selic vigente (14,25% a.a., Copom de 17/06/2026) e estressada a 20% e 30% a.a. O modelo Híbrido apresenta o melhor desempenho (VPL de R</w:t>
      </w:r>
      <w:r w:rsidDel="00000000" w:rsidR="00000000" w:rsidRPr="00000000">
        <w:rPr>
          <w:b w:val="1"/>
          <w:bCs w:val="1"/>
          <w:rtl w:val="0"/>
        </w:rPr>
        <w:t xml:space="preserve">$2,16</w:t>
      </w:r>
      <w:r w:rsidDel="00000000" w:rsidR="00000000" w:rsidRPr="00000000">
        <w:rPr>
          <w:b w:val="1"/>
          <w:bCs w:val="1"/>
          <w:i w:val="0"/>
          <w:iCs w:val="0"/>
          <w:smallCaps w:val="0"/>
          <w:color w:val="000000"/>
          <w:rtl w:val="0"/>
        </w:rPr>
        <w:t xml:space="preserve"> mi a 20% de TMA; TIR de </w:t>
      </w:r>
      <w:r w:rsidDel="00000000" w:rsidR="00000000" w:rsidRPr="00000000">
        <w:rPr>
          <w:b w:val="1"/>
          <w:bCs w:val="1"/>
          <w:rtl w:val="0"/>
        </w:rPr>
        <w:t xml:space="preserve">69,4</w:t>
      </w:r>
      <w:r w:rsidDel="00000000" w:rsidR="00000000" w:rsidRPr="00000000">
        <w:rPr>
          <w:b w:val="1"/>
          <w:bCs w:val="1"/>
          <w:i w:val="0"/>
          <w:iCs w:val="0"/>
          <w:smallCaps w:val="0"/>
          <w:color w:val="000000"/>
          <w:rtl w:val="0"/>
        </w:rPr>
        <w:t xml:space="preserve">%; payback descontado de cerca de três anos). A análise de sensibilidade mostra que a viabilidade depende criticamente da velocidade de adoção de hectares. Conclui-se que a tese de investimento é, no fundo, uma tese sobre execução comercial.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30" w:lineRule="auto"/>
        <w:ind w:firstLine="24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color w:val="000000"/>
          <w:rtl w:val="0"/>
        </w:rPr>
        <w:t xml:space="preserve">Palavras-chave</w:t>
      </w:r>
      <w:r w:rsidDel="00000000" w:rsidR="00000000" w:rsidRPr="00000000">
        <w:rPr>
          <w:b w:val="1"/>
          <w:bCs w:val="1"/>
          <w:i w:val="0"/>
          <w:iCs w:val="0"/>
          <w:smallCaps w:val="0"/>
          <w:color w:val="000000"/>
          <w:rtl w:val="0"/>
        </w:rPr>
        <w:t xml:space="preserve">— Engenharia Econômica, VPL, TIR, payback, AgTech, agricultura de precisão, viabilidade econômica, SaaS.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90" w:before="20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color w:val="000000"/>
          <w:sz w:val="24"/>
          <w:szCs w:val="24"/>
          <w:rtl w:val="0"/>
        </w:rPr>
        <w:t xml:space="preserve">I. Introdução e Contextualização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busca por produtividade impõe novos desafios ao setor agrícola. O agronegócio nacional enfrenta hoje gargalos práticos na rastreabilidade e na tomada de decisão em campo aberto. No mercado de grãos, a incapacidade de antecipar problemas custa caro: pragas, doenças e estresse hídrico podem comprometer uma safra inteira em poucos dias se não forem detectados a tempo. Simultaneamente, a modernização estrutural das fazendas avança baseada em três eixos centrais: expansão da conectividade no meio rural, barateamento da instrumentação (drones, sensores e componentes de automação) e maturidade operacional da IA e visão computacional [1], [4]. O estado de Goiás atua como um laboratório vivo e polo desse processo de adoção tecnológica.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Neste cenário, fica nítido que 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iferentemente de mercados em que a tecnologia ainda precisa ser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provada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, aqui a demanda já está validada por concorrentes ativos com escala relevante (Seção V). Esse movimento reflete-se no mercado: o segmento global de drones agrícolas foi avaliado em cerca de US</w:t>
      </w:r>
      <w:r w:rsidDel="00000000" w:rsidR="00000000" w:rsidRPr="00000000">
        <w:rPr>
          <w:sz w:val="24"/>
          <w:szCs w:val="24"/>
          <w:rtl w:val="0"/>
        </w:rPr>
        <w:t xml:space="preserve">$1,5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bilhão em 2025, com projeção de US</w:t>
      </w:r>
      <w:r w:rsidDel="00000000" w:rsidR="00000000" w:rsidRPr="00000000">
        <w:rPr>
          <w:sz w:val="24"/>
          <w:szCs w:val="24"/>
          <w:rtl w:val="0"/>
        </w:rPr>
        <w:t xml:space="preserve">$3,9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bilhões até 2031 [29]. O risco, portanto, não é de mercado, mas de execução comercial. O papel da análise de Engenharia Econômica é duplo: provar que o investimento se paga — e em quanto tempo — tanto para o produtor quanto para o negócio que oferece 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Este trabalho concentra-se na perspectiva do negócio (a operação da plataforma) e responde à pergunta central da disciplina — “a partir de quando o projeto dá lucro?” — com os indicadores clássicos de fluxo de caixa descontado, acompanhados de análise de sensibilidade. </w:t>
      </w:r>
      <w:r w:rsidDel="00000000" w:rsidR="00000000" w:rsidRPr="00000000">
        <w:rPr>
          <w:sz w:val="24"/>
          <w:szCs w:val="24"/>
          <w:rtl w:val="0"/>
        </w:rPr>
        <w:t xml:space="preserve">Os valores monetários foram obtidos a partir do modelo financeiro reconstruído com base nas premissas adotadas neste trabalho e conferidos quanto à consistência entre as implementações utilizadas.</w:t>
      </w:r>
    </w:p>
    <w:p w:rsidR="00000000" w:rsidDel="00000000" w:rsidP="00000000" w:rsidRDefault="00000000" w:rsidRPr="00000000" w14:paraId="00000009">
      <w:pPr>
        <w:spacing w:after="90" w:before="20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color w:val="000000"/>
          <w:sz w:val="24"/>
          <w:szCs w:val="24"/>
          <w:rtl w:val="0"/>
        </w:rPr>
        <w:t xml:space="preserve">II. Fundamentação Teórica e o Problema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120" w:lineRule="auto"/>
        <w:ind w:firstLine="24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A. Fundamentação teórica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A agricultura digital, sistematizada por publicações institucionais brasileiras, utiliza dados para otimizar operações, prever problemas e melhorar a eficiência produtiva [1], [3]. Ela se apoia em três pilares que amadureceram em conjunto: a instrumentação do campo por sensores e dispositivos de IoT, a captação de imagens por drones e satélites, e a análise desses dados por modelos de aprendizado de máquina. No núcleo técnico, redes neurais convolucionais e arquiteturas como YOLO e </w:t>
      </w:r>
      <w:r w:rsidDel="00000000" w:rsidR="00000000" w:rsidRPr="00000000">
        <w:rPr>
          <w:sz w:val="24"/>
          <w:szCs w:val="24"/>
          <w:rtl w:val="0"/>
        </w:rPr>
        <w:t xml:space="preserve">Efficient Net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têm sido aplicadas à identificação de pragas, à classificação de culturas e ao reconhecimento de padrões em imagens de campo, com acurácias operacionalmente úteis relatadas na literatura — por exemplo, 94,2% de acurácia com </w:t>
      </w:r>
      <w:r w:rsidDel="00000000" w:rsidR="00000000" w:rsidRPr="00000000">
        <w:rPr>
          <w:sz w:val="24"/>
          <w:szCs w:val="24"/>
          <w:rtl w:val="0"/>
        </w:rPr>
        <w:t xml:space="preserve">Efficient Net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-B0 na detecção de pragas em ambiente natural [6]. A integração entre robótica móvel, IoT e computação em nuvem foi demonstrada em arquiteturas compostas por sensores, comunicação sem fio e servidores [7], enquanto a análise massiva de dados operacionais via IoT — exemplificada pelo processamento de mais de 18 milhões de registros oriundos de 352 secadores de grãos conectados — evidencia o potencial de diagnóstico e automação a partir de dados de campo [8].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No plano 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validação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comercial, o caso da </w:t>
      </w:r>
      <w:r w:rsidDel="00000000" w:rsidR="00000000" w:rsidRPr="00000000">
        <w:rPr>
          <w:sz w:val="24"/>
          <w:szCs w:val="24"/>
          <w:rtl w:val="0"/>
        </w:rPr>
        <w:t xml:space="preserve">WiilMilk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, AgTech brasileira 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une 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, visão computacional e monitoramento contínuo na pecuária leiteira, é frequentemente citado como evidência de adoção e geração de valor real [17]. Cabe a ressalva de que se trata de domínio distinto (pecuária leiteira, e não grãos): o caso sustenta a tese tecnológica, mas não constitui comparável direto de mercado para a plataforma de grãos aqui proposta, papel reservado aos concorrentes da Seção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A literatura também adverte que o retorno da agricultura de precisão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dependente de contexto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, e não automático. Em estudo experimental conduzido em áreas de pastagem (Tifton 85) no Oeste de Santa Catarina, Silva e Maccari (2014) compararam o manejo por taxa variável com o convencional e observaram que a precisão resultou em custo cerca de 32% superior (R$ 1.295,70/ha contra R$ 979,20/ha), sem diferença estatisticamente significativa de produtividade entre os dois sistemas; concluíram que, naquele contexto, a precisão não proporcionou ganho economicamente viável [9]. Esse resultado — de domínio e escala distintos do aqui analisado — reforça a postura metodológica deste trabalho: o ganho por hectare é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premissa a ser medida em piloto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, não um número a ser assumido. Fontes institucionais e setoriais reforçam tanto o potencial da agricultura de precisão e da conectividade no campo [18], [19], [20] quanto a necessidade de quantificar caso a caso a economia por hectare [21].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120" w:lineRule="auto"/>
        <w:ind w:firstLine="24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B. O problema: a dor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Médias e grandes fazendas de grãos perdem produtividade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detecção tardia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de pragas, doenças, falhas de plantio e estresse hídrico, e gastam mais que o necessário com insumos por aplicação uniforme. Hoje o problema é endereçado por inspeção manual amostral, lenta e sujeita a erro em áreas de milhares de hectares, somada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ferramentas fragmentadas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: um aplicativo de satélite, outro fornecedor para o voo de drone, uma planilha para sensores e o ERP da fazenda à parte, sem integração. O dado existe, mas está disperso e raramente se converte em decisão acionável no tempo certo.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40" w:lineRule="auto"/>
        <w:ind w:firstLine="2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As soluções atuais falham por quatro motivos: (i) fragmentação dos dados; (ii) pressuposto de conectividade estável, que quebra no campo; (iii) entrega de “mapas”, e não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prescrições acionáveis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; e (iv) retorno não demonstrado em reais, o que trava a adoção. A consequência prática é uma perda financeira recorrente que o produtor sequer mede com precisão — e é justamente essa perda que dimensiona o valor a ser capturado pela solução.</w:t>
      </w:r>
    </w:p>
    <w:p w:rsidR="00000000" w:rsidDel="00000000" w:rsidP="00000000" w:rsidRDefault="00000000" w:rsidRPr="00000000" w14:paraId="00000011">
      <w:pPr>
        <w:spacing w:after="60" w:before="120" w:lineRule="auto"/>
        <w:ind w:firstLine="24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C. Análise de Viabilidade para o Produtor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avaliar o impacto financeiro de não utilizar a plataforma (o "custo da desinformação"), elaborou-se um cenário base para uma fazenda de 3.000 hectares de soja. Considerando o Custo Operacional Total (COT) de R$6.000/ha e produtividade de 60 sc/ha a R$126/sc, a fazenda investe R$18.000.000 por safra. A assinatura da plataforma adotada custa R$120.000 anuais (3.000 ha × R$40/ha).</w:t>
      </w:r>
    </w:p>
    <w:p w:rsidR="00000000" w:rsidDel="00000000" w:rsidP="00000000" w:rsidRDefault="00000000" w:rsidRPr="00000000" w14:paraId="00000013">
      <w:pPr>
        <w:spacing w:after="8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demonstração de prejuízo do cliente revela que a ausência de monitoramento atinge o ponto de quebra (supera o valor do software) rapidamente:</w:t>
      </w:r>
    </w:p>
    <w:p w:rsidR="00000000" w:rsidDel="00000000" w:rsidP="00000000" w:rsidRDefault="00000000" w:rsidRPr="00000000" w14:paraId="00000014">
      <w:pPr>
        <w:spacing w:after="8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Perda Total (ex: Incêndios): Ao não evitar a queima de apenas 16 hectares, o produtor perde o equivalente a toda a anuidade da tecnologia.</w:t>
      </w:r>
    </w:p>
    <w:p w:rsidR="00000000" w:rsidDel="00000000" w:rsidP="00000000" w:rsidRDefault="00000000" w:rsidRPr="00000000" w14:paraId="00000015">
      <w:pPr>
        <w:spacing w:after="8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Perda Parcial (ex: Ferrugem Asiática): Com um impacto conservador de 15% na produtividade, se a doença atingir 106 hectares de forma tardia, a perda direta supera os R$120 mil.</w:t>
      </w:r>
    </w:p>
    <w:p w:rsidR="00000000" w:rsidDel="00000000" w:rsidP="00000000" w:rsidRDefault="00000000" w:rsidRPr="00000000" w14:paraId="00000016">
      <w:pPr>
        <w:spacing w:after="8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Retrabalho Climático: O replantio de 200 hectares por erro de janela hídrica custa mais (apenas em diesel e sementes) do que a plataforma anual.</w:t>
      </w:r>
    </w:p>
    <w:p w:rsidR="00000000" w:rsidDel="00000000" w:rsidP="00000000" w:rsidRDefault="00000000" w:rsidRPr="00000000" w14:paraId="00000017">
      <w:pPr>
        <w:spacing w:after="8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uma fazenda que investe 18 milhões por safra, economizar 120 mil reais (0,66% do custo total) no monitoramento é assumir um risco operacional desproporcional.</w:t>
      </w:r>
    </w:p>
    <w:p w:rsidR="00000000" w:rsidDel="00000000" w:rsidP="00000000" w:rsidRDefault="00000000" w:rsidRPr="00000000" w14:paraId="00000018">
      <w:pPr>
        <w:spacing w:after="8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90" w:before="20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color w:val="000000"/>
          <w:sz w:val="24"/>
          <w:szCs w:val="24"/>
          <w:rtl w:val="0"/>
        </w:rPr>
        <w:t xml:space="preserve">III. Proposta de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Propõe-se uma plataforma única que conecta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drones, sensores IoT e visão computacional com 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e transforma imagens e leituras de campo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decisões acionáveis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: alertas priorizados de praga e doença, mapas de prescrição de taxa variável (VRT) exportáveis para o maquinário e indicadores de produtividade por talhão, funcionando mesmo com conectividade ruim (operação offline-first).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Os diferenciais defensáveis são: integração ponta a ponta (drone, IoT, satélite e ERP) em uma camada única; tradução do dado em prescrição e em reais, e não apenas em visualização; resiliência de conectividade por projeto; e uma base de dados proprietária que melhora os modelos a cada safra (efeito de rede de dados).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90" w:before="20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color w:val="000000"/>
          <w:sz w:val="24"/>
          <w:szCs w:val="24"/>
          <w:rtl w:val="0"/>
        </w:rPr>
        <w:t xml:space="preserve">IV. Metodologia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120" w:lineRule="auto"/>
        <w:ind w:firstLine="24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A. Dimensão técnica: arquitetura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A arquitetura é organizada em camadas, o que permite um Produto Mínimo Viável (MVP) enxuto e a escala sem reescrita do núcleo. A decisão central é a separação entre borda (campo) e nuvem: tarefas leves e o buffer offline ficam em um gateway na fazenda, enquanto o processamento pesado (ortomosaico, treino de modelos) fica na nuvem, com custo elástico (Tabela 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50" w:before="12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color w:val="000000"/>
          <w:rtl w:val="0"/>
        </w:rPr>
        <w:t xml:space="preserve">Tabela I — Camadas da arquitetura</w:t>
      </w:r>
      <w:r w:rsidDel="00000000" w:rsidR="00000000" w:rsidRPr="00000000">
        <w:rPr>
          <w:rtl w:val="0"/>
        </w:rPr>
      </w:r>
    </w:p>
    <w:tbl>
      <w:tblPr>
        <w:tblStyle w:val="Table1"/>
        <w:tblW w:w="4680.0" w:type="dxa"/>
        <w:jc w:val="left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1180"/>
        <w:gridCol w:w="2400"/>
        <w:gridCol w:w="1100"/>
        <w:tblGridChange w:id="0">
          <w:tblGrid>
            <w:gridCol w:w="1180"/>
            <w:gridCol w:w="2400"/>
            <w:gridCol w:w="11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8e8e8" w:val="clear"/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20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8e8e8" w:val="clear"/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21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8e8e8" w:val="clear"/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22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rtl w:val="0"/>
              </w:rPr>
              <w:t xml:space="preserve">Racional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23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Captação (Edge)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24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Drone (RGB/multiespectral) + IoT + satélite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25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Redundância de fonte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26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Borda (Gateway)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27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Buffer offline, pré-proc., inferência leve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28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Resolve conectividade; reduz nuvem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29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Processo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. (Nuvem)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2A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Ortomosaico, treino, VC pesada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2B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Escala elástica de GPU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2C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2D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Geoespacial + séries temporais + imagens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2E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Cada dado no banco adequado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2F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Aplicação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30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Dashboard, alertas, prescrição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31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Onde o dado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vira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 decisão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32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33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Exportar prescrição (ISO-XML) e 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34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O “último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metro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” do valor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20" w:lineRule="auto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444444"/>
          <w:sz w:val="18"/>
          <w:szCs w:val="18"/>
          <w:rtl w:val="0"/>
        </w:rPr>
        <w:t xml:space="preserve">Fonte: própria,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O faseamento previsto é: MVP (uma fonte de dado, um caso de IA, dashboard e uma fazenda-piloto), depois V1 (IoT, satélite e mapa de prescrição) e V2 (modelos preditivos, integração com maquinário e base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multifazenda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Pipeline de dados e modelos de IA.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A camada inteligente é alimentada por um pipeline com etapas de limpeza, normalização, padronização, enriquecimento e validação dos dados. As fontes podem combinar bases públicas (por exemplo, </w:t>
      </w:r>
      <w:r w:rsidDel="00000000" w:rsidR="00000000" w:rsidRPr="00000000">
        <w:rPr>
          <w:sz w:val="24"/>
          <w:szCs w:val="24"/>
          <w:rtl w:val="0"/>
        </w:rPr>
        <w:t xml:space="preserve">Plant Village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e conjuntos da Embrapa) com bases próprias (drones, smartphones e sensores locais). Para o treino dos modelos de visão computacional, adota-se a partição usual de 70% para treino, 15% para validação e 15% para teste, avaliada por acurácia, precisão, recall, F1-score e mAP, além da matriz de confusão. Essa disciplina permite tratar a melhoria contínua dos modelos como um ativo (efeito de rede de dados), e não como custo recorrente sem retorno.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120" w:lineRule="auto"/>
        <w:ind w:firstLine="24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B. Dimensão financeira: viabilidade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Indicadores e regras de decisão.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Adotam-se os indicadores clássicos de Engenharia Econômica. A TMA é o custo de oportunidade que serve de taxa de desconto. O VPL mede a riqueza criada no presente (viável se VPL &gt; 0). A TIR é a taxa que zera o VPL (atrativo se TIR &gt; TMA). O payback simples e o descontado medem o tempo de recuperação do capital, sem e com o custo do dinheiro. O IBC é a razão entre o valor presente dos benefícios e o investimento (cria valor se IBC &gt; 1), e o ROIA = IBC^(1/n) − 1 expressa o </w:t>
      </w:r>
      <w:r w:rsidDel="00000000" w:rsidR="00000000" w:rsidRPr="00000000">
        <w:rPr>
          <w:sz w:val="24"/>
          <w:szCs w:val="24"/>
          <w:rtl w:val="0"/>
        </w:rPr>
        <w:t xml:space="preserve">ganho real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acima da TMA. Com fluxos </w:t>
      </w:r>
      <w:r w:rsidDel="00000000" w:rsidR="00000000" w:rsidRPr="00000000">
        <w:rPr>
          <w:sz w:val="24"/>
          <w:szCs w:val="24"/>
          <w:rtl w:val="0"/>
        </w:rPr>
        <w:t xml:space="preserve">FC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e horizonte n = 5: VPL = Σ </w:t>
      </w:r>
      <w:r w:rsidDel="00000000" w:rsidR="00000000" w:rsidRPr="00000000">
        <w:rPr>
          <w:sz w:val="24"/>
          <w:szCs w:val="24"/>
          <w:rtl w:val="0"/>
        </w:rPr>
        <w:t xml:space="preserve">FC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/(1+i)^t, e a TIR é a taxa que torna VPL 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Taxa Mínima de Atratividade.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A referência de custo de oportunidade é a Selic vigente, 14,25% a.a., definida pelo Copom em 17/06/2026 [11]. Utilizam-se três níveis: piso de 14,25% (custo de oportunidade puro), recomendado de 20% (Selic mais prêmio de risco de venture) e estresse de 30%.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Premissas centrais (ilustrativas).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As premissas, conferidas matematicamente mas não verificadas no mercado, são: investimento inicial de R$ 380.000 no Ano 0; horizonte de 5 anos; curva de adoção de 25 mil a 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50 mil hectares ativos; fazenda média de 3.000 ha por cliente; e, no modelo recomendado, preço de </w:t>
      </w:r>
      <w:r w:rsidDel="00000000" w:rsidR="00000000" w:rsidRPr="00000000">
        <w:rPr>
          <w:sz w:val="24"/>
          <w:szCs w:val="24"/>
          <w:rtl w:val="0"/>
        </w:rPr>
        <w:t xml:space="preserve">R$40/ha/ano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somado a uma taxa de implantação.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Referências de mercado para CAPEX e OPEX.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Para ancorar a ordem de grandeza das premissas, levantaram-se faixas reais de preço de fornecedores e fontes setoriais </w:t>
      </w:r>
      <w:r w:rsidDel="00000000" w:rsidR="00000000" w:rsidRPr="00000000">
        <w:rPr>
          <w:sz w:val="24"/>
          <w:szCs w:val="24"/>
          <w:rtl w:val="0"/>
        </w:rPr>
        <w:t xml:space="preserve">brasileiras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(2024–2026), na Tabela II. São referências de calibração, não cotações fechadas. No CAPEX, um drone de mapeamento multiespectral (classe DJI Mavic 3 Multispectral, com RTK) custa entre R$ 36 mil e R$ 41,5 mil no varejo nacional [24]; sensores de solo partem de cerca de R$ 1,5 mil [31], enquanto estações agrometeorológicas profissionais são vendidas sob orçamento, sem preço público [32] — a camada de IoT por área é estimada em R$ 20–120/ha por ano [25]. No modelo B (frota própria), um drone de pulverização classe DJI Agras T50 (kit) custa de R</w:t>
      </w:r>
      <w:r w:rsidDel="00000000" w:rsidR="00000000" w:rsidRPr="00000000">
        <w:rPr>
          <w:sz w:val="24"/>
          <w:szCs w:val="24"/>
          <w:rtl w:val="0"/>
        </w:rPr>
        <w:t xml:space="preserve">$135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mil a R</w:t>
      </w:r>
      <w:r w:rsidDel="00000000" w:rsidR="00000000" w:rsidRPr="00000000">
        <w:rPr>
          <w:sz w:val="24"/>
          <w:szCs w:val="24"/>
          <w:rtl w:val="0"/>
        </w:rPr>
        <w:t xml:space="preserve">$180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mil [30]. No OPEX, a conectividade rural via satélite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Starlink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) custa de R$ 164 a R$ 329/mês mais o kit de antena (R$ 0,8–2,4 mil) [33], e o chip M2M parte de cerca de R$ 10/mês [26]; a equipe é o item dominante (desenvolvedores de R$ 3 mil a R$ 12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mil+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por mês na base CLT [27]; pilotos de drone agrícola de R$ 4 mil a R$ 8 mil/mês [28]), lembrando que o custo real ao empregador costuma ser 1,7–2× o salário-base por causa dos encargos. </w:t>
      </w:r>
      <w:r w:rsidDel="00000000" w:rsidR="00000000" w:rsidRPr="00000000">
        <w:rPr>
          <w:sz w:val="24"/>
          <w:szCs w:val="24"/>
          <w:rtl w:val="0"/>
        </w:rPr>
        <w:t xml:space="preserve">Como verificação de coerência, o serviço de mapeamento e prescrição isolado praticado no mercado gira em torno de R$ 8 a R$ 40/ha [25], o que posiciona e valida a precificação anual adotada de R$ 40/ha/ano para toda a suíte de monitoramento contínuo proposta pelo modelo.</w:t>
      </w:r>
    </w:p>
    <w:p w:rsidR="00000000" w:rsidDel="00000000" w:rsidP="00000000" w:rsidRDefault="00000000" w:rsidRPr="00000000" w14:paraId="0000003D">
      <w:pPr>
        <w:spacing w:after="50" w:before="12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color w:val="000000"/>
          <w:rtl w:val="0"/>
        </w:rPr>
        <w:t xml:space="preserve">Tabela II — Referências de mercado de CAPEX/OPEX (BR, 2024–2026)</w:t>
      </w:r>
      <w:r w:rsidDel="00000000" w:rsidR="00000000" w:rsidRPr="00000000">
        <w:rPr>
          <w:rtl w:val="0"/>
        </w:rPr>
      </w:r>
    </w:p>
    <w:tbl>
      <w:tblPr>
        <w:tblStyle w:val="Table2"/>
        <w:tblW w:w="4680.0" w:type="dxa"/>
        <w:jc w:val="left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880"/>
        <w:gridCol w:w="2560"/>
        <w:gridCol w:w="1240"/>
        <w:tblGridChange w:id="0">
          <w:tblGrid>
            <w:gridCol w:w="880"/>
            <w:gridCol w:w="2560"/>
            <w:gridCol w:w="124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8e8e8" w:val="clear"/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3E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8e8e8" w:val="clear"/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3F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8e8e8" w:val="clear"/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40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rtl w:val="0"/>
              </w:rPr>
              <w:t xml:space="preserve">Faixa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41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CAPEX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42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Drone mapeamento multiespectral (RTK)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43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R$ 36–41,5 mil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44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CAPEX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45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Drone pulverização (Agras T50, kit) — só mod.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46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R$ 135–180 mil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47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CAPEX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48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Sensor de solo (umidade/EC/temp/NPK)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49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a partir de R$ 1,5 mil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4A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CAPEX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4B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Estação agrometeorológica 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4C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sob orçamento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4D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CAPEX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4E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Kit Starlink (antena)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4F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R$ 0,8–2,4 mil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50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CAPEX/OPEX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51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Camada IoT (sensores), por ha/ano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52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R$ 20–120/ha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53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OPEX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54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Conectividade Starlink/mês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55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R$ 164–329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56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OPEX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57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Conectividade M2M, por chip/mês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58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a partir de R$ 10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59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OPEX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5A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Dev. de software (jr.–sr.)/mês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5B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R$ 3–12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mil+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5C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OPEX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5D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Piloto de drone agrícola/mês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5E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R$ 4–8 mil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5F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60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Serviço de mapeamento por drone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61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R$ 8–40/ha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62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63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Serviço de pulverização por drone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64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R$ 80–250/ha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20" w:lineRule="auto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444444"/>
          <w:sz w:val="18"/>
          <w:szCs w:val="18"/>
          <w:rtl w:val="0"/>
        </w:rPr>
        <w:t xml:space="preserve">Fontes: drone mapeamento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444444"/>
          <w:sz w:val="18"/>
          <w:szCs w:val="18"/>
          <w:rtl w:val="0"/>
        </w:rPr>
        <w:t xml:space="preserve">DronesX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44444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444444"/>
          <w:sz w:val="18"/>
          <w:szCs w:val="18"/>
          <w:rtl w:val="0"/>
        </w:rPr>
        <w:t xml:space="preserve">LiliVendas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44444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444444"/>
          <w:sz w:val="18"/>
          <w:szCs w:val="18"/>
          <w:rtl w:val="0"/>
        </w:rPr>
        <w:t xml:space="preserve">CentralDrone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444444"/>
          <w:sz w:val="18"/>
          <w:szCs w:val="18"/>
          <w:rtl w:val="0"/>
        </w:rPr>
        <w:t xml:space="preserve">) [24]; Agras T50 (Próspera/Lojão do Drone) [30]; sensor de solo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444444"/>
          <w:sz w:val="18"/>
          <w:szCs w:val="18"/>
          <w:rtl w:val="0"/>
        </w:rPr>
        <w:t xml:space="preserve">Hensistemas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444444"/>
          <w:sz w:val="18"/>
          <w:szCs w:val="18"/>
          <w:rtl w:val="0"/>
        </w:rPr>
        <w:t xml:space="preserve">) [31]; estação (Sigma Sensors) [32]; Starlink (minhaconexao) [33]; camada IoT e serviços (Investidor Rural, 2026) [25]; M2M (IOT Conect) [26]; salários [27]; piloto (IstoÉ Dinheiro/O Tempo–Firjan) [28]. Faixas de calibração, não cotações.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Para tornar as métricas o mais transparentes possível, a Tabela III reconstrói o investimento do Ano 0 a partir dos preços unitários acima. Distingue-se explicitamente o que tem fonte (preço unitário) do que é premissa (quantidade e duração). O resultado — R</w:t>
      </w:r>
      <w:r w:rsidDel="00000000" w:rsidR="00000000" w:rsidRPr="00000000">
        <w:rPr>
          <w:sz w:val="24"/>
          <w:szCs w:val="24"/>
          <w:rtl w:val="0"/>
        </w:rPr>
        <w:t xml:space="preserve">$254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mil a R</w:t>
      </w:r>
      <w:r w:rsidDel="00000000" w:rsidR="00000000" w:rsidRPr="00000000">
        <w:rPr>
          <w:sz w:val="24"/>
          <w:szCs w:val="24"/>
          <w:rtl w:val="0"/>
        </w:rPr>
        <w:t xml:space="preserve">$401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mil — contém a premissa de R</w:t>
      </w:r>
      <w:r w:rsidDel="00000000" w:rsidR="00000000" w:rsidRPr="00000000">
        <w:rPr>
          <w:sz w:val="24"/>
          <w:szCs w:val="24"/>
          <w:rtl w:val="0"/>
        </w:rPr>
        <w:t xml:space="preserve">$380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mil, o que sustenta sua ordem de grandeza. De modo análogo, um OPEX de Ano 1 reconstruído com uma equipe de cerca de cinco pessoas (com encargos de 1,8×) resulta em aproximadamente R</w:t>
      </w:r>
      <w:r w:rsidDel="00000000" w:rsidR="00000000" w:rsidRPr="00000000">
        <w:rPr>
          <w:sz w:val="24"/>
          <w:szCs w:val="24"/>
          <w:rtl w:val="0"/>
        </w:rPr>
        <w:t xml:space="preserve">$805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mil/ano, coerente com o custo fixo de R</w:t>
      </w:r>
      <w:r w:rsidDel="00000000" w:rsidR="00000000" w:rsidRPr="00000000">
        <w:rPr>
          <w:sz w:val="24"/>
          <w:szCs w:val="24"/>
          <w:rtl w:val="0"/>
        </w:rPr>
        <w:t xml:space="preserve">$900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mil adotado no Ano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50" w:before="12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color w:val="000000"/>
          <w:rtl w:val="0"/>
        </w:rPr>
        <w:t xml:space="preserve">Tabela III — Reconstrução bottom-up do CAPEX Ano 0</w:t>
      </w:r>
      <w:r w:rsidDel="00000000" w:rsidR="00000000" w:rsidRPr="00000000">
        <w:rPr>
          <w:rtl w:val="0"/>
        </w:rPr>
      </w:r>
    </w:p>
    <w:tbl>
      <w:tblPr>
        <w:tblStyle w:val="Table3"/>
        <w:tblW w:w="4680.0" w:type="dxa"/>
        <w:jc w:val="left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1640"/>
        <w:gridCol w:w="1800"/>
        <w:gridCol w:w="1240"/>
        <w:tblGridChange w:id="0">
          <w:tblGrid>
            <w:gridCol w:w="1640"/>
            <w:gridCol w:w="1800"/>
            <w:gridCol w:w="124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8e8e8" w:val="clear"/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68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rtl w:val="0"/>
              </w:rPr>
              <w:t xml:space="preserve">Componente (Ano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8e8e8" w:val="clear"/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69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8e8e8" w:val="clear"/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6A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rtl w:val="0"/>
              </w:rPr>
              <w:t xml:space="preserve">Faixa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6B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Drone multiespectral RTK (×1)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6C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preço varejo [fonte]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6D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R$ 36–41,5 mil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6E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Sensores + estação IoT (piloto)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6F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sensor ≥ R</w:t>
            </w:r>
            <w:r w:rsidDel="00000000" w:rsidR="00000000" w:rsidRPr="00000000">
              <w:rPr>
                <w:rtl w:val="0"/>
              </w:rPr>
              <w:t xml:space="preserve">$1,5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 mil [fonte]; estação sob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orçam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70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R$ 15–40 mil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71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Equipe MVP (~6 m, 2–3 devs)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72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unit. [fonte]; qtd [assumida]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73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R$ 173–259 mil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74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Infra inicial + jurídico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75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[estimado]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76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R$ 30–60 mil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77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rtl w:val="0"/>
              </w:rPr>
              <w:t xml:space="preserve">Total reconstruído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78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79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rtl w:val="0"/>
              </w:rPr>
              <w:t xml:space="preserve">R$ 254–401 mil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7A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rtl w:val="0"/>
              </w:rPr>
              <w:t xml:space="preserve">Premissa do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7B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7C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rtl w:val="0"/>
              </w:rPr>
              <w:t xml:space="preserve">R$ 380 mil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20" w:lineRule="auto"/>
        <w:jc w:val="left"/>
        <w:rPr>
          <w:sz w:val="24"/>
          <w:szCs w:val="24"/>
        </w:rPr>
        <w:sectPr>
          <w:type w:val="continuous"/>
          <w:pgSz w:h="15840" w:w="12240" w:orient="portrait"/>
          <w:pgMar w:bottom="1080" w:top="1080" w:left="1080" w:right="1080" w:header="708" w:footer="708"/>
          <w:cols w:equalWidth="0" w:num="2">
            <w:col w:space="360" w:w="4860"/>
            <w:col w:space="0" w:w="48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444444"/>
          <w:sz w:val="18"/>
          <w:szCs w:val="18"/>
          <w:rtl w:val="0"/>
        </w:rPr>
        <w:t xml:space="preserve">Preços unitários têm fonte (Tabela II); quantidades e durações são premissas, sinalizadas. Encargos sobre folha: 1,8× (regra prática 1,7–2×).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Fluxo de caixa do modelo recomendado (C — Híbrido), em R$ (Tabela IV); comparação dos três modelos, validada por duas implementações independentes (Python e JavaScript), na Tabela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50" w:before="12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color w:val="000000"/>
          <w:rtl w:val="0"/>
        </w:rPr>
        <w:t xml:space="preserve">Tabela IV — Fluxo de caixa do modelo Híbrido (R$)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1080"/>
        <w:gridCol w:w="2250"/>
        <w:gridCol w:w="2250"/>
        <w:gridCol w:w="2250"/>
        <w:gridCol w:w="2250"/>
        <w:tblGridChange w:id="0">
          <w:tblGrid>
            <w:gridCol w:w="1080"/>
            <w:gridCol w:w="2250"/>
            <w:gridCol w:w="2250"/>
            <w:gridCol w:w="2250"/>
            <w:gridCol w:w="225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8e8e8" w:val="clear"/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80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rtl w:val="0"/>
              </w:rPr>
              <w:t xml:space="preserve">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8e8e8" w:val="clear"/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81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rtl w:val="0"/>
              </w:rPr>
              <w:t xml:space="preserve">Receita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8e8e8" w:val="clear"/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82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rtl w:val="0"/>
              </w:rPr>
              <w:t xml:space="preserve">Custo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8e8e8" w:val="clear"/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83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rtl w:val="0"/>
              </w:rPr>
              <w:t xml:space="preserve">Fluxo líquido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8e8e8" w:val="clear"/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84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rtl w:val="0"/>
              </w:rPr>
              <w:t xml:space="preserve">Acumulado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85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86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87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88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−380.000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89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−380.000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8A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8B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1.166.667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8C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1.050.000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8D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116.667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8E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−</w:t>
            </w:r>
            <w:r w:rsidDel="00000000" w:rsidR="00000000" w:rsidRPr="00000000">
              <w:rPr>
                <w:rtl w:val="0"/>
              </w:rPr>
              <w:t xml:space="preserve">263.333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8F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90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1.840.000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91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1.452.000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92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388.000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93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124.667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94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95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3.213.333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96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2.214.000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97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999.333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98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1.124.000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99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9A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5.040.000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9B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3.212.000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9C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1.828.000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9D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2.952.000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9E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9F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7.500.000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A0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4.450.000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A1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3.050.000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A2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6.002.000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120" w:lineRule="auto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444444"/>
          <w:sz w:val="18"/>
          <w:szCs w:val="18"/>
          <w:rtl w:val="0"/>
        </w:rPr>
        <w:t xml:space="preserve">Fonte: própria, 2026. Indicadores conferidos em Python e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50" w:before="12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color w:val="000000"/>
          <w:rtl w:val="0"/>
        </w:rPr>
        <w:t xml:space="preserve">Tabela V — Comparação dos três modelos de receita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280"/>
        <w:gridCol w:w="2600"/>
        <w:gridCol w:w="2600"/>
        <w:gridCol w:w="2600"/>
        <w:tblGridChange w:id="0">
          <w:tblGrid>
            <w:gridCol w:w="2280"/>
            <w:gridCol w:w="2600"/>
            <w:gridCol w:w="2600"/>
            <w:gridCol w:w="2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8e8e8" w:val="clear"/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A5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8e8e8" w:val="clear"/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A6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rtl w:val="0"/>
              </w:rPr>
              <w:t xml:space="preserve">A) SaaS asset-light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8e8e8" w:val="clear"/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A7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rtl w:val="0"/>
              </w:rPr>
              <w:t xml:space="preserve">B) DaaS frota própria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8e8e8" w:val="clear"/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A8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rtl w:val="0"/>
              </w:rPr>
              <w:t xml:space="preserve">C) Híbrido (setup+SaaS)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A9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Investimento Ano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AA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380.000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AB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380.000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AC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380.000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AD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VPL (14,25% — Selic)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AE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R$2.58 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AF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R$0.52 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B0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R$2.87 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B1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VPL (20%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recom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B2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R$1.94 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B3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R$0.18 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B4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R$2.16 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B5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VPL (30% — estresse)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B6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R$1.16 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B7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−R$0.23 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B8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R$1.38 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B9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TIR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BA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63,9%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BB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22,8%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BC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69,4%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BD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Payback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BE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 3,08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BF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4,</w:t>
            </w:r>
            <w:r w:rsidDel="00000000" w:rsidR="00000000" w:rsidRPr="00000000">
              <w:rPr>
                <w:rtl w:val="0"/>
              </w:rPr>
              <w:t xml:space="preserve">63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C0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2,86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C1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Payback descont.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C2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3,</w:t>
            </w:r>
            <w:r w:rsidDel="00000000" w:rsidR="00000000" w:rsidRPr="00000000">
              <w:rPr>
                <w:rtl w:val="0"/>
              </w:rPr>
              <w:t xml:space="preserve">47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C3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5,12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C4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3,28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C5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IBC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C6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6,18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C7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1,48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C8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6,67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C9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ROIA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CA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43,8% a.a.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CB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8,1% a.a.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CC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46,2% a.a.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120" w:lineRule="auto"/>
        <w:jc w:val="left"/>
        <w:rPr>
          <w:sz w:val="24"/>
          <w:szCs w:val="24"/>
        </w:rPr>
        <w:sectPr>
          <w:type w:val="continuous"/>
          <w:pgSz w:h="15840" w:w="12240" w:orient="portrait"/>
          <w:pgMar w:bottom="1080" w:top="1080" w:left="1080" w:right="1080" w:header="708" w:footer="708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444444"/>
          <w:sz w:val="18"/>
          <w:szCs w:val="18"/>
          <w:rtl w:val="0"/>
        </w:rPr>
        <w:t xml:space="preserve">Fonte: própria, 2026. VPL em R$. Valores em negrito: modelo recomendado.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A leitura, sob o método de decisão entre alternativas mutuamente excludentes, é direta. O modelo C (Híbrido) é o melhor: a taxa de implantação adianta caixa e produz o menor payback com o maior VPL. O modelo A (SaaS) é uma alternativa enxuta, quase tão boa quanto C. O modelo B (DaaS) parece atraente pelo ticket maior, mas é intensivo em capital (frota crescente até </w:t>
      </w:r>
      <w:r w:rsidDel="00000000" w:rsidR="00000000" w:rsidRPr="00000000">
        <w:rPr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unidades no Ano 5) e de margem fina; seu VPL é muito menor, com payback próximo de 4,7 anos e valor negativo sob TMA de 30%. Recomenda-se rejeitar B como núcleo, mantendo-o, no máximo, como serviço premium pago pelo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A partir de quando há lucro?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A pergunta admite três respostas, da mais simples à mais rigorosa, para o modelo C: o break-even operacional (o fluxo anual deixa de ser negativo) ocorre no Ano 2 (+R$ 388 mil); o payback simples é de cerca de 2,7 anos; e o payback descontado — definição mais rigorosa de início de criação de riqueza — é de cerca de 3,1 anos. Como o horizonte é de 5 anos, o projeto é viável: VPL positivo, TIR muito acima da TMA e IBC maior que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Análise de sensibilidade.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O motor do resultado é a adoção. Para a hipótese pessimista, apresentam-se dois limites de elasticidade de custo: “custo fixo” (a estrutura de custos não cai com a menor adoção — conservador) e “custo escalável” (os custos acompanham a queda — otimista). A faixa resultante (Tabela VI) é a informação honesta.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50" w:before="12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color w:val="000000"/>
          <w:rtl w:val="0"/>
        </w:rPr>
        <w:t xml:space="preserve">Tabela VI — Análise de sensibilidade (modelo C)</w:t>
      </w:r>
      <w:r w:rsidDel="00000000" w:rsidR="00000000" w:rsidRPr="00000000">
        <w:rPr>
          <w:rtl w:val="0"/>
        </w:rPr>
      </w:r>
    </w:p>
    <w:tbl>
      <w:tblPr>
        <w:tblStyle w:val="Table6"/>
        <w:tblW w:w="4680.0" w:type="dxa"/>
        <w:jc w:val="left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080"/>
        <w:gridCol w:w="1500"/>
        <w:gridCol w:w="1100"/>
        <w:tblGridChange w:id="0">
          <w:tblGrid>
            <w:gridCol w:w="2080"/>
            <w:gridCol w:w="1500"/>
            <w:gridCol w:w="11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8e8e8" w:val="clear"/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D2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8e8e8" w:val="clear"/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D3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rtl w:val="0"/>
              </w:rPr>
              <w:t xml:space="preserve">VPL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8e8e8" w:val="clear"/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D4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color w:val="000000"/>
                <w:rtl w:val="0"/>
              </w:rPr>
              <w:t xml:space="preserve">Veredito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D5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Otimista (ad. +25%, pr. +10%)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D6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R$3,5–4,2 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D7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Muito viável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D8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Base (premissas centrais)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D9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R$2,16 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DA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Viável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DB">
            <w:pPr>
              <w:spacing w:after="0" w:line="22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color w:val="000000"/>
                <w:rtl w:val="0"/>
              </w:rPr>
              <w:t xml:space="preserve">Pessimista (ad. −40%, pr. −15%)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DC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R$0,18–0,94 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30.0" w:type="dxa"/>
              <w:left w:w="70.0" w:type="dxa"/>
              <w:bottom w:w="30.0" w:type="dxa"/>
              <w:right w:w="70.0" w:type="dxa"/>
            </w:tcMar>
          </w:tcPr>
          <w:p w:rsidR="00000000" w:rsidDel="00000000" w:rsidP="00000000" w:rsidRDefault="00000000" w:rsidRPr="00000000" w14:paraId="000000DD">
            <w:pPr>
              <w:spacing w:after="0" w:line="2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Viável com risco elevado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120" w:lineRule="auto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444444"/>
          <w:sz w:val="18"/>
          <w:szCs w:val="18"/>
          <w:rtl w:val="0"/>
        </w:rPr>
        <w:t xml:space="preserve">Fonte: própria,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A conclusão de risco é que, se a contratação de hectares ficar cerca de 40% abaixo do esperado e os custos não se ajustarem na mesma velocidade, o projeto não se paga no horizonte. A tese é, no fundo, </w:t>
      </w:r>
      <w:r w:rsidDel="00000000" w:rsidR="00000000" w:rsidRPr="00000000">
        <w:rPr>
          <w:sz w:val="24"/>
          <w:szCs w:val="24"/>
          <w:rtl w:val="0"/>
        </w:rPr>
        <w:t xml:space="preserve">sobre a velocidade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de aquisição de hectares.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90" w:before="20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color w:val="000000"/>
          <w:sz w:val="24"/>
          <w:szCs w:val="24"/>
          <w:rtl w:val="0"/>
        </w:rPr>
        <w:t xml:space="preserve">V. Case Real e Validação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A força do trabalho está em substituir as premissas por dados verificáveis. Esta seção separa o que já é verificável do que ainda precisa ser coletado.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A Perfect Flight, AgTech brasileira de gestão e rastreabilidade de pulverização aérea, reportou da ordem de 25 a 27 milhões de hectares digitalizados (dados de 2022) [12], [13].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A SIMA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, plataforma de monitoramento agrícola presente em oito países da América Latina, reportava mais de 8 milhões de hectares monitorados em 2025 [14], [15]. Esses números confirmam a existência de demanda e de disposição a pagar; o diferencial proposto está na integração ponta a ponta e na entrega de prescrição acionável.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Tamanho de mercado.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Para a ordem de grandeza atual, a página do relatório da Mordor Intelligence (dados de jan. 2026) avalia o segmento global de drones agrícolas em cerca de US$ 1,5 bilhão em 2025, com projeção de US$ 3,9 bilhões até 2031 (CAGR de ~16,7%) [29]. As estimativas, contudo, variam conforme a fonte e a edição — de ~US</w:t>
      </w:r>
      <w:r w:rsidDel="00000000" w:rsidR="00000000" w:rsidRPr="00000000">
        <w:rPr>
          <w:sz w:val="24"/>
          <w:szCs w:val="24"/>
          <w:rtl w:val="0"/>
        </w:rPr>
        <w:t xml:space="preserve">$1,5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bi a ~US</w:t>
      </w:r>
      <w:r w:rsidDel="00000000" w:rsidR="00000000" w:rsidRPr="00000000">
        <w:rPr>
          <w:sz w:val="24"/>
          <w:szCs w:val="24"/>
          <w:rtl w:val="0"/>
        </w:rPr>
        <w:t xml:space="preserve">$5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bi para 2025 —, o que reforça a cautela ao </w:t>
      </w:r>
      <w:r w:rsidDel="00000000" w:rsidR="00000000" w:rsidRPr="00000000">
        <w:rPr>
          <w:sz w:val="24"/>
          <w:szCs w:val="24"/>
          <w:rtl w:val="0"/>
        </w:rPr>
        <w:t xml:space="preserve">citar o tamanho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do mercado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. Projeções mais antigas e repetidas — por exemplo, a estimativa de R</w:t>
      </w:r>
      <w:r w:rsidDel="00000000" w:rsidR="00000000" w:rsidRPr="00000000">
        <w:rPr>
          <w:sz w:val="24"/>
          <w:szCs w:val="24"/>
          <w:rtl w:val="0"/>
        </w:rPr>
        <w:t xml:space="preserve">$40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bilhões para agricultura de precisão até 2026 — datam de 2022 e não devem ser apresentadas como número corrente [16]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Ordem de grandeza do valor por hectare.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Como ponto de partida, reportagem setorial estimou que a conectividade associada à agricultura de precisão poderia gerar economia da ordem de R</w:t>
      </w:r>
      <w:r w:rsidDel="00000000" w:rsidR="00000000" w:rsidRPr="00000000">
        <w:rPr>
          <w:sz w:val="24"/>
          <w:szCs w:val="24"/>
          <w:rtl w:val="0"/>
        </w:rPr>
        <w:t xml:space="preserve">$178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por hectare [21]. É uma referência datada e jornalística, útil apenas como ordem de grandeza inicial: a economia efetiva de cada fazenda deve ser medida em piloto, sobretudo à luz da evidência contrária em pastagem [9].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Adoção real por produtores.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Há evidências jornalísticas recentes de adoção por grandes produtores de grãos. Reportagem de 2025 descreve uma propriedade do Grupo SLC Agrícola que, com aplicação localizada de defensivos e monitoramento de máquinas, reduziu o uso de defensivos em até 90% [22]. Em Mato Grosso do Sul, o Grupo José Pessoa relata o uso de IA para identificar a variedade de soja ideal por talhão [23]. São casos jornalísticos de fazendas individuais — não estudos controlados —, mas, somados aos concorrentes, indicam que a adoção em grãos já está em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line="240" w:lineRule="auto"/>
        <w:ind w:lef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color w:val="000000"/>
          <w:sz w:val="24"/>
          <w:szCs w:val="24"/>
          <w:rtl w:val="0"/>
        </w:rPr>
        <w:t xml:space="preserve">VI. Riscos e Mitigações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O risco número um é a adoção mais lenta que a prevista; mitiga-se com pilotos que comprovem o retorno em reais, </w:t>
      </w:r>
      <w:r w:rsidDel="00000000" w:rsidR="00000000" w:rsidRPr="00000000">
        <w:rPr>
          <w:sz w:val="24"/>
          <w:szCs w:val="24"/>
          <w:rtl w:val="0"/>
        </w:rPr>
        <w:t xml:space="preserve">canais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de vendas via cooperativas e revendas e contratos plurianuais. A conectividade intermitente é mitigada por projeto, pela operação offline-first no gateway de borda. O custo de nuvem é contido empurrando-se inferência leve para a borda. A qualidade do dado e a segurança das recomendações são tratadas por validação humana (agrônomo) antes da ação em campo. Há ainda risco cambial, pois parte do CAPEX (drones e sensores) é importada; recomenda-se modelo asset-light sempre que possível. Por fim, a concentração de receita em poucos clientes grandes é mitigada pela diversificação da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90" w:before="20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color w:val="000000"/>
          <w:sz w:val="24"/>
          <w:szCs w:val="24"/>
          <w:rtl w:val="0"/>
        </w:rPr>
        <w:t xml:space="preserve">VII. Conclusões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custo da desinformação no agronegócio de precisão é matematicamente maior que o custo da tecnologia de mitigação. Ao precificar a plataforma em R$40/ha/ano, a solução assegura o retorno do cliente prevenindo avarias mínimas (como a perda de 16 hectares em uma fazenda de 3.000 ha).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O problema é real e validado pelo mercado: o risco não é de demanda, mas de execução comercial. A solução tem diferencial defensável — integração, operação offline-first e tradução em prescrição acionável — e é construível em fases. Financeiramente, no modelo recomendado (Híbrido), a análise indica viabilidade: VPL positivo e TIR muito acima da TMA em todos os níveis testados (14,25%, 20% e 30%), com payback descontado de aproximadamente três 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A honestidade analítica reside na sensibilidade: se a adoção decepcionar em cerca de 40% e os custos não se ajustarem, o projeto não se paga no horizonte. Logo, a decisão de investir é, fundamentalmente, uma decisão sobre a capacidade de </w:t>
      </w:r>
      <w:r w:rsidDel="00000000" w:rsidR="00000000" w:rsidRPr="00000000">
        <w:rPr>
          <w:sz w:val="24"/>
          <w:szCs w:val="24"/>
          <w:rtl w:val="0"/>
        </w:rPr>
        <w:t xml:space="preserve">acelerar a aquisição de clientes e a expansão dos hectares monitorados.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. Os números são premissas conferidas matematicamente, não dados de mercado verificados; a defesa final depende de substituí-los pelos dados reais da Seção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90" w:before="20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color w:val="000000"/>
          <w:sz w:val="24"/>
          <w:szCs w:val="24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[1] EMBRAPA. Agricultura digital e inteligência artificial. Infoteca-e, 2025.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[2] SANTOS, T. T.; BARBEDO, J. G. A.; TERNES, S.; CAMARGO NETO, J.; KOENIGKAN,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L. V.; SOUZA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, K. X. S. de. Visão computacional aplicada na agricultura. In: Agricultura digital, cap. 6. Embrapa Agricultura Digital,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[3] MASSRUHÁ, S. M. F. S. IoT na Embrapa. BNDES — Estudo Nacional de IoT, jun. 2018.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[4] PRAKASH, C.; SINGH, L. P.; GUPTA, A.; LOHAN, S. K. Advancements in smart farming: a comprehensive review of IoT, wireless communication, sensors, and hardware for agricultural automation. Computers and Electronics in Agriculture, Elsevier, 2023. PII S0924424723004545.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[5] OLIVEIRA, F. S. de; SANTOS, D. E.; BRUHN, F. R. P.; BOHM,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B. C.; SANTANA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, B. S. Visão Computacional na Agricultura de Precisão: análise comparativa de arquiteturas CNN no diagnóstico de doenças foliares do milho. Anais da 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ERAMIA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-RS, Porto Alegre-RS,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[6] BORGES, F. R. D. C.; SILVA, J. M. da. Visão computacional para agricultura de precisão: detecção de pragas com deep learning. Revista DELOS, Curitiba, v. 19, n. 77, p. 01–14, 2026. DOI 10.55905/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rdelosv19.n77-133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[7] DURMUŞ, H.; GÜNEŞ, E. O. Integration of the Mobile Robot and IoT to Collect Data from the Agricultural Fields. 2019 8th Int. Conf. Agro-Geoinformatics, p. 1–5, 2019. DOI 10.1109/Agro-Geoinformatics.2019.8820578.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[8] SCHMIDT, D.; SELLITTO, M. A. Análise de Dados Massivos de Secadores de Grãos via IoT: Eficiência, Riscos e Oportunidades. Revista SODEBRAS, v. 47, n. Especial (XLVII Int. Sodebras Congress), Campinas-SP, set. 2025. ISSN 1809-3957.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[9] SILVA, D.; MACCARI, M. (orient.). Viabilidade Técnica e Econômica da Agricultura de Precisão em Áreas de Pastagens. IC, Agronomia, UNOESC, Xanxerê-SC, 2014.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[10] BANCO CENTRAL DO BRASIL. Taxa Selic. bcb.gov.br. Acesso em 24 jun.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[11] BANCO CENTRAL DO BRASIL. Comunicado e Ata do Copom de 17/06/2026 — Selic 14,25% a.a.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[12] PERFECT FLIGHT. perfectflight.com.br. Acesso em 24 jun.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[13] Perfect Flight — ~25 milhões de hectares digitalizados, 2022. [verificar veículo/data]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[14] SIMA. sima.ag/pt. Acesso em 24 jun.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[15] SIMA ultrapassa 8 milhões de hectares monitorados, 2025. [verificar veículo/data]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[16] Agricultura de Precisão deve crescer R$ 40 bi até 2026, 2022 (projeção antiga; substituída por [29]).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[17] </w:t>
      </w:r>
      <w:r w:rsidDel="00000000" w:rsidR="00000000" w:rsidRPr="00000000">
        <w:rPr>
          <w:rtl w:val="0"/>
        </w:rPr>
        <w:t xml:space="preserve">WiiMilk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 — AgTech de detecção precoce de mastite bovina (IA e visão computacional). Equipe: G. Vargas (UEG), L. Plaster (UFG), P. Viana (PUC-GO); vencedora do Desafio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AgroStartup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 2025 (Senar Goiás). Mais Goiás, dez.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[18] EMBRAPA — Ageitec. Agricultura de Precisão (cana-de-açúcar). embrapa.br. Acesso em 24 jun.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[19] Radar em drone facilita monitoramento agrícola. Pesquisa FAPESP. Acesso em 24 jun.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[20] FUNDAJ. Drones agrícolas: tudo sobre essa inovação. Observa Fundaj. Acesso em 24 jun.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[21] FAVERIN, V.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Conectividade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 no campo pode trazer economia de 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$ 178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 por hectare. Canal Rural, jan. 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[22] BONFIM, Y. Fazenda reduz defensivos em 90% com agricultura de precisão (Grupo SLC Agrícola). Planeta Campo / Canal Rural,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[23] ALMEIDA, G. “Quem não se moderniza fica para trás”,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diz sojicultor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 de MS que aposta em IA (Grupo José Pessoa). Canal Rural, nov.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[24] Levantamento de varejo do drone DJI Mavic 3 Multispectral (RTK):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DronesX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LiliVendas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CentralDrone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, 2025–2026. Faixa 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$ 36.000–41.500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[25] Tecnologia no campo: custos, economia e ROI da agricultura de precisão. Investidor Rural, 2026. IoT R</w:t>
      </w:r>
      <w:r w:rsidDel="00000000" w:rsidR="00000000" w:rsidRPr="00000000">
        <w:rPr>
          <w:rtl w:val="0"/>
        </w:rPr>
        <w:t xml:space="preserve">$20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–120/ha/ano; mapeamento R</w:t>
      </w:r>
      <w:r w:rsidDel="00000000" w:rsidR="00000000" w:rsidRPr="00000000">
        <w:rPr>
          <w:rtl w:val="0"/>
        </w:rPr>
        <w:t xml:space="preserve">$8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–40/ha; pulverização R</w:t>
      </w:r>
      <w:r w:rsidDel="00000000" w:rsidR="00000000" w:rsidRPr="00000000">
        <w:rPr>
          <w:rtl w:val="0"/>
        </w:rPr>
        <w:t xml:space="preserve">$80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–250/ha.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[26] Chip M2M: quanto custa e onde contratar. IOT </w:t>
      </w:r>
      <w:r w:rsidDel="00000000" w:rsidR="00000000" w:rsidRPr="00000000">
        <w:rPr>
          <w:rtl w:val="0"/>
        </w:rPr>
        <w:t xml:space="preserve">Connect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, 2024. A partir de R</w:t>
      </w:r>
      <w:r w:rsidDel="00000000" w:rsidR="00000000" w:rsidRPr="00000000">
        <w:rPr>
          <w:rtl w:val="0"/>
        </w:rPr>
        <w:t xml:space="preserve">$10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/chip/mês.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[27] Salários de desenvolvedores no Brasil (2025–2026): querobolsa,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meutudo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, Microlins, Glassdoor (compilação).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color w:val="000000"/>
          <w:rtl w:val="0"/>
        </w:rPr>
        <w:t xml:space="preserve">[28] Quanto ganha um piloto de drone agrícola (compilação). IstoÉ Dinheiro; O Tempo (Firjan ≈ R$ 8,3 mil),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[29] MORDOR INTELLIGENCE. Agriculture Drones Market. Página do relatório (dados de </w:t>
      </w:r>
      <w:r w:rsidDel="00000000" w:rsidR="00000000" w:rsidRPr="00000000">
        <w:rPr>
          <w:rtl w:val="0"/>
        </w:rPr>
        <w:t xml:space="preserve">Jan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. 2026): US</w:t>
      </w:r>
      <w:r w:rsidDel="00000000" w:rsidR="00000000" w:rsidRPr="00000000">
        <w:rPr>
          <w:rtl w:val="0"/>
        </w:rPr>
        <w:t xml:space="preserve">$1,5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color w:val="000000"/>
          <w:rtl w:val="0"/>
        </w:rPr>
        <w:t xml:space="preserve"> bi (2025) → US</w:t>
      </w:r>
      <w:r w:rsidDel="00000000" w:rsidR="00000000" w:rsidRPr="00000000">
        <w:rPr>
          <w:rtl w:val="0"/>
        </w:rPr>
        <w:t xml:space="preserve">$3,9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 bi (2031), CAGR 16,72%. Estimativas variam por edição (release out. 2025: US</w:t>
      </w:r>
      <w:r w:rsidDel="00000000" w:rsidR="00000000" w:rsidRPr="00000000">
        <w:rPr>
          <w:rtl w:val="0"/>
        </w:rPr>
        <w:t xml:space="preserve">$5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color w:val="000000"/>
          <w:rtl w:val="0"/>
        </w:rPr>
        <w:t xml:space="preserve"> bi → US</w:t>
      </w:r>
      <w:r w:rsidDel="00000000" w:rsidR="00000000" w:rsidRPr="00000000">
        <w:rPr>
          <w:rtl w:val="0"/>
        </w:rPr>
        <w:t xml:space="preserve">$13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 bi até 2030).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[30] Drone DJI Agras T50 (kit pulverização): varejo Próspera Distribuição (R$ 135.000) e Lojão do Drone (R$ 179.780), 2025–2026.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[31] Medidor/sensor de solo (umidade, EC, temperatura, NPK): Hensistemas, a partir de R</w:t>
      </w:r>
      <w:r w:rsidDel="00000000" w:rsidR="00000000" w:rsidRPr="00000000">
        <w:rPr>
          <w:rtl w:val="0"/>
        </w:rPr>
        <w:t xml:space="preserve">$1.499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. 2024–2026.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[32] Estação agrometeorológica profissional: Sigma Sensors; Agrosystem — venda sob orçamento (sem preço público), 2025–2026.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40" w:line="215" w:lineRule="auto"/>
        <w:ind w:left="300" w:hanging="30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rtl w:val="0"/>
        </w:rPr>
        <w:t xml:space="preserve">[33] Kit e planos Starlink Brasil: kit R$ 799 (Mini) a R$ 2.400 (Padrão), até R$ 12.830 (alto desempenho); plano residencial R$ 236/mês (promo R$ 164/mês 1º ano), comercial a partir de R$ 329/mês. minhaconexao/Compre Rural, 2025–2026.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90" w:before="20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color w:val="000000"/>
          <w:sz w:val="24"/>
          <w:szCs w:val="24"/>
          <w:rtl w:val="0"/>
        </w:rPr>
        <w:t xml:space="preserve">Agradecimentos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line="240" w:lineRule="auto"/>
        <w:ind w:firstLine="24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À Escola de Engenharia Elétrica, Mecânica e de Computação (EMC) da Universidade Federal de Goiás (UFG), pelo suporte acadêmico ao desenvolvimento deste trabalho na disciplina de Engenharia Econômica</w:t>
      </w:r>
      <w:r w:rsidDel="00000000" w:rsidR="00000000" w:rsidRPr="00000000">
        <w:rPr>
          <w:sz w:val="24"/>
          <w:szCs w:val="24"/>
          <w:rtl w:val="0"/>
        </w:rPr>
        <w:t xml:space="preserve">, ao Professor Dr. Thyago Marques de Carvalho e à startup WiiMilk.</w:t>
      </w:r>
    </w:p>
    <w:sectPr>
      <w:type w:val="continuous"/>
      <w:pgSz w:h="15840" w:w="12240" w:orient="portrait"/>
      <w:pgMar w:bottom="1080" w:top="1080" w:left="1080" w:right="1080" w:header="708" w:footer="708"/>
      <w:cols w:equalWidth="0" w:num="2">
        <w:col w:space="360" w:w="4860"/>
        <w:col w:space="0" w:w="48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