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C5F2D"/>
          <w:sz w:val="32"/>
          <w:szCs w:val="32"/>
        </w:rPr>
        <w:t xml:space="preserve">Plataforma Inteligente de Monitoramento Rural com IA e Visão Computacional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1C2620"/>
          <w:sz w:val="24"/>
          <w:szCs w:val="24"/>
        </w:rPr>
        <w:t xml:space="preserve">Viabilidade Econômica de Três Modelos de Receita B2B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C2620"/>
          <w:sz w:val="21"/>
          <w:szCs w:val="21"/>
        </w:rPr>
        <w:t xml:space="preserve">Higor Ferreira Silva  ·  Igor Barbosa Lino  ·  Wallyson Miranda Aguiar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5A6152"/>
          <w:sz w:val="18"/>
          <w:szCs w:val="18"/>
        </w:rPr>
        <w:t xml:space="preserve">Escola de Engenharia Elétrica, Mecânica e de Computação (EMC) — Universidade Federal de Goiás (UFG) — Goiânia, GO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A6152"/>
          <w:sz w:val="18"/>
          <w:szCs w:val="18"/>
        </w:rPr>
        <w:t xml:space="preserve">Disciplina: Engenharia Econômica — 2026</w:t>
      </w:r>
    </w:p>
    <w:tbl>
      <w:tblPr>
        <w:tblW w:type="pct" w:w="100%"/>
        <w:tblBorders>
          <w:top w:val="single" w:color="C8941F" w:sz="4"/>
          <w:left w:val="single" w:color="C8941F" w:sz="18"/>
          <w:bottom w:val="single" w:color="C8941F" w:sz="4"/>
          <w:right w:val="single" w:color="C8941F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4E6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3A2C06"/>
                <w:sz w:val="19"/>
                <w:szCs w:val="19"/>
              </w:rPr>
              <w:t xml:space="preserve">Os valores financeiros são premissas de trabalho conferidas matematicamente, não dados de mercado verificados (ver Seção 5).</w:t>
            </w:r>
          </w:p>
        </w:tc>
      </w:tr>
    </w:tbl>
    <w:p>
      <w:pPr>
        <w:spacing w:after="60"/>
      </w:pP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C2620"/>
          <w:sz w:val="24"/>
          <w:szCs w:val="24"/>
        </w:rPr>
        <w:t xml:space="preserve">Resumo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Este artigo avalia a viabilidade econômica de uma plataforma B2B de monitoramento rural que integra drones, sensores IoT e visão computacional com inteligência artificial, voltada a médias e grandes fazendas de grãos do Centro-Oeste brasileiro. O problema central de Engenharia Econômica é determinar se, e em quanto tempo, o investimento se paga. Comparam-se três arquiteturas de receita — SaaS </w:t>
      </w:r>
      <w:r>
        <w:rPr>
          <w:rFonts w:ascii="Calibri" w:cs="Calibri" w:eastAsia="Calibri" w:hAnsi="Calibri"/>
          <w:b w:val="false"/>
          <w:bCs w:val="false"/>
          <w:i/>
          <w:iCs/>
          <w:color w:val="1C2620"/>
          <w:sz w:val="21"/>
          <w:szCs w:val="21"/>
        </w:rPr>
        <w:t xml:space="preserve">asset-light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(A), </w:t>
      </w:r>
      <w:r>
        <w:rPr>
          <w:rFonts w:ascii="Calibri" w:cs="Calibri" w:eastAsia="Calibri" w:hAnsi="Calibri"/>
          <w:b w:val="false"/>
          <w:bCs w:val="false"/>
          <w:i/>
          <w:iCs/>
          <w:color w:val="1C2620"/>
          <w:sz w:val="21"/>
          <w:szCs w:val="21"/>
        </w:rPr>
        <w:t xml:space="preserve">Drone-as-a-Service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com frota própria (B) e Híbrido com taxa de implantação mais assinatura (C) — por VPL, TIR, </w:t>
      </w:r>
      <w:r>
        <w:rPr>
          <w:rFonts w:ascii="Calibri" w:cs="Calibri" w:eastAsia="Calibri" w:hAnsi="Calibri"/>
          <w:b w:val="false"/>
          <w:bCs w:val="false"/>
          <w:i/>
          <w:iCs/>
          <w:color w:val="1C2620"/>
          <w:sz w:val="21"/>
          <w:szCs w:val="21"/>
        </w:rPr>
        <w:t xml:space="preserve">payback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simples e descontado, IBC e ROIA. A TMA é ancorada na Selic vigente (14,25% a.a., Copom de 17/06/2026) e estressada a 20% e 30% a.a. O modelo Híbrido apresenta o melhor desempenho (VPL de R$ 2,94 mi a 20% de TMA; TIR de 85,6%; </w:t>
      </w:r>
      <w:r>
        <w:rPr>
          <w:rFonts w:ascii="Calibri" w:cs="Calibri" w:eastAsia="Calibri" w:hAnsi="Calibri"/>
          <w:b w:val="false"/>
          <w:bCs w:val="false"/>
          <w:i/>
          <w:iCs/>
          <w:color w:val="1C2620"/>
          <w:sz w:val="21"/>
          <w:szCs w:val="21"/>
        </w:rPr>
        <w:t xml:space="preserve">payback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descontado de ≈3 anos). A análise de sensibilidade mostra que a viabilidade depende criticamente da velocidade de adoção de hectares. Conclui-se que a tese de investimento é, no fundo, uma tese sobre execução comercial.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Palavras-chave: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Engenharia Econômica, VPL, TIR, payback, AgTech, agricultura de precisão, viabilidade econômica, SaaS.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2C5F2D"/>
          <w:sz w:val="28"/>
          <w:szCs w:val="28"/>
        </w:rPr>
        <w:t xml:space="preserve">1. Introdução e Contextualização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O agronegócio brasileiro opera sob margens apertadas, exigência crescente de rastreabilidade e janelas de decisão curtas: pragas, doenças e estresse hídrico podem comprometer a safra em poucos dias se não forem detectados a tempo. Simultaneamente, três habilitadores tecnológicos amadureceram: a expansão da conectividade rural, a queda no custo de drones e sensores, e o avanço da IA e da visão computacional a níveis de precisão operacional. O resultado é uma transição em curso para “fazendas inteligentes”.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Diferentemente de mercados em que a tecnologia ainda precisa ser provada, aqui a demanda já está validada por concorrentes ativos com escala relevante (Seção 5). Esse movimento já se reflete no mercado: o segmento global de drones agrícolas foi estimado em cerca de US$ 2,41 bilhões em 2025, com forte crescimento projetado (Mordor Intelligence). O risco, portanto, não é de mercado, mas de execução comercial. O papel da análise de Engenharia Econômica é duplo: provar que o investimento se paga — e em quanto tempo — tanto para o produtor quanto para o negócio que oferece a plataforma.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Este trabalho concentra-se na perspectiva do negócio e responde à pergunta central da disciplina — “a partir de quando o projeto dá lucro?” — com os indicadores clássicos de fluxo de caixa descontado, acompanhados de análise de sensibilidade. Todos os valores monetários são premissas de trabalho, conferidas matematicamente por implementações independentes, e devem ser recalibrados com os dados reais da Seção 5.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2C5F2D"/>
          <w:sz w:val="28"/>
          <w:szCs w:val="28"/>
        </w:rPr>
        <w:t xml:space="preserve">2. Fundamentação Teórica e o Problema do Cliente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C2620"/>
          <w:sz w:val="24"/>
          <w:szCs w:val="24"/>
        </w:rPr>
        <w:t xml:space="preserve">2.1 Fundamentação teórica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agricultura digital, sistematizada por publicações institucionais brasileiras, utiliza dados para otimizar operações, prever problemas e melhorar a eficiência produtiva. Ela se apoia em três pilares que amadureceram em conjunto: a instrumentação do campo por sensores e dispositivos de IoT, a captação de imagens por drones e satélites, e a análise desses dados por modelos de aprendizado de máquina. No núcleo técnico, redes neurais convolucionais e arquiteturas como YOLO e EfficientNet têm sido aplicadas à identificação de pragas, à classificação de culturas e ao reconhecimento de padrões em imagens de campo, com acurácias operacionalmente úteis relatadas na literatura — por exemplo, 94,2% de acurácia com EfficientNet-B0 na detecção de pragas em ambiente natural. A integração entre robótica móvel, IoT e computação em nuvem para aquisição de dados agrícolas foi demonstrada em arquiteturas compostas por sensores, comunicação sem fio e servidores, enquanto a análise massiva de dados operacionais via IoT — exemplificada pelo processamento de mais de 18 milhões de registros oriundos de 352 secadores de grãos conectados — evidencia o potencial de diagnóstico e automação a partir de dados de campo.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No plano da validação comercial, o caso da WiMilk, AgTech brasileira que une IA, visão computacional e monitoramento contínuo na pecuária leiteira, é frequentemente citado como evidência de adoção e geração de valor real. Cabe a ressalva de que se trata de domínio distinto (pecuária leiteira, e não grãos): o caso sustenta a tese tecnológica, mas não constitui comparável direto de mercado para a plataforma de grãos aqui proposta.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literatura também adverte que o retorno da agricultura de precisão é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dependente de contexto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, e não automático. Em estudo experimental em áreas de pastagem (Tifton 85) no Oeste de Santa Catarina, Silva e Maccari (2014) compararam o manejo por taxa variável com o convencional e observaram que a precisão resultou em custo cerca de 32% superior (R$ 1.295,70/ha contra R$ 979,20/ha), sem diferença estatisticamente significativa de produtividade entre os dois sistemas; os autores concluíram que, naquele contexto, a precisão não proporcionou ganho economicamente viável. Esse resultado — de domínio e escala distintos do aqui analisado — reforça a postura metodológica deste trabalho: o ganho por hectare é uma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premissa a ser medida em piloto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, não um número a ser assumido.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C2620"/>
          <w:sz w:val="24"/>
          <w:szCs w:val="24"/>
        </w:rPr>
        <w:t xml:space="preserve">2.2 O problema: a dor do cliente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É contra esse pano de fundo que se define o problema concreto. Médias e grandes fazendas de grãos perdem produtividade por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detecção tardia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de pragas, doenças, falhas de plantio e estresse hídrico, e gastam mais que o necessário com insumos por aplicação uniforme. Hoje o problema é endereçado por inspeção manual amostral, lenta e sujeita a erro em áreas de milhares de hectares, somada a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ferramentas fragmentadas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: um aplicativo de satélite, outro fornecedor para o voo de drone, uma planilha para sensores e o ERP da fazenda à parte, sem integração.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As soluções atuais falham por quatro motivos: (i) fragmentação dos dados; (ii) pressuposto de conectividade estável, que quebra no campo; (iii) entrega de “mapas”, e não de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prescrições acionáveis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; e (iv) retorno não demonstrado em reais, o que trava a adoção. A consequência prática é uma perda financeira recorrente que o produtor sequer mede com precisão — e é justamente essa perda que dimensiona o valor a ser capturado pela solução.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2C5F2D"/>
          <w:sz w:val="28"/>
          <w:szCs w:val="28"/>
        </w:rPr>
        <w:t xml:space="preserve">3. Proposta de Solução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Propõe-se uma plataforma única que conecta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drones, sensores IoT e visão computacional com 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e transforma imagens e leituras de campo em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decisões acionáveis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: alertas priorizados de praga e doença, mapas de prescrição de taxa variável (VRT) exportáveis para o maquinário e indicadores de produtividade por talhão, funcionando mesmo com conectividade ruim (operação offline-first).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Os diferenciais defensáveis são: integração ponta a ponta (drone, IoT, satélite e ERP) em uma camada única; tradução do dado em prescrição e em reais, e não apenas em visualização; resiliência de conectividade por projeto; e uma base de dados proprietária que melhora os modelos a cada safra (efeito de rede de dados).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2C5F2D"/>
          <w:sz w:val="28"/>
          <w:szCs w:val="28"/>
        </w:rPr>
        <w:t xml:space="preserve">4. Metodologia da Solução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C2620"/>
          <w:sz w:val="24"/>
          <w:szCs w:val="24"/>
        </w:rPr>
        <w:t xml:space="preserve">5.1 Dimensão Técnica: arquitetura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arquitetura é organizada em camadas, o que permite um MVP enxuto e a escala sem reescrita do núcleo. A decisão central é a separação entre borda (campo) e nuvem: tarefas leves e o buffer offline ficam em um gateway na fazenda, enquanto o processamento pesado (ortomosaico, treino de modelos) fica na nuvem, com custo elástico.</w:t>
      </w:r>
    </w:p>
    <w:tbl>
      <w:tblPr>
        <w:tblW w:type="pct" w:w="100%"/>
        <w:tblBorders>
          <w:top w:val="single" w:color="D8D3C7" w:sz="4"/>
          <w:left w:val="single" w:color="D8D3C7" w:sz="4"/>
          <w:bottom w:val="single" w:color="D8D3C7" w:sz="4"/>
          <w:right w:val="single" w:color="D8D3C7" w:sz="4"/>
          <w:insideH w:val="single" w:color="D8D3C7" w:sz="4"/>
          <w:insideV w:val="single" w:color="D8D3C7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Camada</w:t>
            </w:r>
          </w:p>
        </w:tc>
        <w:tc>
          <w:tcPr>
            <w:tcW w:type="pct" w:w="40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Função</w:t>
            </w:r>
          </w:p>
        </w:tc>
        <w:tc>
          <w:tcPr>
            <w:tcW w:type="pct" w:w="34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Racional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Captação (Edge)</w:t>
            </w:r>
          </w:p>
        </w:tc>
        <w:tc>
          <w:tcPr>
            <w:tcW w:type="pct" w:w="4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Drone (RGB/multiespectral) + IoT + satélite</w:t>
            </w:r>
          </w:p>
        </w:tc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Redundância de fonte de dado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Borda (Gateway)</w:t>
            </w:r>
          </w:p>
        </w:tc>
        <w:tc>
          <w:tcPr>
            <w:tcW w:type="pct" w:w="4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Buffer offline, pré-processamento, inferência leve</w:t>
            </w:r>
          </w:p>
        </w:tc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Resolve conectividade; reduz custo de nuvem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Processamento (Nuvem)</w:t>
            </w:r>
          </w:p>
        </w:tc>
        <w:tc>
          <w:tcPr>
            <w:tcW w:type="pct" w:w="4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Ortomosaico, treino, VC pesada</w:t>
            </w:r>
          </w:p>
        </w:tc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Escala elástica de GPU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Dados</w:t>
            </w:r>
          </w:p>
        </w:tc>
        <w:tc>
          <w:tcPr>
            <w:tcW w:type="pct" w:w="4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Geoespacial + séries temporais + imagens</w:t>
            </w:r>
          </w:p>
        </w:tc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Cada dado no banco adequado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Aplicação</w:t>
            </w:r>
          </w:p>
        </w:tc>
        <w:tc>
          <w:tcPr>
            <w:tcW w:type="pct" w:w="4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Dashboard, alertas, prescrição</w:t>
            </w:r>
          </w:p>
        </w:tc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Onde o dado vira decisão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Integração</w:t>
            </w:r>
          </w:p>
        </w:tc>
        <w:tc>
          <w:tcPr>
            <w:tcW w:type="pct" w:w="4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Exportar prescrição (ISO-XML) e ERP</w:t>
            </w:r>
          </w:p>
        </w:tc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O “último metro” do valor</w:t>
            </w:r>
          </w:p>
        </w:tc>
      </w:tr>
    </w:tbl>
    <w:p>
      <w:pPr>
        <w:spacing w:after="60"/>
      </w:pP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O faseamento previsto é: MVP (uma fonte de dado, um caso de IA, dashboard e uma fazenda-piloto) → V1 (IoT, satélite e mapa de prescrição) → V2 (modelos preditivos, integração com maquinário e base multifazenda).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Pipeline de dados e modelos de IA.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camada inteligente é alimentada por um pipeline com limpeza, normalização, padronização, enriquecimento e validação dos dados. As fontes podem combinar bases públicas (por exemplo, PlantVillage e conjuntos da Embrapa) com bases próprias (drones, smartphones e sensores locais). Para o treino dos modelos de visão computacional, adota-se a partição usual de 70% para treino, 15% para validação e 15% para teste, avaliada por acurácia, precisão, recall, F1-score e mAP, além da matriz de confusão. Essa disciplina permite tratar a melhoria contínua dos modelos como um ativo (efeito de rede de dados).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C2620"/>
          <w:sz w:val="24"/>
          <w:szCs w:val="24"/>
        </w:rPr>
        <w:t xml:space="preserve">5.2 Dimensão Financeira: viabilidade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Indicadores e regras de decisão.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TMA é o custo de oportunidade (taxa de desconto). O VPL mede a riqueza criada no presente (viável se VPL &gt; 0). A TIR é a taxa que zera o VPL (atrativo se TIR &gt; TMA). O payback simples e o descontado medem o tempo de recuperação do capital, sem e com o custo do dinheiro. O IBC é a razão entre o valor presente dos benefícios e o investimento (cria valor se IBC &gt; 1), e o ROIA = IBC^(1/n) − 1 expressa o ganho percentual real acima da TMA.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Taxa Mínima de Atratividade (TMA).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referência é a Selic vigente, 14,25% a.a., definida pelo Copom em 17/06/2026 (ata divulgada em 23/06/2026). Usam-se três níveis: piso de 14,25% (custo de oportunidade puro), recomendado de 20% (Selic mais prêmio de risco de venture) e estresse de 30%. A taxa deve ser reconferida na data de defesa.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Premissas centrais (ilustrativas).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Investimento inicial de R$ 380.000 no Ano 0; horizonte de 5 anos; curva de adoção de 25 mil a 550 mil hectares ativos; fazenda média de 3.000 ha por cliente; e, no modelo recomendado, preço de R$ 22/ha/ano somado a uma taxa de implantação.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Referências de mercado para CAPEX e OPEX.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Para ancorar a ordem de grandeza das premissas, levantaram-se faixas reais de preço de fornecedores e fontes setoriais brasileiros (2024–2026). São referências de calibração, não cotações fechadas: oscilam com fornecedor, configuração, região e escala, e devem ser confirmadas por orçamento. No CAPEX, um drone de mapeamento multiespectral (classe DJI Mavic 3 Multispectral, com RTK) custa entre R$ 36 mil e R$ 41,5 mil no varejo nacional; estações e redes de sensores são vendidas sob orçamento, com a camada de IoT estimada em R$ 20–120/ha por ano (aquisição diluída, conectividade, manutenção e software). No OPEX, a conectividade via chip M2M parte de cerca de R$ 10/mês por dispositivo; a equipe é o item dominante (desenvolvedores de R$ 3 mil júnior a R$ 12 mil+ sênior por mês na base CLT; pilotos de drone agrícola de R$ 4 mil a R$ 8 mil/mês), lembrando que o custo real ao empregador costuma ser 1,7–2× o salário-base por causa dos encargos. Como verificação de coerência, o preço de mapeamento por drone praticado no mercado (R$ 8–40/ha) é da mesma ordem de grandeza do preço de R$ 22/ha/ano do modelo recomendado.</w:t>
      </w:r>
    </w:p>
    <w:tbl>
      <w:tblPr>
        <w:tblW w:type="pct" w:w="100%"/>
        <w:tblBorders>
          <w:top w:val="single" w:color="D8D3C7" w:sz="4"/>
          <w:left w:val="single" w:color="D8D3C7" w:sz="4"/>
          <w:bottom w:val="single" w:color="D8D3C7" w:sz="4"/>
          <w:right w:val="single" w:color="D8D3C7" w:sz="4"/>
          <w:insideH w:val="single" w:color="D8D3C7" w:sz="4"/>
          <w:insideV w:val="single" w:color="D8D3C7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Tipo</w:t>
            </w:r>
          </w:p>
        </w:tc>
        <w:tc>
          <w:tcPr>
            <w:tcW w:type="pct" w:w="50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Item</w:t>
            </w:r>
          </w:p>
        </w:tc>
        <w:tc>
          <w:tcPr>
            <w:tcW w:type="pct" w:w="32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Faixa (BR, 2024–2026)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CAPEX</w:t>
            </w:r>
          </w:p>
        </w:tc>
        <w:tc>
          <w:tcPr>
            <w:tcW w:type="pct" w:w="5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Drone mapeamento multiespectral (RTK)</w:t>
            </w:r>
          </w:p>
        </w:tc>
        <w:tc>
          <w:tcPr>
            <w:tcW w:type="pct" w:w="3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R$ 36–41,5 mil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CAPEX/OPEX</w:t>
            </w:r>
          </w:p>
        </w:tc>
        <w:tc>
          <w:tcPr>
            <w:tcW w:type="pct" w:w="5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Camada IoT (sensores), por ha/ano</w:t>
            </w:r>
          </w:p>
        </w:tc>
        <w:tc>
          <w:tcPr>
            <w:tcW w:type="pct" w:w="3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R$ 20–120/ha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OPEX</w:t>
            </w:r>
          </w:p>
        </w:tc>
        <w:tc>
          <w:tcPr>
            <w:tcW w:type="pct" w:w="5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Conectividade M2M, por chip/mês</w:t>
            </w:r>
          </w:p>
        </w:tc>
        <w:tc>
          <w:tcPr>
            <w:tcW w:type="pct" w:w="3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a partir de R$ 10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OPEX</w:t>
            </w:r>
          </w:p>
        </w:tc>
        <w:tc>
          <w:tcPr>
            <w:tcW w:type="pct" w:w="5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Dev. de software (júnior–sênior)/mês</w:t>
            </w:r>
          </w:p>
        </w:tc>
        <w:tc>
          <w:tcPr>
            <w:tcW w:type="pct" w:w="3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R$ 3–12 mil+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OPEX</w:t>
            </w:r>
          </w:p>
        </w:tc>
        <w:tc>
          <w:tcPr>
            <w:tcW w:type="pct" w:w="5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Piloto de drone agrícola/mês</w:t>
            </w:r>
          </w:p>
        </w:tc>
        <w:tc>
          <w:tcPr>
            <w:tcW w:type="pct" w:w="3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R$ 4–8 mil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Referência</w:t>
            </w:r>
          </w:p>
        </w:tc>
        <w:tc>
          <w:tcPr>
            <w:tcW w:type="pct" w:w="5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Serviço de mapeamento por drone</w:t>
            </w:r>
          </w:p>
        </w:tc>
        <w:tc>
          <w:tcPr>
            <w:tcW w:type="pct" w:w="3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R$ 8–40/ha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Referência</w:t>
            </w:r>
          </w:p>
        </w:tc>
        <w:tc>
          <w:tcPr>
            <w:tcW w:type="pct" w:w="5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Serviço de pulverização por drone</w:t>
            </w:r>
          </w:p>
        </w:tc>
        <w:tc>
          <w:tcPr>
            <w:tcW w:type="pct" w:w="3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R$ 80–250/ha</w:t>
            </w:r>
          </w:p>
        </w:tc>
      </w:tr>
    </w:tbl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color w:val="1C2620"/>
          <w:sz w:val="17"/>
          <w:szCs w:val="17"/>
        </w:rPr>
        <w:t xml:space="preserve">Fontes: levantamento de varejo (DronesX, LiliVendas, CentralDrone); Investidor Rural (2026) para IoT/ha, mapeamento e pulverização; IOT Conect (M2M); querobolsa/meutudo/Microlins/Glassdoor (salários de dev); IstoÉ Dinheiro/O Tempo–Firjan (piloto). Faixas de calibração, não cotações.</w:t>
      </w:r>
    </w:p>
    <w:p>
      <w:pPr>
        <w:spacing w:after="60"/>
      </w:pP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Fluxo de caixa do modelo recomendado (C — Híbrido), em R$:</w:t>
      </w:r>
    </w:p>
    <w:tbl>
      <w:tblPr>
        <w:tblW w:type="pct" w:w="100%"/>
        <w:tblBorders>
          <w:top w:val="single" w:color="D8D3C7" w:sz="4"/>
          <w:left w:val="single" w:color="D8D3C7" w:sz="4"/>
          <w:bottom w:val="single" w:color="D8D3C7" w:sz="4"/>
          <w:right w:val="single" w:color="D8D3C7" w:sz="4"/>
          <w:insideH w:val="single" w:color="D8D3C7" w:sz="4"/>
          <w:insideV w:val="single" w:color="D8D3C7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Ano</w:t>
            </w:r>
          </w:p>
        </w:tc>
        <w:tc>
          <w:tcPr>
            <w:tcW w:type="pct" w:w="22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Receita</w:t>
            </w:r>
          </w:p>
        </w:tc>
        <w:tc>
          <w:tcPr>
            <w:tcW w:type="pct" w:w="22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Custo total</w:t>
            </w:r>
          </w:p>
        </w:tc>
        <w:tc>
          <w:tcPr>
            <w:tcW w:type="pct" w:w="22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Fluxo líquido</w:t>
            </w:r>
          </w:p>
        </w:tc>
        <w:tc>
          <w:tcPr>
            <w:tcW w:type="pct" w:w="22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Acumulado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−380.000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−380.000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1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716.667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1.115.000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−398.333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−778.333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1.840.000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1.752.000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88.000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−690.333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3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4.120.000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3.136.000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984.000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293.667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4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8.106.667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5.632.000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2.474.667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2.768.333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5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13.633.333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9.090.000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4.543.333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7.311.667</w:t>
            </w:r>
          </w:p>
        </w:tc>
      </w:tr>
    </w:tbl>
    <w:p>
      <w:pPr>
        <w:spacing w:after="60"/>
      </w:pP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Comparação dos três modelos de receita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(validada por duas implementações independentes — Python e JavaScript). VPL em R$:</w:t>
      </w:r>
    </w:p>
    <w:tbl>
      <w:tblPr>
        <w:tblW w:type="pct" w:w="100%"/>
        <w:tblBorders>
          <w:top w:val="single" w:color="D8D3C7" w:sz="4"/>
          <w:left w:val="single" w:color="D8D3C7" w:sz="4"/>
          <w:bottom w:val="single" w:color="D8D3C7" w:sz="4"/>
          <w:right w:val="single" w:color="D8D3C7" w:sz="4"/>
          <w:insideH w:val="single" w:color="D8D3C7" w:sz="4"/>
          <w:insideV w:val="single" w:color="D8D3C7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Indicador</w:t>
            </w:r>
          </w:p>
        </w:tc>
        <w:tc>
          <w:tcPr>
            <w:tcW w:type="pct" w:w="22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A) SaaS</w:t>
            </w:r>
          </w:p>
        </w:tc>
        <w:tc>
          <w:tcPr>
            <w:tcW w:type="pct" w:w="22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B) DaaS</w:t>
            </w:r>
          </w:p>
        </w:tc>
        <w:tc>
          <w:tcPr>
            <w:tcW w:type="pct" w:w="22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C) Híbrido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Investimento Ano 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380.000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380.000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380.000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VPL (TMA 14,25%)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3.622.344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864.845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3.784.968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VPL (TMA 20%)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2.788.869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431.690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2.937.891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VPL (TMA 30%)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1.774.627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−67.162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1.903.646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TIR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79,9%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28,3%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85,6%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Payback simples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2,91 anos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4,21 anos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2,70 anos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Payback descontado (20%)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3,20 anos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4,70 anos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3,07 anos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IBC (20%)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8,34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2,14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8,73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ROIA (20%)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52,8% a.a.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16,4% a.a.</w:t>
            </w:r>
          </w:p>
        </w:tc>
        <w:tc>
          <w:tcPr>
            <w:tcW w:type="pct" w:w="22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54,2% a.a.</w:t>
            </w:r>
          </w:p>
        </w:tc>
      </w:tr>
    </w:tbl>
    <w:p>
      <w:pPr>
        <w:spacing w:after="60"/>
      </w:pP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O modelo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C (Híbrido)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é o melhor: a taxa de implantação adianta caixa e produz o menor payback com o maior VPL. O modelo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A (SaaS)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é uma alternativa enxuta, quase tão boa quanto C. O modelo </w:t>
      </w: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B (DaaS)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 parece atraente pelo ticket maior, mas é intensivo em capital (frota crescente até 46 unidades no Ano 5) e de margem fina; seu VPL é muito menor, com payback próximo de 4,7 anos e valor negativo sob TMA de 30%. Recomenda-se rejeitar B como núcleo, mantendo-o no máximo como serviço premium pago pelo cliente.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A partir de quando há lucro?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Para o modelo C: o break-even operacional ocorre no Ano 2 (+R$ 88 mil); o payback simples é de ≈2,7 anos; e o payback descontado — definição mais rigorosa — é de ≈3,1 anos. Como o horizonte é de 5 anos, o projeto é viável: VPL positivo, TIR muito acima da TMA e IBC maior que 1.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Análise de sensibilidade.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O motor do resultado é a adoção. Para a hipótese pessimista, apresentam-se dois limites de elasticidade de custo: “custo fixo” (a estrutura não cai com a menor adoção — conservador) e “custo escalável” (os custos acompanham a queda — otimista). A faixa resultante é a informação honesta.</w:t>
      </w:r>
    </w:p>
    <w:tbl>
      <w:tblPr>
        <w:tblW w:type="pct" w:w="100%"/>
        <w:tblBorders>
          <w:top w:val="single" w:color="D8D3C7" w:sz="4"/>
          <w:left w:val="single" w:color="D8D3C7" w:sz="4"/>
          <w:bottom w:val="single" w:color="D8D3C7" w:sz="4"/>
          <w:right w:val="single" w:color="D8D3C7" w:sz="4"/>
          <w:insideH w:val="single" w:color="D8D3C7" w:sz="4"/>
          <w:insideV w:val="single" w:color="D8D3C7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4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Cenário</w:t>
            </w:r>
          </w:p>
        </w:tc>
        <w:tc>
          <w:tcPr>
            <w:tcW w:type="pct" w:w="30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VPL (20%)</w:t>
            </w:r>
          </w:p>
        </w:tc>
        <w:tc>
          <w:tcPr>
            <w:tcW w:type="pct" w:w="26%"/>
            <w:shd w:fill="E7EF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620"/>
                <w:sz w:val="18"/>
                <w:szCs w:val="18"/>
              </w:rPr>
              <w:t xml:space="preserve">Veredito</w:t>
            </w:r>
          </w:p>
        </w:tc>
      </w:tr>
      <w:tr>
        <w:trPr>
          <w:tblHeader w:val="false"/>
        </w:trPr>
        <w:tc>
          <w:tcPr>
            <w:tcW w:type="pct" w:w="4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Otimista (ad. +25%, pr. +10%)</w:t>
            </w:r>
          </w:p>
        </w:tc>
        <w:tc>
          <w:tcPr>
            <w:tcW w:type="pct" w:w="3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R$ 4,80 a 6,36 mi</w:t>
            </w:r>
          </w:p>
        </w:tc>
        <w:tc>
          <w:tcPr>
            <w:tcW w:type="pct" w:w="26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Muito viável</w:t>
            </w:r>
          </w:p>
        </w:tc>
      </w:tr>
      <w:tr>
        <w:trPr>
          <w:tblHeader w:val="false"/>
        </w:trPr>
        <w:tc>
          <w:tcPr>
            <w:tcW w:type="pct" w:w="4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Base (premissas centrais)</w:t>
            </w:r>
          </w:p>
        </w:tc>
        <w:tc>
          <w:tcPr>
            <w:tcW w:type="pct" w:w="3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R$ 2,94 mi</w:t>
            </w:r>
          </w:p>
        </w:tc>
        <w:tc>
          <w:tcPr>
            <w:tcW w:type="pct" w:w="26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Viável</w:t>
            </w:r>
          </w:p>
        </w:tc>
      </w:tr>
      <w:tr>
        <w:trPr>
          <w:tblHeader w:val="false"/>
        </w:trPr>
        <w:tc>
          <w:tcPr>
            <w:tcW w:type="pct" w:w="44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Pessimista (ad. −40%, pr. −15%)</w:t>
            </w:r>
          </w:p>
        </w:tc>
        <w:tc>
          <w:tcPr>
            <w:tcW w:type="pct" w:w="30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R$ −1,63 a +0,87 mi</w:t>
            </w:r>
          </w:p>
        </w:tc>
        <w:tc>
          <w:tcPr>
            <w:tcW w:type="pct" w:w="26%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620"/>
                <w:sz w:val="18"/>
                <w:szCs w:val="18"/>
              </w:rPr>
              <w:t xml:space="preserve">Limítrofe/inviável</w:t>
            </w:r>
          </w:p>
        </w:tc>
      </w:tr>
    </w:tbl>
    <w:p>
      <w:pPr>
        <w:spacing w:after="60"/>
      </w:pP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conclusão de risco é que, se a contratação de hectares ficar cerca de 40% abaixo do esperado e os custos não se ajustarem na mesma velocidade, o projeto não se paga no horizonte. A tese é, no fundo, sobre velocidade de aquisição de hectares.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2C5F2D"/>
          <w:sz w:val="28"/>
          <w:szCs w:val="28"/>
        </w:rPr>
        <w:t xml:space="preserve">5. Case Real e Validação de Mercado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força do trabalho está em substituir as premissas por dados verificáveis. Esta seção separa, deliberadamente, o que já é verificável do que ainda precisa ser coletado.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Demanda validada por concorrentes (verificado).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Perfect Flight reportou da ordem de 25 a 27 milhões de hectares digitalizados e monitorados (dados de 2022). A SIMA, presente em oito países da América Latina, reportava mais de 8 milhões de hectares monitorados em 2025. Esses números confirmam demanda e disposição a pagar; o diferencial proposto está na integração ponta a ponta e na entrega de prescrição acionável.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Tamanho de mercado.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Para a ordem de grandeza atual, a Mordor Intelligence (citada pelo jornal O Tempo, jun. 2025) avalia o segmento global de drones agrícolas em cerca de US$ 2,41 bilhões em 2025, com projeção de US$ 5,08 bilhões até 2030 (crescimento anual da ordem de 16%). Projeções mais antigas e repetidas — por exemplo, a estimativa de R$ 40 bilhões para agricultura de precisão até 2026 — datam de 2022 e não devem ser apresentadas como número corrente; cite sempre a fonte e o ano.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Ordem de grandeza do valor por hectare (referência jornalística, 2022).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Reportagem setorial estimou que a conectividade associada à agricultura de precisão poderia gerar economia da ordem de R$ 178 por hectare. É uma referência datada (2022) e jornalística, útil apenas como ordem de grandeza inicial: a economia efetiva de cada fazenda deve ser medida em piloto, sobretudo à luz da evidência contrária observada em pastagem (Silva e Maccari).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Adoção real por produtores (verificado em reportagem, 2025).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Há evidências jornalísticas recentes de adoção por grandes produtores de grãos. Reportagem de 2025 descreve uma propriedade do Grupo SLC Agrícola que reduziu o uso de defensivos em até 90% com aplicação localizada e monitoramento de máquinas. Em Mato Grosso do Sul, o Grupo José Pessoa relata o uso de IA para identificar a variedade de soja ideal por talhão e o momento de plantio. São casos jornalísticos de fazendas individuais — não estudos controlados —, mas, somados aos concorrentes, indicam que a adoção em grãos já está em curso. O contraponto da Seção 2 (pastagem) permanece válido: o ganho varia por contexto e deve ser medido em piloto.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Caso de fazenda (a coletar).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Levantar, em uma fazenda representativa do Centro-Oeste: área, cultura, perda média por safra por detecção tardia, gasto com insumos e horas de inspeção, traduzindo-os em reais economizados por ano. A equipe em Goiânia tem vantagem de acesso a um caso real.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C2620"/>
          <w:sz w:val="21"/>
          <w:szCs w:val="21"/>
        </w:rPr>
        <w:t xml:space="preserve">CAPEX/OPEX (a cotar).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Preços por hectare, custo de nuvem, equipamentos (drone e sensores) e equipe são premissas próprias deste estudo, sem fonte externa; devem ser substituídos por cotações reais, datadas, e os indicadores recalculados.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2C5F2D"/>
          <w:sz w:val="28"/>
          <w:szCs w:val="28"/>
        </w:rPr>
        <w:t xml:space="preserve">6. Riscos e Mitigações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O risco número um é a adoção mais lenta que a prevista; mitiga-se com pilotos que comprovem o retorno em reais, canal de vendas via cooperativas e revendas e contratos plurianuais. A conectividade intermitente é mitigada por projeto, pela operação offline-first no gateway de borda. O custo de nuvem é contido empurrando-se inferência leve para a borda. A qualidade do dado e a segurança das recomendações são tratadas por validação humana (agrônomo) antes da ação em campo. A concentração de receita em poucos clientes grandes é mitigada pela diversificação da base.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2C5F2D"/>
          <w:sz w:val="28"/>
          <w:szCs w:val="28"/>
        </w:rPr>
        <w:t xml:space="preserve">7. Conclusões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O problema é real e validado pelo mercado: o risco não é de demanda, mas de execução comercial. A solução tem diferencial defensável — integração, operação offline-first e tradução em prescrição acionável — e é construível em fases. Financeiramente, no modelo recomendado (Híbrido), a análise indica viabilidade: VPL positivo e TIR muito acima da TMA em todos os níveis testados (14,25%, 20% e 30%), com payback descontado de aproximadamente três anos.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2620"/>
          <w:sz w:val="21"/>
          <w:szCs w:val="21"/>
        </w:rPr>
        <w:t xml:space="preserve">A honestidade analítica reside na sensibilidade: se a adoção decepcionar em cerca de 40% e os custos não se ajustarem, o projeto não se paga no horizonte. Logo, a decisão de investir é, fundamentalmente, uma decisão sobre a capacidade de acelerar a adoção de hectares. Os números aqui apresentados são premissas conferidas, não dados verificados; a defesa final depende de substituí-los pelos dados reais da Seção 5.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2C5F2D"/>
          <w:sz w:val="28"/>
          <w:szCs w:val="28"/>
        </w:rPr>
        <w:t xml:space="preserve">Referências</w:t>
      </w:r>
    </w:p>
    <w:p>
      <w:pPr>
        <w:spacing w:after="120" w:line="264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color w:val="5A6152"/>
          <w:sz w:val="18"/>
          <w:szCs w:val="18"/>
        </w:rPr>
        <w:t xml:space="preserve">As referências marcadas com (completar) precisam de autor, ano e/ou data de acesso antes da entrega final — não foram inventados dados.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[1] EMBRAPA. Agricultura digital e inteligência artificial. Infoteca-e, Embrapa Agricultura Digital, 2025. (acesso em 24 jun. 2026). [verificado]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[2] EMBRAPA. Visão Computacional Aplicada na Agricultura. embrapa.br/.../1126261 — [verificar ano]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[3] BNDES; EMBRAPA. Internet das Coisas: um plano de ação para o Brasil — Agricultura (Embrapa). — [verificar ano]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[4] Smart Farming Review. Computers and Electronics in Agriculture (ScienceDirect), PII S0924424723004545 — [verificar autores, ano]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[5] Sociedade Brasileira de Computação. Visão Computacional na Agricultura de Precisão. Anais (ERAMIA-RS). — [verificar autores e ano]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[6] BORGES, F. R. D. C.; SILVA, J. M. da. Visão computacional para agricultura de precisão: detecção de pragas com deep learning em ambientes naturais. Revista DELOS, Curitiba, v. 19, n. 77, p. 01-14, 2026. DOI: 10.55905/rdelosv19.n77-133. [verificado]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[7] DURMUŞ, H.; GÜNEŞ, E. O. Integration of the Mobile Robot and Internet of Things to Collect Data from the Agricultural Fields. In: 2019 8th Int. Conf. on Agro-Geoinformatics, p. 1-5, 2019. DOI: 10.1109/Agro-Geoinformatics.2019.8820578. [verificado]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[8] Análise de Dados Massivos de Secadores de Grãos via IoT. Revista SODEBRAS, v. 47, n. Especial (XLVII International Sodebras Congress), 2025. ISSN 1809-3957. — [verificar autores]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[9] SILVA, D.; MACCARI, M. (orient.). Viabilidade Técnica e Econômica do Sistema de Agricultura de Precisão em Áreas de Pastagens. Iniciação Científica, Agronomia, UNOESC, Xanxerê, SC, 2014. [verificado]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[10] Banco Central do Brasil. Taxa Selic. bcb.gov.br (acesso em 24 jun. 2026).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[11] Banco Central do Brasil. Comunicado e Ata do Copom de 17/06/2026 — Selic reduzida para 14,25% a.a. (jun. 2026).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[12] Perfect Flight. perfectflight.com.br (acesso em 24 jun. 2026).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[13] Perfect Flight atinge ~25 milhões de hectares digitalizados e monitorados, 2022 (dados de 2022). — [verificar veículo/data]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[14] SIMA — Sistema Integrado de Monitoramento Agrícola. sima.ag/pt (acesso em 24 jun. 2026).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[15] SIMA ultrapassa 8 milhões de hectares monitorados, 2025. — [verificar veículo/data]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[16] Agricultura de Precisão deve crescer R$ 40 bi até 2026, 2022 (projeção antiga; tratar com cautela).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[17] WiMilk — AgTech de monitoramento na pecuária leiteira (IA e visão computacional). Estudo de caso. — [verificar fonte e data]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[18] EMBRAPA — Ageitec. Agricultura de Precisão (cana-de-açúcar). embrapa.br (acesso em 24 jun. 2026).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[19] Radar em drone facilita monitoramento agrícola. Pesquisa FAPESP. (acesso em 24 jun. 2026).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[20] Fundação Joaquim Nabuco (Fundaj). Drones agrícolas: tudo sobre essa inovação. Observa Fundaj. (acesso em 24 jun. 2026).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[21] FAVERIN, V. Conectividade no campo pode trazer economia de R$ 178 por hectare. Canal Rural, jan. 2022. (acesso em 24 jun. 2026).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[22] BONFIM, Y. Fazenda reduz defensivos em 90% com agricultura de precisão (Grupo SLC Agrícola). Planeta Campo / Canal Rural, 2025. (acesso em 24 jun. 2026). [verificado]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[23] ALMEIDA, G. 'Quem não se moderniza fica para trás', diz sojicultor de MS que aposta em IA (Grupo José Pessoa). Canal Rural, nov. 2025. (acesso em 24 jun. 2026). [verificado]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[24] Levantamento de varejo do drone DJI Mavic 3 Multispectral (RTK) em lojas brasileiras (DronesX, LiliVendas, CentralDrone), 2025–2026. Faixa: R$ 36.000–41.500. [verificado — varejo]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[25] Tecnologia no campo: custos, economia e ROI da agricultura de precisão. Investidor Rural, 2026. IoT R$ 20–120/ha/ano; mapeamento R$ 8–40/ha; pulverização R$ 80–250/ha. [conteúdo setorial, não primário]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[26] Chip M2M: quanto custa e onde contratar. IOT Conect, 2024. Mensalidade a partir de R$ 10/chip. [varejo/serviço]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[27] Salários de desenvolvedores no Brasil (2025–2026): querobolsa, meutudo, Microlins, Glassdoor (compilação). Júnior R$ 3–6 mil; pleno R$ 5–11 mil; sênior R$ 8–12 mil+.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[28] Quanto ganha um piloto de drone agrícola (compilação). IstoÉ Dinheiro, O Tempo (Firjan ≈ R$ 8,3 mil), 2025. Faixa no agro: R$ 4–8 mil/mês.</w:t>
      </w:r>
    </w:p>
    <w:p>
      <w:pPr>
        <w:spacing w:after="40" w:line="240"/>
      </w:pPr>
      <w:r>
        <w:rPr>
          <w:rFonts w:ascii="Calibri" w:cs="Calibri" w:eastAsia="Calibri" w:hAnsi="Calibri"/>
          <w:color w:val="1C2620"/>
          <w:sz w:val="18"/>
          <w:szCs w:val="18"/>
        </w:rPr>
        <w:t xml:space="preserve">[29] MORDOR INTELLIGENCE. Mercado de drones agrícolas (citado por O Tempo, jun. 2025): ≈ US$ 2,41 bi (2025) e US$ 5,08 bi (2030). — [verificar no relatório Mordor]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152"/>
        <w:sz w:val="16"/>
        <w:szCs w:val="16"/>
      </w:rPr>
      <w:t xml:space="preserve">Plataforma Inteligente de Monitoramento Rural · Engenharia Econômica · UFG-EMC · </w:t>
    </w:r>
    <w:r>
      <w:rPr>
        <w:rFonts w:ascii="Calibri" w:cs="Calibri" w:eastAsia="Calibri" w:hAnsi="Calibri"/>
        <w:color w:val="5A6152"/>
        <w:sz w:val="16"/>
        <w:szCs w:val="16"/>
      </w:rPr>
      <w:t xml:space="preserve">Pág.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2026-06-24T04:48:18.137Z</dcterms:created>
  <dcterms:modified xsi:type="dcterms:W3CDTF">2026-06-24T04:48:18.137Z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