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80" w:lineRule="auto"/>
        <w:jc w:val="center"/>
        <w:rPr/>
      </w:pPr>
      <w:r w:rsidDel="00000000" w:rsidR="00000000" w:rsidRPr="00000000">
        <w:rPr>
          <w:i w:val="0"/>
          <w:iCs w:val="0"/>
          <w:smallCaps w:val="0"/>
          <w:color w:val="000000"/>
          <w:sz w:val="44"/>
          <w:szCs w:val="44"/>
          <w:rtl w:val="0"/>
        </w:rPr>
        <w:t xml:space="preserve">Plataforma Inteligente de Monitoramento Rural com IA e Visão Computacional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20" w:lineRule="auto"/>
        <w:jc w:val="center"/>
        <w:rPr>
          <w:sz w:val="24"/>
          <w:szCs w:val="24"/>
        </w:rPr>
        <w:sectPr>
          <w:pgSz w:h="15840" w:w="12240" w:orient="portrait"/>
          <w:pgMar w:bottom="1080" w:top="1080" w:left="1080" w:right="1080" w:header="708" w:footer="708"/>
          <w:pgNumType w:start="1"/>
        </w:sect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Higor Ferreira Silva, Igor Barbosa Lino e Wallyson Miranda Aguiar, EMC/UFG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line="230" w:lineRule="auto"/>
        <w:ind w:firstLine="240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i w:val="1"/>
          <w:iCs w:val="1"/>
          <w:smallCaps w:val="0"/>
          <w:color w:val="000000"/>
          <w:rtl w:val="0"/>
        </w:rPr>
        <w:t xml:space="preserve">Resumo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rtl w:val="0"/>
        </w:rPr>
        <w:t xml:space="preserve">— Este artigo avalia a viabilidade econômica de uma plataforma B2B de monitoramento rural que integra drones, sensores IoT e visão computacional com inteligência artificial, voltada a médias e grandes fazendas. O problema central </w:t>
      </w:r>
      <w:r w:rsidDel="00000000" w:rsidR="00000000" w:rsidRPr="00000000">
        <w:rPr>
          <w:b w:val="1"/>
          <w:bCs w:val="1"/>
          <w:rtl w:val="0"/>
        </w:rPr>
        <w:t xml:space="preserve">da Engenharia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rtl w:val="0"/>
        </w:rPr>
        <w:t xml:space="preserve"> Econômica é determinar se, e em quanto tempo, o investimento se paga. Comparam-se três arquiteturas de receita — SaaS asset-light (A), Drone-as-a-Service com frota própria (B) e Híbrido com taxa de implantação mais assinatura (C) — por meio de VPL, TIR, payback simples e descontado, IBC e ROIA. A TMA é ancorada na Selic vigente (14,25% a.a., Copom de 17/06/2026) e estressada a 20% e 30% a.a. O modelo Híbrido apresenta o melhor desempenho (VPL de R</w:t>
      </w:r>
      <w:r w:rsidDel="00000000" w:rsidR="00000000" w:rsidRPr="00000000">
        <w:rPr>
          <w:b w:val="1"/>
          <w:bCs w:val="1"/>
          <w:rtl w:val="0"/>
        </w:rPr>
        <w:t xml:space="preserve">$1,92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rtl w:val="0"/>
        </w:rPr>
        <w:t xml:space="preserve"> mi a 20% de TMA; TIR de </w:t>
      </w:r>
      <w:r w:rsidDel="00000000" w:rsidR="00000000" w:rsidRPr="00000000">
        <w:rPr>
          <w:b w:val="1"/>
          <w:bCs w:val="1"/>
          <w:rtl w:val="0"/>
        </w:rPr>
        <w:t xml:space="preserve">91,5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rtl w:val="0"/>
        </w:rPr>
        <w:t xml:space="preserve">%; payback descontado de cerca de dois anos e meio). A análise de sensibilidade mostra que a viabilidade depende criticamente da velocidade de adoção de hectares. Conclui-se que a tese de investimento é, no fundo, uma tese sobre execução comercial.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="230" w:lineRule="auto"/>
        <w:ind w:firstLine="240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i w:val="1"/>
          <w:iCs w:val="1"/>
          <w:smallCaps w:val="0"/>
          <w:color w:val="000000"/>
          <w:rtl w:val="0"/>
        </w:rPr>
        <w:t xml:space="preserve">Palavras-chave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rtl w:val="0"/>
        </w:rPr>
        <w:t xml:space="preserve">— Engenharia Econômica, VPL, TIR, payback, AgTech, agricultura de precisão, viabilidade econômica, SaaS.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90" w:before="20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sz w:val="24"/>
          <w:szCs w:val="24"/>
          <w:rtl w:val="0"/>
        </w:rPr>
        <w:t xml:space="preserve">I. Introdução e Contextualização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busca por produtividade impõe novos desafios ao setor agrícola. O agronegócio nacional enfrenta hoje gargalos práticos na rastreabilidade e na tomada de decisão em campo aberto. No mercado de grãos, a incapacidade de antecipar problemas custa caro: pragas, doenças e estresse hídrico podem comprometer uma safra inteira em poucos dias se não forem detectados a tempo. Simultaneamente, a modernização estrutural das fazendas avança baseada em três eixos centrais: expansão da conectividade no meio rural, barateamento da instrumentação (drones, sensores e componentes de automação) e maturidade operacional da IA e visão computacional [1], [4]. O estado de Goiás atua como um laboratório vivo e polo desse processo de adoção tecnológica.</w:t>
      </w:r>
    </w:p>
    <w:p w:rsidR="00000000" w:rsidDel="00000000" w:rsidP="00000000" w:rsidRDefault="00000000" w:rsidRPr="00000000" w14:paraId="00000007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Neste cenário, fica nítido que d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iferentemente de mercados em que a tecnologia ainda precisa ser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provada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, aqui a demanda já está validada por concorrentes ativos com escala relevante (Seção V). Esse movimento reflete-se no mercado: o segmento global de drones agrícolas foi avaliado em cerca de US</w:t>
      </w:r>
      <w:r w:rsidDel="00000000" w:rsidR="00000000" w:rsidRPr="00000000">
        <w:rPr>
          <w:sz w:val="24"/>
          <w:szCs w:val="24"/>
          <w:rtl w:val="0"/>
        </w:rPr>
        <w:t xml:space="preserve">$1,5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bilhão em 2025, com projeção de US</w:t>
      </w:r>
      <w:r w:rsidDel="00000000" w:rsidR="00000000" w:rsidRPr="00000000">
        <w:rPr>
          <w:sz w:val="24"/>
          <w:szCs w:val="24"/>
          <w:rtl w:val="0"/>
        </w:rPr>
        <w:t xml:space="preserve">$3,9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bilhões até 2031 [29]. O risco, portanto, não é de mercado, mas de execução comercial. O papel da análise de Engenharia Econômica é duplo: provar que o investimento se paga — e em quanto tempo — tanto para o produtor quanto para o negócio que oferece 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Este trabalho concentra-se na perspectiva do negócio (a operação da plataforma) e responde à pergunta central da disciplina — “a partir de quando o projeto dá lucro?” — com os indicadores clássicos de fluxo de caixa descontado, acompanhados de análise de sensibilidade. </w:t>
      </w:r>
      <w:r w:rsidDel="00000000" w:rsidR="00000000" w:rsidRPr="00000000">
        <w:rPr>
          <w:sz w:val="24"/>
          <w:szCs w:val="24"/>
          <w:rtl w:val="0"/>
        </w:rPr>
        <w:t xml:space="preserve">Os valores monetários foram obtidos a partir do modelo financeiro reconstruído com base nas premissas adotadas neste trabalho e conferidos quanto à consistência entre as implementações utilizadas.</w:t>
      </w:r>
    </w:p>
    <w:p w:rsidR="00000000" w:rsidDel="00000000" w:rsidP="00000000" w:rsidRDefault="00000000" w:rsidRPr="00000000" w14:paraId="00000009">
      <w:pPr>
        <w:spacing w:after="90" w:before="20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sz w:val="24"/>
          <w:szCs w:val="24"/>
          <w:rtl w:val="0"/>
        </w:rPr>
        <w:t xml:space="preserve">II. Fundamentação Teórica e o Problema do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before="120" w:lineRule="auto"/>
        <w:ind w:firstLine="240"/>
        <w:jc w:val="left"/>
        <w:rPr>
          <w:sz w:val="24"/>
          <w:szCs w:val="24"/>
        </w:rPr>
      </w:pPr>
      <w:r w:rsidDel="00000000" w:rsidR="00000000" w:rsidRPr="00000000">
        <w:rPr>
          <w:i w:val="1"/>
          <w:iCs w:val="1"/>
          <w:smallCaps w:val="0"/>
          <w:color w:val="000000"/>
          <w:sz w:val="24"/>
          <w:szCs w:val="24"/>
          <w:rtl w:val="0"/>
        </w:rPr>
        <w:t xml:space="preserve">A. Fundamentação teórica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agricultura digital, sistematizada por publicações institucionais brasileiras, utiliza dados para otimizar operações, prever problemas e melhorar a eficiência produtiva [1], [3]. Ela se apoia em três pilares que amadureceram em conjunto: a instrumentação do campo por sensores e dispositivos de IoT, a captação de imagens por drones e satélites, e a análise desses dados por modelos de aprendizado de máquina. No núcleo técnico, redes neurais convolucionais e arquiteturas como YOLO e </w:t>
      </w:r>
      <w:r w:rsidDel="00000000" w:rsidR="00000000" w:rsidRPr="00000000">
        <w:rPr>
          <w:sz w:val="24"/>
          <w:szCs w:val="24"/>
          <w:rtl w:val="0"/>
        </w:rPr>
        <w:t xml:space="preserve">Efficient Net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têm sido aplicadas à identificação de pragas, à classificação de culturas e ao reconhecimento de padrões em imagens de campo, com acurácias operacionalmente úteis relatadas na literatura — por exemplo, 94,2% de acurácia com </w:t>
      </w:r>
      <w:r w:rsidDel="00000000" w:rsidR="00000000" w:rsidRPr="00000000">
        <w:rPr>
          <w:sz w:val="24"/>
          <w:szCs w:val="24"/>
          <w:rtl w:val="0"/>
        </w:rPr>
        <w:t xml:space="preserve">Efficient Net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-B0 na detecção de pragas em ambiente natural [6]. A integração entre robótica móvel, IoT e computação em nuvem foi demonstrada em arquiteturas compostas por sensores, comunicação sem fio e servidores [7], enquanto a análise massiva de dados operacionais via IoT — exemplificada pelo processamento de mais de 18 milhões de registros oriundos de 352 secadores de grãos conectados — evidencia o potencial de diagnóstico e automação a partir de dados de campo [8].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No plano da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validação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comercial, o caso da </w:t>
      </w:r>
      <w:r w:rsidDel="00000000" w:rsidR="00000000" w:rsidRPr="00000000">
        <w:rPr>
          <w:sz w:val="24"/>
          <w:szCs w:val="24"/>
          <w:rtl w:val="0"/>
        </w:rPr>
        <w:t xml:space="preserve">WiiMilk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, AgTech brasileira que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une IA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, visão computacional e monitoramento contínuo na pecuária leiteira, é frequentemente citado como evidência de adoção e geração de valor real [17]. Cabe a ressalva de que se trata de domínio distinto (pecuária leiteira, e não grãos): o caso sustenta a tese tecnológica, mas não constitui comparável direto de mercado para a plataforma de grãos aqui proposta, papel reservado aos concorrentes da Seção 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literatura também adverte que o retorno da agricultura de precisão é 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dependente de contexto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, e não automático. Em estudo experimental conduzido em áreas de pastagem (Tifton 85) no Oeste de Santa Catarina, Silva e Maccari (2014) compararam o manejo por taxa variável com o convencional e observaram que a precisão resultou em custo cerca de 32% superior (R$ 1.295,70/ha contra R$ 979,20/ha), sem diferença estatisticamente significativa de produtividade entre os dois sistemas; concluíram que, naquele contexto, a precisão não proporcionou ganho economicamente viável [9]. Esse resultado — de domínio e escala distintos do aqui analisado — reforça a postura metodológica deste trabalho: o ganho por hectare é uma 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premissa a ser medida em piloto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, não um número a ser assumido. Fontes institucionais e setoriais reforçam tanto o potencial da agricultura de precisão e da conectividade no campo [18], [19], [20] quanto a necessidade de quantificar caso a caso a economia por hectare [21].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before="120" w:lineRule="auto"/>
        <w:ind w:firstLine="240"/>
        <w:jc w:val="left"/>
        <w:rPr>
          <w:sz w:val="24"/>
          <w:szCs w:val="24"/>
        </w:rPr>
      </w:pPr>
      <w:r w:rsidDel="00000000" w:rsidR="00000000" w:rsidRPr="00000000">
        <w:rPr>
          <w:i w:val="1"/>
          <w:iCs w:val="1"/>
          <w:smallCaps w:val="0"/>
          <w:color w:val="000000"/>
          <w:sz w:val="24"/>
          <w:szCs w:val="24"/>
          <w:rtl w:val="0"/>
        </w:rPr>
        <w:t xml:space="preserve">B. O problema: a dor do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Médias e grandes fazendas de grãos perdem produtividade por 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detecção tardia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de pragas, doenças, falhas de plantio e estresse hídrico, e gastam mais que o necessário com insumos por aplicação uniforme. Hoje o problema é endereçado por inspeção manual amostral, lenta e sujeita a erro em áreas de milhares de hectares, somada a 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ferramentas fragmentadas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: um aplicativo de satélite, outro fornecedor para o voo de drone, uma planilha para sensores e o ERP da fazenda à parte, sem integração. O dado existe, mas está disperso e raramente se converte em decisão acionável no tempo certo.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="240" w:lineRule="auto"/>
        <w:ind w:firstLine="240"/>
        <w:jc w:val="both"/>
        <w:rPr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As soluções atuais falham por quatro motivos: (i) fragmentação dos dados; (ii) pressuposto de conectividade estável, que quebra no campo; (iii) entrega de “mapas”, e não de 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prescrições acionáveis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; e (iv) retorno não demonstrado em reais, o que trava a adoção. A consequência prática é uma perda financeira recorrente que o produtor sequer mede com precisão — e é justamente essa perda que dimensiona o valor a ser capturado pela solução.</w:t>
      </w:r>
    </w:p>
    <w:p w:rsidR="00000000" w:rsidDel="00000000" w:rsidP="00000000" w:rsidRDefault="00000000" w:rsidRPr="00000000" w14:paraId="00000011">
      <w:pPr>
        <w:spacing w:after="60" w:before="120" w:lineRule="auto"/>
        <w:ind w:firstLine="24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C. Análise de Viabilidade para o Produtor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avaliar o impacto financeiro de não utilizar a plataforma (o "custo da desinformação"), elaborou-se um cenário base para uma fazenda de 3.000 hectares de soja. Considerando o Custo Operacional Total (COT) de R$6.000/ha e produtividade de 60 sc/ha a R$126/sc, a fazenda investe R$18.000.000 por safra. A assinatura da plataforma adotada custa R$120.000 anuais (3.000 ha × R$40/ha).</w:t>
      </w:r>
    </w:p>
    <w:p w:rsidR="00000000" w:rsidDel="00000000" w:rsidP="00000000" w:rsidRDefault="00000000" w:rsidRPr="00000000" w14:paraId="00000013">
      <w:pPr>
        <w:spacing w:after="8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demonstração de prejuízo do cliente revela que a ausência de monitoramento atinge o ponto de quebra (supera o valor do software) rapidamente:</w:t>
      </w:r>
    </w:p>
    <w:p w:rsidR="00000000" w:rsidDel="00000000" w:rsidP="00000000" w:rsidRDefault="00000000" w:rsidRPr="00000000" w14:paraId="00000014">
      <w:pPr>
        <w:spacing w:after="8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Perda Total (ex: Incêndios): Ao não evitar a queima de apenas 16 hectares, o produtor perde o equivalente a toda a anuidade da tecnologia.</w:t>
      </w:r>
    </w:p>
    <w:p w:rsidR="00000000" w:rsidDel="00000000" w:rsidP="00000000" w:rsidRDefault="00000000" w:rsidRPr="00000000" w14:paraId="00000015">
      <w:pPr>
        <w:spacing w:after="8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Perda Parcial (ex: Ferrugem Asiática): Com um impacto conservador de 15% na produtividade, se a doença atingir 106 hectares de forma tardia, a perda direta supera os R$120 mil.</w:t>
      </w:r>
    </w:p>
    <w:p w:rsidR="00000000" w:rsidDel="00000000" w:rsidP="00000000" w:rsidRDefault="00000000" w:rsidRPr="00000000" w14:paraId="00000016">
      <w:pPr>
        <w:spacing w:after="8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Retrabalho Climático: O replantio de 200 hectares por erro de janela hídrica custa mais (apenas em diesel e sementes) do que a plataforma anual.</w:t>
      </w:r>
    </w:p>
    <w:p w:rsidR="00000000" w:rsidDel="00000000" w:rsidP="00000000" w:rsidRDefault="00000000" w:rsidRPr="00000000" w14:paraId="00000017">
      <w:pPr>
        <w:spacing w:after="8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uma fazenda que investe 18 milhões por safra, economizar 120 mil reais (0,66% do custo total) no monitoramento é assumir um risco operacional desproporcional.</w:t>
      </w:r>
    </w:p>
    <w:p w:rsidR="00000000" w:rsidDel="00000000" w:rsidP="00000000" w:rsidRDefault="00000000" w:rsidRPr="00000000" w14:paraId="00000018">
      <w:pPr>
        <w:spacing w:after="8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90" w:before="20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sz w:val="24"/>
          <w:szCs w:val="24"/>
          <w:rtl w:val="0"/>
        </w:rPr>
        <w:t xml:space="preserve">III. Proposta de Solução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Propõe-se uma plataforma única que conecta 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drones, sensores IoT e visão computacional com IA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e transforma imagens e leituras de campo em </w:t>
      </w: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decisões acionáveis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: alertas priorizados de praga e doença, mapas de prescrição de taxa variável (VRT) exportáveis para o maquinário e indicadores de produtividade por talhão, funcionando mesmo com conectividade ruim (operação offline-first).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Os diferenciais defensáveis são: integração ponta a ponta (drone, IoT, satélite e ERP) em uma camada única; tradução do dado em prescrição e em reais, e não apenas em visualização; resiliência de conectividade por projeto; e uma base de dados proprietária que melhora os modelos a cada safra (efeito de rede de dados).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90" w:before="20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sz w:val="24"/>
          <w:szCs w:val="24"/>
          <w:rtl w:val="0"/>
        </w:rPr>
        <w:t xml:space="preserve">IV. Metodologia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before="120" w:lineRule="auto"/>
        <w:ind w:firstLine="240"/>
        <w:jc w:val="left"/>
        <w:rPr>
          <w:sz w:val="24"/>
          <w:szCs w:val="24"/>
        </w:rPr>
      </w:pPr>
      <w:r w:rsidDel="00000000" w:rsidR="00000000" w:rsidRPr="00000000">
        <w:rPr>
          <w:i w:val="1"/>
          <w:iCs w:val="1"/>
          <w:smallCaps w:val="0"/>
          <w:color w:val="000000"/>
          <w:sz w:val="24"/>
          <w:szCs w:val="24"/>
          <w:rtl w:val="0"/>
        </w:rPr>
        <w:t xml:space="preserve">A. Dimensão técnica: arquitetura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arquitetura é organizada em camadas, o que permite um Produto Mínimo Viável (MVP) enxuto e a escala sem reescrita do núcleo. A decisão central é a separação entre borda (campo) e nuvem: tarefas leves e o buffer offline ficam em um gateway na fazenda, enquanto o processamento pesado (ortomosaico, treino de modelos) fica na nuvem, com custo elástico (Tabela I).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50" w:before="12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rtl w:val="0"/>
        </w:rPr>
        <w:t xml:space="preserve">Tabela I — Camadas da arquitetura</w:t>
      </w:r>
      <w:r w:rsidDel="00000000" w:rsidR="00000000" w:rsidRPr="00000000">
        <w:rPr>
          <w:rtl w:val="0"/>
        </w:rPr>
      </w:r>
    </w:p>
    <w:tbl>
      <w:tblPr>
        <w:tblStyle w:val="Table1"/>
        <w:tblW w:w="4680.0" w:type="dxa"/>
        <w:jc w:val="left"/>
        <w:tblBorders>
          <w:top w:color="000000" w:space="0" w:sz="8" w:val="single"/>
          <w:left w:color="000000" w:space="0" w:sz="0" w:val="nil"/>
          <w:bottom w:color="000000" w:space="0" w:sz="8" w:val="single"/>
          <w:right w:color="000000" w:space="0" w:sz="0" w:val="nil"/>
          <w:insideH w:color="000000" w:space="0" w:sz="4" w:val="single"/>
          <w:insideV w:color="000000" w:space="0" w:sz="0" w:val="nil"/>
        </w:tblBorders>
        <w:tblLayout w:type="fixed"/>
        <w:tblLook w:val="0000"/>
      </w:tblPr>
      <w:tblGrid>
        <w:gridCol w:w="1180"/>
        <w:gridCol w:w="2400"/>
        <w:gridCol w:w="1100"/>
        <w:tblGridChange w:id="0">
          <w:tblGrid>
            <w:gridCol w:w="1180"/>
            <w:gridCol w:w="2400"/>
            <w:gridCol w:w="11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0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Camada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1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2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Racional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3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Captação (Edge)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4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Drone (RGB/multiespectral) + IoT + satélite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5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Redundância de fonte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6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Borda (Gateway)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7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Buffer offline, pré-proc., inferência leve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8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Resolve conectividade; reduz nuvem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9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Processo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. (Nuvem)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A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Ortomosaico, treino, VC pesada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B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Escala elástica de GPU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C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D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Geoespacial + séries temporais + imagens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E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Cada dado no banco adequado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2F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Aplicação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30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Dashboard, alertas, prescrição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31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Onde o dado 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vira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 decisão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32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Integração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33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Exportar prescrição (ISO-XML) e ERP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34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O “último 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metro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” do valor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spacing w:after="120" w:lineRule="auto"/>
        <w:jc w:val="left"/>
        <w:rPr>
          <w:sz w:val="24"/>
          <w:szCs w:val="24"/>
        </w:rPr>
      </w:pP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Fonte: própria,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O faseamento previsto é: MVP (uma fonte de dado, um caso de IA, dashboard e uma fazenda-piloto), depois V1 (IoT, satélite e mapa de prescrição) e V2 (modelos preditivos, integração com maquinário e base </w:t>
      </w:r>
      <w:r w:rsidDel="00000000" w:rsidR="00000000" w:rsidRPr="00000000">
        <w:rPr>
          <w:sz w:val="24"/>
          <w:szCs w:val="24"/>
          <w:rtl w:val="0"/>
        </w:rPr>
        <w:t xml:space="preserve">multi fazenda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Pipeline de dados e modelos de IA.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camada inteligente é alimentada por um pipeline com etapas de limpeza, normalização, padronização, enriquecimento e validação dos dados. As fontes podem combinar bases públicas (por exemplo, </w:t>
      </w:r>
      <w:r w:rsidDel="00000000" w:rsidR="00000000" w:rsidRPr="00000000">
        <w:rPr>
          <w:sz w:val="24"/>
          <w:szCs w:val="24"/>
          <w:rtl w:val="0"/>
        </w:rPr>
        <w:t xml:space="preserve">Plant Village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e conjuntos da Embrapa) com bases próprias (drones, smartphones e sensores locais). Para o treino dos modelos de visão computacional, adota-se a partição usual de 70% para treino, 15% para validação e 15% para teste, avaliada por acurácia, precisão, recall, F1-score e mAP, além da matriz de confusão. Essa disciplina permite tratar a melhoria contínua dos modelos como um ativo (efeito de rede de dados), e não como custo recorrente sem retorno.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60" w:before="120" w:lineRule="auto"/>
        <w:ind w:firstLine="240"/>
        <w:jc w:val="left"/>
        <w:rPr>
          <w:sz w:val="24"/>
          <w:szCs w:val="24"/>
        </w:rPr>
      </w:pPr>
      <w:r w:rsidDel="00000000" w:rsidR="00000000" w:rsidRPr="00000000">
        <w:rPr>
          <w:i w:val="1"/>
          <w:iCs w:val="1"/>
          <w:smallCaps w:val="0"/>
          <w:color w:val="000000"/>
          <w:sz w:val="24"/>
          <w:szCs w:val="24"/>
          <w:rtl w:val="0"/>
        </w:rPr>
        <w:t xml:space="preserve">B. Dimensão financeira: viabilidade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Indicadores e regras de decisão. </w:t>
      </w:r>
      <w:r w:rsidDel="00000000" w:rsidR="00000000" w:rsidRPr="00000000">
        <w:rPr>
          <w:rFonts w:ascii="Gungsuh" w:cs="Gungsuh" w:eastAsia="Gungsuh" w:hAnsi="Gungsuh"/>
          <w:i w:val="0"/>
          <w:iCs w:val="0"/>
          <w:smallCaps w:val="0"/>
          <w:color w:val="000000"/>
          <w:sz w:val="24"/>
          <w:szCs w:val="24"/>
          <w:rtl w:val="0"/>
        </w:rPr>
        <w:t xml:space="preserve">Adotam-se os indicadores clássicos de Engenharia Econômica. A TMA é o custo de oportunidade que serve de taxa de desconto. O VPL mede a riqueza criada no presente (viável se VPL &gt; 0). A TIR é a taxa que zera o VPL (atrativo se TIR &gt; TMA). O payback simples e o descontado medem o tempo de recuperação do capital, sem e com o custo do dinheiro. O IBC é a razão entre o valor presente dos benefícios e o investimento (cria valor se IBC &gt; 1), e o ROIA = IBC^(1/n) − 1 expressa o </w:t>
      </w:r>
      <w:r w:rsidDel="00000000" w:rsidR="00000000" w:rsidRPr="00000000">
        <w:rPr>
          <w:sz w:val="24"/>
          <w:szCs w:val="24"/>
          <w:rtl w:val="0"/>
        </w:rPr>
        <w:t xml:space="preserve">ganho real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acima da TMA. Com fluxos </w:t>
      </w:r>
      <w:r w:rsidDel="00000000" w:rsidR="00000000" w:rsidRPr="00000000">
        <w:rPr>
          <w:sz w:val="24"/>
          <w:szCs w:val="24"/>
          <w:rtl w:val="0"/>
        </w:rPr>
        <w:t xml:space="preserve">FC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t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e horizonte n = 5: VPL = Σ </w:t>
      </w:r>
      <w:r w:rsidDel="00000000" w:rsidR="00000000" w:rsidRPr="00000000">
        <w:rPr>
          <w:sz w:val="24"/>
          <w:szCs w:val="24"/>
          <w:rtl w:val="0"/>
        </w:rPr>
        <w:t xml:space="preserve">FC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t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/(1+i)^t, e a TIR é a taxa que torna VPL =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Taxa Mínima de Atratividade.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referência de custo de oportunidade é a Selic vigente, 14,25% a.a., definida pelo Copom em 17/06/2026 [11]. Utilizam-se três níveis: piso de 14,25% (custo de oportunidade puro), recomendado de 20% (Selic mais prêmio de risco de venture) e estresse de 30%.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Premissas centrais (ilustrativas).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As premissas, conferidas matematicamente mas não verificadas no mercado, são: investimento inicial de R$ 380.000 no Ano 0; horizonte de 5 anos; curva de adoção de 25 mil a </w:t>
      </w:r>
      <w:r w:rsidDel="00000000" w:rsidR="00000000" w:rsidRPr="00000000">
        <w:rPr>
          <w:sz w:val="24"/>
          <w:szCs w:val="24"/>
          <w:rtl w:val="0"/>
        </w:rPr>
        <w:t xml:space="preserve">1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50 mil hectares ativos; fazenda média de 3.000 ha por cliente; e, no modelo recomendado, preço de </w:t>
      </w:r>
      <w:r w:rsidDel="00000000" w:rsidR="00000000" w:rsidRPr="00000000">
        <w:rPr>
          <w:sz w:val="24"/>
          <w:szCs w:val="24"/>
          <w:rtl w:val="0"/>
        </w:rPr>
        <w:t xml:space="preserve">R$40/ha/ano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somado a uma taxa de implantação.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Referências de mercado para CAPEX e OPEX.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Para ancorar a ordem de grandeza das premissas, levantaram-se faixas reais de preço de fornecedores e fontes setoriais </w:t>
      </w:r>
      <w:r w:rsidDel="00000000" w:rsidR="00000000" w:rsidRPr="00000000">
        <w:rPr>
          <w:sz w:val="24"/>
          <w:szCs w:val="24"/>
          <w:rtl w:val="0"/>
        </w:rPr>
        <w:t xml:space="preserve">brasileiras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(2024–2026), na Tabela II. São referências de calibração, não cotações fechadas. No CAPEX, um drone de mapeamento multiespectral (classe DJI Mavic 3 Multispectral, com RTK) custa entre R$ 36 mil e R$ 41,5 mil no varejo nacional [24]; sensores de solo partem de cerca de R$ 1,5 mil [31], enquanto estações agrometeorológicas profissionais são vendidas sob orçamento, sem preço público [32] — a camada de IoT por área é estimada em R$ 20–120/ha por ano [25]. No modelo B (frota própria), um drone de pulverização classe DJI Agras T50 (kit) custa de R</w:t>
      </w:r>
      <w:r w:rsidDel="00000000" w:rsidR="00000000" w:rsidRPr="00000000">
        <w:rPr>
          <w:sz w:val="24"/>
          <w:szCs w:val="24"/>
          <w:rtl w:val="0"/>
        </w:rPr>
        <w:t xml:space="preserve">$135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mil a R</w:t>
      </w:r>
      <w:r w:rsidDel="00000000" w:rsidR="00000000" w:rsidRPr="00000000">
        <w:rPr>
          <w:sz w:val="24"/>
          <w:szCs w:val="24"/>
          <w:rtl w:val="0"/>
        </w:rPr>
        <w:t xml:space="preserve">$180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mil [30]. No OPEX, a conectividade rural via satélite (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Starlink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) custa de R$ 164 a R$ 329/mês mais o kit de antena (R$ 0,8–2,4 mil) [33], e o chip M2M parte de cerca de R$ 10/mês [26]; a equipe é o item dominante (desenvolvedores de R$ 3 mil a R$ 12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mil+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por mês na base CLT [27]; pilotos de drone agrícola de R$ 4 mil a R$ 8 mil/mês [28]), lembrando que o custo real ao empregador costuma ser 1,7–2× o salário-base por causa dos encargos. </w:t>
      </w:r>
      <w:r w:rsidDel="00000000" w:rsidR="00000000" w:rsidRPr="00000000">
        <w:rPr>
          <w:sz w:val="24"/>
          <w:szCs w:val="24"/>
          <w:rtl w:val="0"/>
        </w:rPr>
        <w:t xml:space="preserve">Como verificação de coerência, o serviço de mapeamento e prescrição isolado praticado no mercado gira em torno de R$ 8 a R$ 40/ha [25], o que posiciona e valida a precificação anual adotada de R$ 40/ha/ano para toda a suíte de monitoramento contínuo proposta pelo modelo.</w:t>
      </w:r>
    </w:p>
    <w:p w:rsidR="00000000" w:rsidDel="00000000" w:rsidP="00000000" w:rsidRDefault="00000000" w:rsidRPr="00000000" w14:paraId="0000003D">
      <w:pPr>
        <w:spacing w:after="50" w:before="12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rtl w:val="0"/>
        </w:rPr>
        <w:t xml:space="preserve">Tabela II — Referências de mercado de CAPEX/OPEX (BR, 2024–2026)</w:t>
      </w:r>
      <w:r w:rsidDel="00000000" w:rsidR="00000000" w:rsidRPr="00000000">
        <w:rPr>
          <w:rtl w:val="0"/>
        </w:rPr>
      </w:r>
    </w:p>
    <w:tbl>
      <w:tblPr>
        <w:tblStyle w:val="Table2"/>
        <w:tblW w:w="4680.0" w:type="dxa"/>
        <w:jc w:val="left"/>
        <w:tblBorders>
          <w:top w:color="000000" w:space="0" w:sz="8" w:val="single"/>
          <w:left w:color="000000" w:space="0" w:sz="0" w:val="nil"/>
          <w:bottom w:color="000000" w:space="0" w:sz="8" w:val="single"/>
          <w:right w:color="000000" w:space="0" w:sz="0" w:val="nil"/>
          <w:insideH w:color="000000" w:space="0" w:sz="4" w:val="single"/>
          <w:insideV w:color="000000" w:space="0" w:sz="0" w:val="nil"/>
        </w:tblBorders>
        <w:tblLayout w:type="fixed"/>
        <w:tblLook w:val="0000"/>
      </w:tblPr>
      <w:tblGrid>
        <w:gridCol w:w="880"/>
        <w:gridCol w:w="2560"/>
        <w:gridCol w:w="1240"/>
        <w:tblGridChange w:id="0">
          <w:tblGrid>
            <w:gridCol w:w="880"/>
            <w:gridCol w:w="2560"/>
            <w:gridCol w:w="124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3E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3F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0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Faixa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1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CAPEX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2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Drone mapeamento multiespectral (RTK)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3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R$ 36–41,5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4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CAPEX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5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Drone pulverização (Agras T50, kit) — só mod.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6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R$ 135–180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7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CAPEX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8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Sensor de solo (umidade/EC/temp/NPK)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9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a partir de R$ 1,5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A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CAPEX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B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Estação agrometeorológica profissional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C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sob orçamento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D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CAPEX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E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Kit Starlink (antena)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4F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R$ 0,8–2,4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0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CAPEX/OPEX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1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Camada IoT (sensores), por ha/ano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2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R$ 20–120/ha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3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OPEX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4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Conectividade Starlink/mês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5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R$ 164–329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6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OPEX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7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Conectividade M2M, por chip/mês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8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a partir de R$ 10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9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OPEX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A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Dev. de software (jr.–sr.)/mês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B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R$ 3–12 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mil+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C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OPEX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D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Piloto de drone agrícola/mês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E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R$ 4–8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5F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Ref.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0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Serviço de mapeamento por drone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1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R$ 8–40/ha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2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Ref.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3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Serviço de pulverização por drone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4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R$ 80–250/ha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120" w:lineRule="auto"/>
        <w:jc w:val="left"/>
        <w:rPr>
          <w:sz w:val="24"/>
          <w:szCs w:val="24"/>
        </w:rPr>
      </w:pP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Fontes: drone mapeamento (</w:t>
      </w: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DronesX</w:t>
      </w: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/</w:t>
      </w: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LiliVendas</w:t>
      </w: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/</w:t>
      </w: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CentralDrone</w:t>
      </w: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) [24]; Agras T50 (Próspera/Lojão do Drone) [30]; sensor de solo (</w:t>
      </w: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Hensistemas</w:t>
      </w: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) [31]; estação (Sigma Sensors) [32]; Starlink (minhaconexao) [33]; camada IoT e serviços (Investidor Rural, 2026) [25]; M2M (IOT Conect) [26]; salários [27]; piloto (IstoÉ Dinheiro/O Tempo–Firjan) [28]. Faixas de calibração, não cotações.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Para tornar as métricas o mais transparentes possível, a Tabela III reconstrói o investimento do Ano 0 a partir dos preços unitários acima. Distingue-se explicitamente o que tem fonte (preço unitário) do que é premissa (quantidade e duração). O resultado — R</w:t>
      </w:r>
      <w:r w:rsidDel="00000000" w:rsidR="00000000" w:rsidRPr="00000000">
        <w:rPr>
          <w:sz w:val="24"/>
          <w:szCs w:val="24"/>
          <w:rtl w:val="0"/>
        </w:rPr>
        <w:t xml:space="preserve">$254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mil a R</w:t>
      </w:r>
      <w:r w:rsidDel="00000000" w:rsidR="00000000" w:rsidRPr="00000000">
        <w:rPr>
          <w:sz w:val="24"/>
          <w:szCs w:val="24"/>
          <w:rtl w:val="0"/>
        </w:rPr>
        <w:t xml:space="preserve">$401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mil — contém a premissa de R</w:t>
      </w:r>
      <w:r w:rsidDel="00000000" w:rsidR="00000000" w:rsidRPr="00000000">
        <w:rPr>
          <w:sz w:val="24"/>
          <w:szCs w:val="24"/>
          <w:rtl w:val="0"/>
        </w:rPr>
        <w:t xml:space="preserve">$380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mil, o que sustenta sua ordem de grandeza. De modo análogo, um OPEX de Ano 1 reconstruído com uma equipe de cerca de cinco pessoas (com encargos de 1,8×) resulta em aproximadamente R</w:t>
      </w:r>
      <w:r w:rsidDel="00000000" w:rsidR="00000000" w:rsidRPr="00000000">
        <w:rPr>
          <w:sz w:val="24"/>
          <w:szCs w:val="24"/>
          <w:rtl w:val="0"/>
        </w:rPr>
        <w:t xml:space="preserve">$805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mil/ano, coerente com o custo fixo de R</w:t>
      </w:r>
      <w:r w:rsidDel="00000000" w:rsidR="00000000" w:rsidRPr="00000000">
        <w:rPr>
          <w:sz w:val="24"/>
          <w:szCs w:val="24"/>
          <w:rtl w:val="0"/>
        </w:rPr>
        <w:t xml:space="preserve">$900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mil adotado no Ano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50" w:before="12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rtl w:val="0"/>
        </w:rPr>
        <w:t xml:space="preserve">Tabela III — Reconstrução bottom-up do CAPEX Ano 0</w:t>
      </w:r>
      <w:r w:rsidDel="00000000" w:rsidR="00000000" w:rsidRPr="00000000">
        <w:rPr>
          <w:rtl w:val="0"/>
        </w:rPr>
      </w:r>
    </w:p>
    <w:tbl>
      <w:tblPr>
        <w:tblStyle w:val="Table3"/>
        <w:tblW w:w="4680.0" w:type="dxa"/>
        <w:jc w:val="left"/>
        <w:tblBorders>
          <w:top w:color="000000" w:space="0" w:sz="8" w:val="single"/>
          <w:left w:color="000000" w:space="0" w:sz="0" w:val="nil"/>
          <w:bottom w:color="000000" w:space="0" w:sz="8" w:val="single"/>
          <w:right w:color="000000" w:space="0" w:sz="0" w:val="nil"/>
          <w:insideH w:color="000000" w:space="0" w:sz="4" w:val="single"/>
          <w:insideV w:color="000000" w:space="0" w:sz="0" w:val="nil"/>
        </w:tblBorders>
        <w:tblLayout w:type="fixed"/>
        <w:tblLook w:val="0000"/>
      </w:tblPr>
      <w:tblGrid>
        <w:gridCol w:w="1640"/>
        <w:gridCol w:w="1800"/>
        <w:gridCol w:w="1240"/>
        <w:tblGridChange w:id="0">
          <w:tblGrid>
            <w:gridCol w:w="1640"/>
            <w:gridCol w:w="1800"/>
            <w:gridCol w:w="124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8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Componente (Ano 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9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A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Faixa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B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Drone multiespectral RTK (×1)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C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preço varejo [fonte]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D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R$ 36–41,5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E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Sensores + estação IoT (piloto)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6F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color w:val="000000"/>
                <w:rtl w:val="0"/>
              </w:rPr>
              <w:t xml:space="preserve">sensor ≥ R</w:t>
            </w:r>
            <w:r w:rsidDel="00000000" w:rsidR="00000000" w:rsidRPr="00000000">
              <w:rPr>
                <w:rtl w:val="0"/>
              </w:rPr>
              <w:t xml:space="preserve">$1,5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 mil [fonte]; estação sob 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orçam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0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R$ 15–40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1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Equipe MVP (~6 m, 2–3 devs)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2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unit. [fonte]; qtd [assumida]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3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R$ 173–259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4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Infra inicial + jurídico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5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[estimado]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6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R$ 30–60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7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Total reconstruído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8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9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R$ 254–401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A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Premissa do 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B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7C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R$ 380 mil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spacing w:after="120" w:lineRule="auto"/>
        <w:jc w:val="left"/>
        <w:rPr>
          <w:sz w:val="24"/>
          <w:szCs w:val="24"/>
        </w:rPr>
        <w:sectPr>
          <w:type w:val="continuous"/>
          <w:pgSz w:h="15840" w:w="12240" w:orient="portrait"/>
          <w:pgMar w:bottom="1080" w:top="1080" w:left="1080" w:right="1080" w:header="708" w:footer="708"/>
          <w:cols w:equalWidth="0" w:num="2">
            <w:col w:space="360" w:w="4860"/>
            <w:col w:space="0" w:w="4860"/>
          </w:cols>
        </w:sectPr>
      </w:pP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Preços unitários têm fonte (Tabela II); quantidades e durações são premissas, sinalizadas. Encargos sobre folha: 1,8× (regra prática 1,7–2×).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80" w:line="240" w:lineRule="auto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Fluxo de caixa do modelo recomendado (C — Híbrido), em R$ (Tabela IV); comparação dos três modelos, validada por duas implementações independentes (Python e JavaScript), na Tabela 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50" w:before="12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rtl w:val="0"/>
        </w:rPr>
        <w:t xml:space="preserve">Tabela IV — Fluxo de caixa do modelo Híbrido (R$)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8" w:val="single"/>
          <w:left w:color="000000" w:space="0" w:sz="0" w:val="nil"/>
          <w:bottom w:color="000000" w:space="0" w:sz="8" w:val="single"/>
          <w:right w:color="000000" w:space="0" w:sz="0" w:val="nil"/>
          <w:insideH w:color="000000" w:space="0" w:sz="4" w:val="single"/>
          <w:insideV w:color="000000" w:space="0" w:sz="0" w:val="nil"/>
        </w:tblBorders>
        <w:tblLayout w:type="fixed"/>
        <w:tblLook w:val="0000"/>
      </w:tblPr>
      <w:tblGrid>
        <w:gridCol w:w="1080"/>
        <w:gridCol w:w="2250"/>
        <w:gridCol w:w="2250"/>
        <w:gridCol w:w="2250"/>
        <w:gridCol w:w="2250"/>
        <w:tblGridChange w:id="0">
          <w:tblGrid>
            <w:gridCol w:w="1080"/>
            <w:gridCol w:w="2250"/>
            <w:gridCol w:w="2250"/>
            <w:gridCol w:w="2250"/>
            <w:gridCol w:w="225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0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1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Receita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2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Custo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3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Fluxo líquido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4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Acumulado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5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6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7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8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−380.000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9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color w:val="000000"/>
                <w:rtl w:val="0"/>
              </w:rPr>
              <w:t xml:space="preserve">−380.000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A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B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1.166.667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C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1.250.000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D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color w:val="000000"/>
                <w:rtl w:val="0"/>
              </w:rPr>
              <w:t xml:space="preserve">−</w:t>
            </w:r>
            <w:r w:rsidDel="00000000" w:rsidR="00000000" w:rsidRPr="00000000">
              <w:rPr>
                <w:rtl w:val="0"/>
              </w:rPr>
              <w:t xml:space="preserve">83.333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E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color w:val="000000"/>
                <w:rtl w:val="0"/>
              </w:rPr>
              <w:t xml:space="preserve">−</w:t>
            </w:r>
            <w:r w:rsidDel="00000000" w:rsidR="00000000" w:rsidRPr="00000000">
              <w:rPr>
                <w:rtl w:val="0"/>
              </w:rPr>
              <w:t xml:space="preserve">463.333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8F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0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2.166.667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1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1.800.000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2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366.667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3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color w:val="000000"/>
                <w:rtl w:val="0"/>
              </w:rPr>
              <w:t xml:space="preserve">−</w:t>
            </w:r>
            <w:r w:rsidDel="00000000" w:rsidR="00000000" w:rsidRPr="00000000">
              <w:rPr>
                <w:rtl w:val="0"/>
              </w:rPr>
              <w:t xml:space="preserve">96.667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4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5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3.400.000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6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2.520.000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7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880.000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8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783.333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9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A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4.833.333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B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3.300.000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C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1.533.333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D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2.316.667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E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9F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6.233.333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0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4.070.000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1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2.163.333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2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4.480.000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after="120" w:lineRule="auto"/>
        <w:jc w:val="left"/>
        <w:rPr>
          <w:sz w:val="24"/>
          <w:szCs w:val="24"/>
        </w:rPr>
      </w:pP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Fonte: própria, 2026. Indicadores conferidos em Python e JavaScript.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50" w:before="12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rtl w:val="0"/>
        </w:rPr>
        <w:t xml:space="preserve">Tabela V — Comparação dos três modelos de receita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8" w:val="single"/>
          <w:left w:color="000000" w:space="0" w:sz="0" w:val="nil"/>
          <w:bottom w:color="000000" w:space="0" w:sz="8" w:val="single"/>
          <w:right w:color="000000" w:space="0" w:sz="0" w:val="nil"/>
          <w:insideH w:color="000000" w:space="0" w:sz="4" w:val="single"/>
          <w:insideV w:color="000000" w:space="0" w:sz="0" w:val="nil"/>
        </w:tblBorders>
        <w:tblLayout w:type="fixed"/>
        <w:tblLook w:val="0000"/>
      </w:tblPr>
      <w:tblGrid>
        <w:gridCol w:w="2280"/>
        <w:gridCol w:w="2600"/>
        <w:gridCol w:w="2600"/>
        <w:gridCol w:w="2600"/>
        <w:tblGridChange w:id="0">
          <w:tblGrid>
            <w:gridCol w:w="2280"/>
            <w:gridCol w:w="2600"/>
            <w:gridCol w:w="2600"/>
            <w:gridCol w:w="26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5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6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A) SaaS asset-light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7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B) DaaS frota própria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8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C) Híbrido (setup+SaaS)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9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Investimento Ano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A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380.000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B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380.000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C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380.000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D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VPL (14,25% — Selic)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E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R$1,96 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AF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−R$0,54 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0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R$2,43 mi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1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VPL (20% — 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recom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2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R$1,52 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3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−R$0,62 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4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R$1,92 mi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5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VPL (30% — estresse)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6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R$0,97 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7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−R$0,71 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8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R$1,29 mi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9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TIR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A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74,3%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B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neg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C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91,5%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D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Payback simples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E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 2,45 anos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BF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não </w:t>
            </w:r>
            <w:r w:rsidDel="00000000" w:rsidR="00000000" w:rsidRPr="00000000">
              <w:rPr>
                <w:rtl w:val="0"/>
              </w:rPr>
              <w:t xml:space="preserve">recup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0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2,11 anos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1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Payback descont. (20%)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2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2,</w:t>
            </w:r>
            <w:r w:rsidDel="00000000" w:rsidR="00000000" w:rsidRPr="00000000">
              <w:rPr>
                <w:rtl w:val="0"/>
              </w:rPr>
              <w:t xml:space="preserve">87</w:t>
            </w: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 anos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3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não </w:t>
            </w:r>
            <w:r w:rsidDel="00000000" w:rsidR="00000000" w:rsidRPr="00000000">
              <w:rPr>
                <w:rtl w:val="0"/>
              </w:rPr>
              <w:t xml:space="preserve">recup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4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2,38 anos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5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IBC (20%)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6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5,00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7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&lt;0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8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6,06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9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ROIA (20%)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A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38,0% a.a.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B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CC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43,4% a.a.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spacing w:after="120" w:lineRule="auto"/>
        <w:jc w:val="left"/>
        <w:rPr>
          <w:sz w:val="24"/>
          <w:szCs w:val="24"/>
        </w:rPr>
        <w:sectPr>
          <w:type w:val="continuous"/>
          <w:pgSz w:h="15840" w:w="12240" w:orient="portrait"/>
          <w:pgMar w:bottom="1080" w:top="1080" w:left="1080" w:right="1080" w:header="708" w:footer="708"/>
        </w:sectPr>
      </w:pP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Fonte: própria, 2026. VPL em R$. Valores em negrito: modelo recomendado.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leitura, sob o método de decisão entre alternativas mutuamente excludentes, é direta. O modelo C (Híbrido) é o melhor: a taxa de implantação adianta caixa e produz o menor payback com o maior VPL. O modelo A (SaaS) é uma alternativa enxuta, quase tão boa quanto C. O modelo B (DaaS) parece atraente pelo ticket maior, mas é intensivo em capital (frota crescente até </w:t>
      </w:r>
      <w:r w:rsidDel="00000000" w:rsidR="00000000" w:rsidRPr="00000000">
        <w:rPr>
          <w:sz w:val="24"/>
          <w:szCs w:val="24"/>
          <w:rtl w:val="0"/>
        </w:rPr>
        <w:t xml:space="preserve">13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unidades no Ano 5) e de margem fina; seu VPL é negativo em todos os níveis de TMA testados e o investimento não se recupera no horizonte de cinco anos. Recomenda-se rejeitar B como núcleo, mantendo-o, no máximo, como serviço premium pago pelo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A partir de quando há lucro?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pergunta admite três respostas, da mais simples à mais rigorosa, para o modelo C: o break-even operacional (o fluxo anual deixa de ser negativo) ocorre no Ano 2 (+R$ 367 mil); o payback simples é de cerca de 2,1 anos; e o payback descontado — definição mais rigorosa de início de criação de riqueza — é de cerca de 2,4 anos. Como o horizonte é de 5 anos, o projeto é viável: VPL positivo, TIR muito acima da TMA e IBC maior que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Análise de sensibilidade.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O motor do resultado é a adoção. Para a hipótese pessimista, apresentam-se dois limites de elasticidade de custo: “custo fixo” (a estrutura de custos não cai com a menor adoção — conservador) e “custo escalável” (os custos acompanham a queda — otimista). A faixa resultante (Tabela VI) é a informação honesta.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50" w:before="12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rtl w:val="0"/>
        </w:rPr>
        <w:t xml:space="preserve">Tabela VI — Análise de sensibilidade (modelo C)</w:t>
      </w:r>
      <w:r w:rsidDel="00000000" w:rsidR="00000000" w:rsidRPr="00000000">
        <w:rPr>
          <w:rtl w:val="0"/>
        </w:rPr>
      </w:r>
    </w:p>
    <w:tbl>
      <w:tblPr>
        <w:tblStyle w:val="Table6"/>
        <w:tblW w:w="4680.0" w:type="dxa"/>
        <w:jc w:val="left"/>
        <w:tblBorders>
          <w:top w:color="000000" w:space="0" w:sz="8" w:val="single"/>
          <w:left w:color="000000" w:space="0" w:sz="0" w:val="nil"/>
          <w:bottom w:color="000000" w:space="0" w:sz="8" w:val="single"/>
          <w:right w:color="000000" w:space="0" w:sz="0" w:val="nil"/>
          <w:insideH w:color="000000" w:space="0" w:sz="4" w:val="single"/>
          <w:insideV w:color="000000" w:space="0" w:sz="0" w:val="nil"/>
        </w:tblBorders>
        <w:tblLayout w:type="fixed"/>
        <w:tblLook w:val="0000"/>
      </w:tblPr>
      <w:tblGrid>
        <w:gridCol w:w="2080"/>
        <w:gridCol w:w="1500"/>
        <w:gridCol w:w="1100"/>
        <w:tblGridChange w:id="0">
          <w:tblGrid>
            <w:gridCol w:w="2080"/>
            <w:gridCol w:w="1500"/>
            <w:gridCol w:w="11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2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Cenário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3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VPL (20%)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e8e8e8" w:val="clear"/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4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color w:val="000000"/>
                <w:rtl w:val="0"/>
              </w:rPr>
              <w:t xml:space="preserve">Veredito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5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Otimista (ad. +25%, pr. +10%)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6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R$4,3 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7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Muito viável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8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Base (premissas centrais)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9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R$1,92 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A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color w:val="000000"/>
                <w:rtl w:val="0"/>
              </w:rPr>
              <w:t xml:space="preserve">Viável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B">
            <w:pPr>
              <w:spacing w:after="0" w:line="22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i w:val="0"/>
                <w:iCs w:val="0"/>
                <w:smallCaps w:val="0"/>
                <w:color w:val="000000"/>
                <w:rtl w:val="0"/>
              </w:rPr>
              <w:t xml:space="preserve">Pessimista (ad. −40%, pr. −15%)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C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−R$1,2 a +R$0,45 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30.0" w:type="dxa"/>
              <w:left w:w="70.0" w:type="dxa"/>
              <w:bottom w:w="30.0" w:type="dxa"/>
              <w:right w:w="70.0" w:type="dxa"/>
            </w:tcMar>
          </w:tcPr>
          <w:p w:rsidR="00000000" w:rsidDel="00000000" w:rsidP="00000000" w:rsidRDefault="00000000" w:rsidRPr="00000000" w14:paraId="000000DD">
            <w:pPr>
              <w:spacing w:after="0" w:line="2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Inviável se custos rígidos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spacing w:after="120" w:lineRule="auto"/>
        <w:jc w:val="left"/>
        <w:rPr>
          <w:sz w:val="24"/>
          <w:szCs w:val="24"/>
        </w:rPr>
      </w:pPr>
      <w:r w:rsidDel="00000000" w:rsidR="00000000" w:rsidRPr="00000000">
        <w:rPr>
          <w:i w:val="1"/>
          <w:iCs w:val="1"/>
          <w:smallCaps w:val="0"/>
          <w:color w:val="444444"/>
          <w:sz w:val="18"/>
          <w:szCs w:val="18"/>
          <w:rtl w:val="0"/>
        </w:rPr>
        <w:t xml:space="preserve">Fonte: própria,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conclusão de risco é que, se a contratação de hectares ficar cerca de 40% abaixo do esperado e os custos não se ajustarem na mesma velocidade, o projeto não se paga no horizonte. A tese é, no fundo, </w:t>
      </w:r>
      <w:r w:rsidDel="00000000" w:rsidR="00000000" w:rsidRPr="00000000">
        <w:rPr>
          <w:sz w:val="24"/>
          <w:szCs w:val="24"/>
          <w:rtl w:val="0"/>
        </w:rPr>
        <w:t xml:space="preserve">sobre a velocidade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de aquisição de hectares.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90" w:before="20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sz w:val="24"/>
          <w:szCs w:val="24"/>
          <w:rtl w:val="0"/>
        </w:rPr>
        <w:t xml:space="preserve">V. Case Real e Validação de Mercado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força do trabalho está em substituir as premissas por dados verificáveis. Esta seção separa o que já é verificável do que ainda precisa ser coletado.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Perfect Flight, AgTech brasileira de gestão e rastreabilidade de pulverização aérea, reportou da ordem de 25 a 27 milhões de hectares digitalizados (dados de 2022) [12], [13].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SIMA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, plataforma de monitoramento agrícola presente em oito países da América Latina, reportava mais de 8 milhões de hectares monitorados em 2025 [14], [15]. Esses números confirmam a existência de demanda e de disposição a pagar; o diferencial proposto está na integração ponta a ponta e na entrega de prescrição acionável.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Tamanho de mercado.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Para a ordem de grandeza atual, a página do relatório da Mordor Intelligence (dados de jan. 2026) avalia o segmento global de drones agrícolas em cerca de US$ 1,5 bilhão em 2025, com projeção de US$ 3,9 bilhões até 2031 (CAGR de ~16,7%) [29]. As estimativas, contudo, variam conforme a fonte e a edição — de ~US</w:t>
      </w:r>
      <w:r w:rsidDel="00000000" w:rsidR="00000000" w:rsidRPr="00000000">
        <w:rPr>
          <w:sz w:val="24"/>
          <w:szCs w:val="24"/>
          <w:rtl w:val="0"/>
        </w:rPr>
        <w:t xml:space="preserve">$1,5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bi a ~US</w:t>
      </w:r>
      <w:r w:rsidDel="00000000" w:rsidR="00000000" w:rsidRPr="00000000">
        <w:rPr>
          <w:sz w:val="24"/>
          <w:szCs w:val="24"/>
          <w:rtl w:val="0"/>
        </w:rPr>
        <w:t xml:space="preserve">$5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bi para 2025 —, o que reforça a cautela ao </w:t>
      </w:r>
      <w:r w:rsidDel="00000000" w:rsidR="00000000" w:rsidRPr="00000000">
        <w:rPr>
          <w:sz w:val="24"/>
          <w:szCs w:val="24"/>
          <w:rtl w:val="0"/>
        </w:rPr>
        <w:t xml:space="preserve">citar o tamanho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do mercado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. Projeções mais antigas e repetidas — por exemplo, a estimativa de R</w:t>
      </w:r>
      <w:r w:rsidDel="00000000" w:rsidR="00000000" w:rsidRPr="00000000">
        <w:rPr>
          <w:sz w:val="24"/>
          <w:szCs w:val="24"/>
          <w:rtl w:val="0"/>
        </w:rPr>
        <w:t xml:space="preserve">$40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bilhões para agricultura de precisão até 2026 — datam de 2022 e não devem ser apresentadas como número corrente [16]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Ordem de grandeza do valor por hectare.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Como ponto de partida, reportagem setorial estimou que a conectividade associada à agricultura de precisão poderia gerar economia da ordem de R</w:t>
      </w:r>
      <w:r w:rsidDel="00000000" w:rsidR="00000000" w:rsidRPr="00000000">
        <w:rPr>
          <w:sz w:val="24"/>
          <w:szCs w:val="24"/>
          <w:rtl w:val="0"/>
        </w:rPr>
        <w:t xml:space="preserve">$178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por hectare [21]. É uma referência datada e jornalística, útil apenas como ordem de grandeza inicial: a economia efetiva de cada fazenda deve ser medida em piloto, sobretudo à luz da evidência contrária em pastagem [9].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color w:val="000000"/>
          <w:sz w:val="24"/>
          <w:szCs w:val="24"/>
          <w:rtl w:val="0"/>
        </w:rPr>
        <w:t xml:space="preserve">Adoção real por produtores.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Há evidências jornalísticas recentes de adoção por grandes produtores de grãos. Reportagem de 2025 descreve uma propriedade do Grupo SLC Agrícola que, com aplicação localizada de defensivos e monitoramento de máquinas, reduziu o uso de defensivos em até 90% [22]. Em Mato Grosso do Sul, o Grupo José Pessoa relata o uso de IA para identificar a variedade de soja ideal por talhão [23]. São casos jornalísticos de fazendas individuais — não estudos controlados —, mas, somados aos concorrentes, indicam que a adoção em grãos já está em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80" w:line="240" w:lineRule="auto"/>
        <w:ind w:left="0" w:firstLine="0"/>
        <w:jc w:val="both"/>
        <w:rPr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sz w:val="24"/>
          <w:szCs w:val="24"/>
          <w:rtl w:val="0"/>
        </w:rPr>
        <w:t xml:space="preserve">VI. Riscos e Mitigações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O risco número um é a adoção mais lenta que a prevista; mitiga-se com pilotos que comprovem o retorno em reais, </w:t>
      </w:r>
      <w:r w:rsidDel="00000000" w:rsidR="00000000" w:rsidRPr="00000000">
        <w:rPr>
          <w:sz w:val="24"/>
          <w:szCs w:val="24"/>
          <w:rtl w:val="0"/>
        </w:rPr>
        <w:t xml:space="preserve">canais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 de vendas via cooperativas e revendas e contratos plurianuais. A conectividade intermitente é mitigada por projeto, pela operação offline-first no gateway de borda. O custo de nuvem é contido empurrando-se inferência leve para a borda. A qualidade do dado e a segurança das recomendações são tratadas por validação humana (agrônomo) antes da ação em campo. Há ainda risco cambial, pois parte do CAPEX (drones e sensores) é importada; recomenda-se modelo asset-light sempre que possível. Por fim, a concentração de receita em poucos clientes grandes é mitigada pela diversificação da 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90" w:before="20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sz w:val="24"/>
          <w:szCs w:val="24"/>
          <w:rtl w:val="0"/>
        </w:rPr>
        <w:t xml:space="preserve">VII. Conclusões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custo da desinformação no agronegócio de precisão é matematicamente maior que o custo da tecnologia de mitigação. Ao precificar a plataforma em R$40/ha/ano, a solução assegura o retorno do cliente prevenindo avarias mínimas (como a perda de 16 hectares em uma fazenda de 3.000 ha). 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O problema é real e validado pelo mercado: o risco não é de demanda, mas de execução comercial. A solução tem diferencial defensável — integração, operação offline-first e tradução em prescrição acionável — e é construível em fases. Financeiramente, no modelo recomendado (Híbrido), a análise indica viabilidade: VPL positivo e TIR muito acima da TMA em todos os níveis testados (14,25%, 20% e 30%), com payback descontado de aproximadamente dois anos e meio.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A honestidade analítica reside na sensibilidade: se a adoção decepcionar em cerca de 40% e os custos não se ajustarem, o projeto não se paga no horizonte. Logo, a decisão de investir é, fundamentalmente, uma decisão sobre a capacidade de </w:t>
      </w:r>
      <w:r w:rsidDel="00000000" w:rsidR="00000000" w:rsidRPr="00000000">
        <w:rPr>
          <w:sz w:val="24"/>
          <w:szCs w:val="24"/>
          <w:rtl w:val="0"/>
        </w:rPr>
        <w:t xml:space="preserve">acelerar a aquisição de clientes e a expansão dos hectares monitorados.</w:t>
      </w: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. Os números são premissas conferidas matematicamente, não dados de mercado verificados; a defesa final depende de substituí-los pelos dados reais da Seção 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90" w:before="20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sz w:val="24"/>
          <w:szCs w:val="24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[1] EMBRAPA. Agricultura digital e inteligência artificial. Infoteca-e, 2025.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[2] SANTOS, T. T.; BARBEDO, J. G. A.; TERNES, S.; CAMARGO NETO, J.; KOENIGKAN, 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L. V.; SOUZA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, K. X. S. de. Visão computacional aplicada na agricultura. In: Agricultura digital, cap. 6. Embrapa Agricultura Digital, 2020.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[3] MASSRUHÁ, S. M. F. S. IoT na Embrapa. BNDES — Estudo Nacional de IoT, jun. 2018.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[4] PRAKASH, C.; SINGH, L. P.; GUPTA, A.; LOHAN, S. K. Advancements in smart farming: a comprehensive review of IoT, wireless communication, sensors, and hardware for agricultural automation. Computers and Electronics in Agriculture, Elsevier, 2023. PII S0924424723004545.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[5] OLIVEIRA, F. S. de; SANTOS, D. E.; BRUHN, F. R. P.; BOHM, 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B. C.; SANTANA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, B. S. Visão Computacional na Agricultura de Precisão: análise comparativa de arquiteturas CNN no diagnóstico de doenças foliares do milho. Anais da I 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ERAMIA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-RS, Porto Alegre-RS, 2025.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[6] BORGES, F. R. D. C.; SILVA, J. M. da. Visão computacional para agricultura de precisão: detecção de pragas com deep learning. Revista DELOS, Curitiba, v. 19, n. 77, p. 01–14, 2026. DOI 10.55905/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rdelosv19.n77-133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[7] DURMUŞ, H.; GÜNEŞ, E. O. Integration of the Mobile Robot and IoT to Collect Data from the Agricultural Fields. 2019 8th Int. Conf. Agro-Geoinformatics, p. 1–5, 2019. DOI 10.1109/Agro-Geoinformatics.2019.8820578.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[8] SCHMIDT, D.; SELLITTO, M. A. Análise de Dados Massivos de Secadores de Grãos via IoT: Eficiência, Riscos e Oportunidades. Revista SODEBRAS, v. 47, n. Especial (XLVII Int. Sodebras Congress), Campinas-SP, set. 2025. ISSN 1809-3957.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[9] SILVA, D.; MACCARI, M. (orient.). Viabilidade Técnica e Econômica da Agricultura de Precisão em Áreas de Pastagens. IC, Agronomia, UNOESC, Xanxerê-SC, 2014.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[10] BANCO CENTRAL DO BRASIL. Taxa Selic. bcb.gov.br. Acesso em 24 jun.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[11] BANCO CENTRAL DO BRASIL. Comunicado e Ata do Copom de 17/06/2026 — Selic 14,25% a.a.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[12] PERFECT FLIGHT. perfectflight.com.br. Acesso em 24 jun.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[13] Perfect Flight — ~25 milhões de hectares digitalizados, 2022. [verificar veículo/data]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[14] SIMA. sima.ag/pt. Acesso em 24 jun.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[15] SIMA ultrapassa 8 milhões de hectares monitorados, 2025. [verificar veículo/data]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[16] Agricultura de Precisão deve crescer R$ 40 bi até 2026, 2022 (projeção antiga; substituída por [29]).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[17] </w:t>
      </w:r>
      <w:r w:rsidDel="00000000" w:rsidR="00000000" w:rsidRPr="00000000">
        <w:rPr>
          <w:rtl w:val="0"/>
        </w:rPr>
        <w:t xml:space="preserve">WiiMilk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 — AgTech de detecção precoce de mastite bovina (IA e visão computacional). Equipe: G. Vargas (UEG), L. Plaster (UFG), P. Viana (PUC-GO); vencedora do Desafio 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AgroStartup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 2025 (Senar Goiás). Mais Goiás, dez. 2025.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[18] EMBRAPA — Ageitec. Agricultura de Precisão (cana-de-açúcar). embrapa.br. Acesso em 24 jun.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[19] Radar em drone facilita monitoramento agrícola. Pesquisa FAPESP. Acesso em 24 jun.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[20] FUNDAJ. Drones agrícolas: tudo sobre essa inovação. Observa Fundaj. Acesso em 24 jun.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[21] FAVERIN, V. 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Conectividade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 no campo pode trazer economia de R</w:t>
      </w:r>
      <w:r w:rsidDel="00000000" w:rsidR="00000000" w:rsidRPr="00000000">
        <w:rPr>
          <w:rtl w:val="0"/>
        </w:rPr>
        <w:t xml:space="preserve">$178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 por hectare. Canal Rural, jan. 2022.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[22] BONFIM, Y. Fazenda reduz defensivos em 90% com agricultura de precisão (Grupo SLC Agrícola). Planeta Campo / Canal Rural, 2025.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[23] ALMEIDA, G. “Quem não se moderniza fica para trás”, </w:t>
      </w:r>
      <w:r w:rsidDel="00000000" w:rsidR="00000000" w:rsidRPr="00000000">
        <w:rPr>
          <w:rtl w:val="0"/>
        </w:rPr>
        <w:t xml:space="preserve">diz o sojicultor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 de MS que aposta em IA (Grupo José Pessoa). Canal Rural, nov. 2025.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[24] Levantamento de varejo do drone DJI Mavic 3 Multispectral (RTK): 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DronesX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LiliVendas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CentralDrone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, 2025–2026. Faixa R</w:t>
      </w:r>
      <w:r w:rsidDel="00000000" w:rsidR="00000000" w:rsidRPr="00000000">
        <w:rPr>
          <w:rtl w:val="0"/>
        </w:rPr>
        <w:t xml:space="preserve">$36.000 -- 41.500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[25] Tecnologia no campo: custos, economia e ROI da agricultura de precisão. Investidor Rural, 2026. IoT R</w:t>
      </w:r>
      <w:r w:rsidDel="00000000" w:rsidR="00000000" w:rsidRPr="00000000">
        <w:rPr>
          <w:rtl w:val="0"/>
        </w:rPr>
        <w:t xml:space="preserve">$20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–120/ha/ano; mapeamento R</w:t>
      </w:r>
      <w:r w:rsidDel="00000000" w:rsidR="00000000" w:rsidRPr="00000000">
        <w:rPr>
          <w:rtl w:val="0"/>
        </w:rPr>
        <w:t xml:space="preserve">$8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–40/ha; pulverização R</w:t>
      </w:r>
      <w:r w:rsidDel="00000000" w:rsidR="00000000" w:rsidRPr="00000000">
        <w:rPr>
          <w:rtl w:val="0"/>
        </w:rPr>
        <w:t xml:space="preserve">$80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–250/ha.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[26] Chip M2M: quanto custa e onde contratar. IOT </w:t>
      </w:r>
      <w:r w:rsidDel="00000000" w:rsidR="00000000" w:rsidRPr="00000000">
        <w:rPr>
          <w:rtl w:val="0"/>
        </w:rPr>
        <w:t xml:space="preserve">Connect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, 2024. A partir de R</w:t>
      </w:r>
      <w:r w:rsidDel="00000000" w:rsidR="00000000" w:rsidRPr="00000000">
        <w:rPr>
          <w:rtl w:val="0"/>
        </w:rPr>
        <w:t xml:space="preserve">$10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/chip/mês.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[27] Salários de desenvolvedores no Brasil (2025–2026): querobolsa, 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meutudo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, Microlins, Glassdoor (compilação).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i w:val="0"/>
          <w:iCs w:val="0"/>
          <w:smallCaps w:val="0"/>
          <w:color w:val="000000"/>
          <w:rtl w:val="0"/>
        </w:rPr>
        <w:t xml:space="preserve">[28] Quanto ganha um piloto de drone agrícola (compilação). IstoÉ Dinheiro; O Tempo (Firjan ≈ R$ 8,3 mil), 2025.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[29] MORDOR INTELLIGENCE. Agriculture Drones Market. Página do relatório (dados de </w:t>
      </w:r>
      <w:r w:rsidDel="00000000" w:rsidR="00000000" w:rsidRPr="00000000">
        <w:rPr>
          <w:rtl w:val="0"/>
        </w:rPr>
        <w:t xml:space="preserve">Jan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. 2026): US</w:t>
      </w:r>
      <w:r w:rsidDel="00000000" w:rsidR="00000000" w:rsidRPr="00000000">
        <w:rPr>
          <w:rtl w:val="0"/>
        </w:rPr>
        <w:t xml:space="preserve">$1,5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color w:val="000000"/>
          <w:rtl w:val="0"/>
        </w:rPr>
        <w:t xml:space="preserve"> bi (2025) → US</w:t>
      </w:r>
      <w:r w:rsidDel="00000000" w:rsidR="00000000" w:rsidRPr="00000000">
        <w:rPr>
          <w:rtl w:val="0"/>
        </w:rPr>
        <w:t xml:space="preserve">$3,9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 bi (2031), CAGR 16,72%. Estimativas variam por edição (release out. 2025: US</w:t>
      </w:r>
      <w:r w:rsidDel="00000000" w:rsidR="00000000" w:rsidRPr="00000000">
        <w:rPr>
          <w:rtl w:val="0"/>
        </w:rPr>
        <w:t xml:space="preserve">$5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color w:val="000000"/>
          <w:rtl w:val="0"/>
        </w:rPr>
        <w:t xml:space="preserve"> bi → US</w:t>
      </w:r>
      <w:r w:rsidDel="00000000" w:rsidR="00000000" w:rsidRPr="00000000">
        <w:rPr>
          <w:rtl w:val="0"/>
        </w:rPr>
        <w:t xml:space="preserve">$13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 bi até 2030).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[30] Drone DJI Agras T50 (kit pulverização): varejo Próspera Distribuição (R$ 135.000) e Lojão do Drone (R$ 179.780), 2025–2026.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[31] Medidor/sensor de solo (umidade, EC, temperatura, NPK): Hensistemas, a partir de R</w:t>
      </w:r>
      <w:r w:rsidDel="00000000" w:rsidR="00000000" w:rsidRPr="00000000">
        <w:rPr>
          <w:rtl w:val="0"/>
        </w:rPr>
        <w:t xml:space="preserve">$1.499</w:t>
      </w: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. 2024–2026.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[32] Estação agrometeorológica profissional: Sigma Sensors; Agrosystem — venda sob orçamento (sem preço público), 2025–2026.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40" w:line="215" w:lineRule="auto"/>
        <w:ind w:left="300" w:hanging="30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rtl w:val="0"/>
        </w:rPr>
        <w:t xml:space="preserve">[33] Kit e planos Starlink Brasil: kit R$ 799 (Mini) a R$ 2.400 (Padrão), até R$ 12.830 (alto desempenho); plano residencial R$ 236/mês (promo R$ 164/mês 1º ano), comercial a partir de R$ 329/mês. minhaconexao/Compre Rural, 2025–2026.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90" w:before="200" w:lineRule="auto"/>
        <w:jc w:val="center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1"/>
          <w:color w:val="000000"/>
          <w:sz w:val="24"/>
          <w:szCs w:val="24"/>
          <w:rtl w:val="0"/>
        </w:rPr>
        <w:t xml:space="preserve">Agradecimentos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80" w:line="24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color w:val="000000"/>
          <w:sz w:val="24"/>
          <w:szCs w:val="24"/>
          <w:rtl w:val="0"/>
        </w:rPr>
        <w:t xml:space="preserve">À Escola de Engenharia Elétrica, Mecânica e de Computação (EMC) da Universidade Federal de Goiás (UFG), pelo suporte acadêmico ao desenvolvimento deste trabalho na disciplina de Engenharia Econômica</w:t>
      </w:r>
      <w:r w:rsidDel="00000000" w:rsidR="00000000" w:rsidRPr="00000000">
        <w:rPr>
          <w:sz w:val="24"/>
          <w:szCs w:val="24"/>
          <w:rtl w:val="0"/>
        </w:rPr>
        <w:t xml:space="preserve">, ao Professor Dr. Thyago Marques de Carvalho e à startup </w:t>
      </w:r>
      <w:r w:rsidDel="00000000" w:rsidR="00000000" w:rsidRPr="00000000">
        <w:rPr>
          <w:sz w:val="24"/>
          <w:szCs w:val="24"/>
          <w:rtl w:val="0"/>
        </w:rPr>
        <w:t xml:space="preserve">WiMilk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sectPr>
      <w:type w:val="continuous"/>
      <w:pgSz w:h="15840" w:w="12240" w:orient="portrait"/>
      <w:pgMar w:bottom="1080" w:top="1080" w:left="1080" w:right="1080" w:header="708" w:footer="708"/>
      <w:cols w:equalWidth="0" w:num="2">
        <w:col w:space="360" w:w="4860"/>
        <w:col w:space="0" w:w="486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