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44"/>
          <w:szCs w:val="44"/>
        </w:rPr>
        <w:t xml:space="preserve">Plataforma Inteligente de Monitoramento Rural com IA e Visão Computacional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Higor Ferreira Silva, Igor Barbosa Lino e Wallyson Miranda Aguiar, EMC/UFG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cols w:num="1"/>
          <w:docGrid w:linePitch="360"/>
        </w:sectPr>
      </w:pPr>
    </w:p>
    <w:p>
      <w:pPr>
        <w:spacing w:after="100" w:line="23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color w:val="000000"/>
          <w:sz w:val="18"/>
          <w:szCs w:val="18"/>
        </w:rPr>
        <w:t xml:space="preserve">Resumo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8"/>
          <w:szCs w:val="18"/>
        </w:rPr>
        <w:t xml:space="preserve">— Este artigo avalia a viabilidade econômica de uma plataforma B2B de monitoramento rural que integra drones, sensores IoT e visão computacional com inteligência artificial, voltada a médias e grandes fazendas de grãos do Centro-Oeste brasileiro. O problema central de Engenharia Econômica é determinar se, e em quanto tempo, o investimento se paga. Comparam-se três arquiteturas de receita — SaaS asset-light (A), Drone-as-a-Service com frota própria (B) e Híbrido com taxa de implantação mais assinatura (C) — por meio de VPL, TIR, payback simples e descontado, IBC e ROIA. A TMA é ancorada na Selic vigente (14,25% a.a., Copom de 17/06/2026) e estressada a 20% e 30% a.a. O modelo Híbrido apresenta o melhor desempenho (VPL de R$ 2,94 mi a 20% de TMA; TIR de 85,6%; payback descontado de cerca de três anos). A análise de sensibilidade mostra que a viabilidade depende criticamente da velocidade de adoção de hectares. Conclui-se que a tese de investimento é, no fundo, uma tese sobre execução comercial.</w:t>
      </w:r>
    </w:p>
    <w:p>
      <w:pPr>
        <w:spacing w:after="100" w:line="23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color w:val="000000"/>
          <w:sz w:val="18"/>
          <w:szCs w:val="18"/>
        </w:rPr>
        <w:t xml:space="preserve">Palavras-chave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8"/>
          <w:szCs w:val="18"/>
        </w:rPr>
        <w:t xml:space="preserve">— Engenharia Econômica, VPL, TIR, payback, AgTech, agricultura de precisão, viabilidade econômica, SaaS.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I. 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Introdução e Contextualização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O agronegócio brasileiro opera sob margens apertadas, exigência crescente de rastreabilidade e janelas de decisão curtas: pragas, doenças e estresse hídrico podem comprometer a safra em poucos dias se não forem detectados a tempo. Simultaneamente, três habilitadores tecnológicos amadureceram: a expansão da conectividade rural, a queda no custo de drones e sensores, e o avanço da IA e da visão computacional a níveis de precisão operacional [1], [4]. O resultado é uma transição em curso para “fazendas inteligentes”.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Diferentemente de mercados em que a tecnologia ainda precisa ser provada, aqui a demanda já está validada por concorrentes ativos com escala relevante (Seção V). Esse movimento reflete-se no mercado: o segmento global de drones agrícolas foi avaliado em cerca de US$ 1,5 bilhão em 2025, com projeção de US$ 3,9 bilhões até 2031 [29]. O risco, portanto, não é de mercado, mas de execução comercial. O papel da análise de Engenharia Econômica é duplo: provar que o investimento se paga — e em quanto tempo — tanto para o produtor quanto para o negócio que oferece a plataforma.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Este trabalho concentra-se na perspectiva do negócio (a operação da plataforma) e responde à pergunta central da disciplina — “a partir de quando o projeto dá lucro?” — com os indicadores clássicos de fluxo de caixa descontado, acompanhados de análise de sensibilidade. Todos os valores monetários são premissas de trabalho, conferidas matematicamente por implementações independentes, e devem ser recalibrados com os dados reais discutidos na Seção V.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II. 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Fundamentação Teórica e o Problema do Cliente</w:t>
      </w:r>
    </w:p>
    <w:p>
      <w:pPr>
        <w:spacing w:after="60" w:before="120"/>
        <w:ind w:first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Fundamentação teórica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agricultura digital, sistematizada por publicações institucionais brasileiras, utiliza dados para otimizar operações, prever problemas e melhorar a eficiência produtiva [1], [3]. Ela se apoia em três pilares que amadureceram em conjunto: a instrumentação do campo por sensores e dispositivos de IoT, a captação de imagens por drones e satélites, e a análise desses dados por modelos de aprendizado de máquina. No núcleo técnico, redes neurais convolucionais e arquiteturas como YOLO e EfficientNet têm sido aplicadas à identificação de pragas, à classificação de culturas e ao reconhecimento de padrões em imagens de campo, com acurácias operacionalmente úteis relatadas na literatura — por exemplo, 94,2% de acurácia com EfficientNet-B0 na detecção de pragas em ambiente natural [6]. A integração entre robótica móvel, IoT e computação em nuvem foi demonstrada em arquiteturas compostas por sensores, comunicação sem fio e servidores [7], enquanto a análise massiva de dados operacionais via IoT — exemplificada pelo processamento de mais de 18 milhões de registros oriundos de 352 secadores de grãos conectados — evidencia o potencial de diagnóstico e automação a partir de dados de campo [8].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No plano da validação comercial, o caso da WiMilk, AgTech brasileira que une IA, visão computacional e monitoramento contínuo na pecuária leiteira, é frequentemente citado como evidência de adoção e geração de valor real [17]. Cabe a ressalva de que se trata de domínio distinto (pecuária leiteira, e não grãos): o caso sustenta a tese tecnológica, mas não constitui comparável direto de mercado para a plataforma de grãos aqui proposta, papel reservado aos concorrentes da Seção V.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literatura também adverte que o retorno da agricultura de precisão 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dependente de contexto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, e não automático. Em estudo experimental conduzido em áreas de pastagem (Tifton 85) no Oeste de Santa Catarina, Silva e Maccari (2014) compararam o manejo por taxa variável com o convencional e observaram que a precisão resultou em custo cerca de 32% superior (R$ 1.295,70/ha contra R$ 979,20/ha), sem diferença estatisticamente significativa de produtividade entre os dois sistemas; concluíram que, naquele contexto, a precisão não proporcionou ganho economicamente viável [9]. Esse resultado — de domínio e escala distintos do aqui analisado — reforça a postura metodológica deste trabalho: o ganho por hectare é uma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premissa a ser medida em piloto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, não um número a ser assumido. Fontes institucionais e setoriais reforçam tanto o potencial da agricultura de precisão e da conectividade no campo [18], [19], [20] quanto a necessidade de quantificar caso a caso a economia por hectare [21].</w:t>
      </w:r>
    </w:p>
    <w:p>
      <w:pPr>
        <w:spacing w:after="60" w:before="120"/>
        <w:ind w:first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O problema: a dor do cliente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É contra esse pano de fundo que se define o problema concreto. Médias e grandes fazendas de grãos perdem produtividade por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detecção tardia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 de pragas, doenças, falhas de plantio e estresse hídrico, e gastam mais que o necessário com insumos por aplicação uniforme. Hoje o problema é endereçado por inspeção manual amostral, lenta e sujeita a erro em áreas de milhares de hectares, somada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ferramentas fragmentadas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: um aplicativo de satélite, outro fornecedor para o voo de drone, uma planilha para sensores e o ERP da fazenda à parte, sem integração. O dado existe, mas está disperso e raramente se converte em decisão acionável no tempo certo.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As soluções atuais falham por quatro motivos: (i) fragmentação dos dados; (ii) pressuposto de conectividade estável, que quebra no campo; (iii) entrega de “mapas”, e não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prescrições acionáveis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; e (iv) retorno não demonstrado em reais, o que trava a adoção. A consequência prática é uma perda financeira recorrente que o produtor sequer mede com precisão — e é justamente essa perda que dimensiona o valor a ser capturado pela solução.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III. 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Proposta de Solução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Propõe-se uma plataforma única que conecta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drones, sensores IoT e visão computacional com 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 e transforma imagens e leituras de campo em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decisões acionáveis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: alertas priorizados de praga e doença, mapas de prescrição de taxa variável (VRT) exportáveis para o maquinário e indicadores de produtividade por talhão, funcionando mesmo com conectividade ruim (operação offline-first).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Os diferenciais defensáveis são: integração ponta a ponta (drone, IoT, satélite e ERP) em uma camada única; tradução do dado em prescrição e em reais, e não apenas em visualização; resiliência de conectividade por projeto; e uma base de dados proprietária que melhora os modelos a cada safra (efeito de rede de dados).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IV. 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Metodologia da Solução</w:t>
      </w:r>
    </w:p>
    <w:p>
      <w:pPr>
        <w:spacing w:after="60" w:before="120"/>
        <w:ind w:first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Dimensão técnica: arquitetura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arquitetura é organizada em camadas, o que permite um Produto Mínimo Viável (MVP) enxuto e a escala sem reescrita do núcleo. A decisão central é a separação entre borda (campo) e nuvem: tarefas leves e o buffer offline ficam em um gateway na fazenda, enquanto o processamento pesado (ortomosaico, treino de modelos) fica na nuvem, com custo elástico (Tabela I).</w:t>
      </w:r>
    </w:p>
    <w:p>
      <w:pPr>
        <w:spacing w:after="5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16"/>
          <w:szCs w:val="16"/>
        </w:rPr>
        <w:t xml:space="preserve">Tabela I — Camadas da arquitetura</w:t>
      </w:r>
    </w:p>
    <w:tbl>
      <w:tblPr>
        <w:tblW w:type="dxa" w:w="468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000000" w:sz="4"/>
          <w:insideV w:val="none" w:color="FFFFFF" w:sz="0"/>
        </w:tblBorders>
      </w:tblPr>
      <w:tblGrid>
        <w:gridCol w:w="1180"/>
        <w:gridCol w:w="2400"/>
        <w:gridCol w:w="1100"/>
      </w:tblGrid>
      <w:tr>
        <w:trPr>
          <w:cantSplit/>
          <w:tblHeader/>
        </w:trPr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Função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Racional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Captação (Edge)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Drone (RGB/multiespectral) + IoT + satélite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Redundância de fonte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Borda (Gateway)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Buffer offline, pré-proc., inferência leve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Resolve conectividade; reduz nuvem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Process. (Nuvem)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Ortomosaico, treino, VC pesada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Escala elástica de GPU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Dados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Geoespacial + séries temporais + imagens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Cada dado no banco adequado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Aplicação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Dashboard, alertas, prescrição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Onde o dado vira decisão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Integração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Exportar prescrição (ISO-XML) e ERP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O “último metro” do valor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444444"/>
          <w:sz w:val="14"/>
          <w:szCs w:val="14"/>
        </w:rPr>
        <w:t xml:space="preserve">Fonte: própria, 2026.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O faseamento previsto é: MVP (uma fonte de dado, um caso de IA, dashboard e uma fazenda-piloto), depois V1 (IoT, satélite e mapa de prescrição) e V2 (modelos preditivos, integração com maquinário e base multifazenda).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Pipeline de dados e modelos de IA.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camada inteligente é alimentada por um pipeline com etapas de limpeza, normalização, padronização, enriquecimento e validação dos dados. As fontes podem combinar bases públicas (por exemplo, PlantVillage e conjuntos da Embrapa) com bases próprias (drones, smartphones e sensores locais). Para o treino dos modelos de visão computacional, adota-se a partição usual de 70% para treino, 15% para validação e 15% para teste, avaliada por acurácia, precisão, recall, F1-score e mAP, além da matriz de confusão. Essa disciplina permite tratar a melhoria contínua dos modelos como um ativo (efeito de rede de dados), e não como custo recorrente sem retorno.</w:t>
      </w:r>
    </w:p>
    <w:p>
      <w:pPr>
        <w:spacing w:after="60" w:before="120"/>
        <w:ind w:first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0"/>
          <w:szCs w:val="20"/>
        </w:rPr>
        <w:t xml:space="preserve">Dimensão financeira: viabilidade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Indicadores e regras de decisão.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Adotam-se os indicadores clássicos de Engenharia Econômica. A TMA é o custo de oportunidade que serve de taxa de desconto. O VPL mede a riqueza criada no presente (viável se VPL &gt; 0). A TIR é a taxa que zera o VPL (atrativo se TIR &gt; TMA). O payback simples e o descontado medem o tempo de recuperação do capital, sem e com o custo do dinheiro. O IBC é a razão entre o valor presente dos benefícios e o investimento (cria valor se IBC &gt; 1), e o ROIA = IBC^(1/n) − 1 expressa o ganho percentual real acima da TMA. Com fluxos FC_t e horizonte n = 5: VPL = Σ FC_t /(1+i)^t, e a TIR é a taxa que torna VPL = 0.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Taxa Mínima de Atratividade.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referência de custo de oportunidade é a Selic vigente, 14,25% a.a., definida pelo Copom em 17/06/2026 [11]. Utilizam-se três níveis: piso de 14,25% (custo de oportunidade puro), recomendado de 20% (Selic mais prêmio de risco de venture) e estresse de 30%. A taxa deve ser reconferida na data de defesa.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Premissas centrais (ilustrativas).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As premissas, conferidas matematicamente mas não verificadas no mercado, são: investimento inicial de R$ 380.000 no Ano 0; horizonte de 5 anos; curva de adoção de 25 mil a 550 mil hectares ativos; fazenda média de 3.000 ha por cliente; e, no modelo recomendado, preço de R$ 22/ha/ano somado a uma taxa de implantação.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Referências de mercado para CAPEX e OPEX.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Para ancorar a ordem de grandeza das premissas, levantaram-se faixas reais de preço de fornecedores e fontes setoriais brasileiros (2024–2026), na Tabela II. São referências de calibração, não cotações fechadas. No CAPEX, um drone de mapeamento multiespectral (classe DJI Mavic 3 Multispectral, com RTK) custa entre R$ 36 mil e R$ 41,5 mil no varejo nacional [24]; sensores de solo partem de cerca de R$ 1,5 mil [31], enquanto estações agrometeorológicas profissionais são vendidas sob orçamento, sem preço público [32] — a camada de IoT por área é estimada em R$ 20–120/ha por ano [25]. No modelo B (frota própria), um drone de pulverização classe DJI Agras T50 (kit) custa de R$ 135 mil a R$ 180 mil [30]. No OPEX, a conectividade rural via satélite (Starlink) custa de R$ 164 a R$ 329/mês mais o kit de antena (R$ 0,8–2,4 mil) [33], e o chip M2M parte de cerca de R$ 10/mês [26]; a equipe é o item dominante (desenvolvedores de R$ 3 mil a R$ 12 mil+ por mês na base CLT [27]; pilotos de drone agrícola de R$ 4 mil a R$ 8 mil/mês [28]), lembrando que o custo real ao empregador costuma ser 1,7–2× o salário-base por causa dos encargos. Como verificação de coerência, o serviço de mapeamento por drone praticado no mercado (R$ 8–40/ha [25]) é da mesma ordem do preço de R$ 22/ha/ano do modelo.</w:t>
      </w:r>
    </w:p>
    <w:p>
      <w:pPr>
        <w:spacing w:after="5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16"/>
          <w:szCs w:val="16"/>
        </w:rPr>
        <w:t xml:space="preserve">Tabela II — Referências de mercado de CAPEX/OPEX (BR, 2024–2026)</w:t>
      </w:r>
    </w:p>
    <w:tbl>
      <w:tblPr>
        <w:tblW w:type="dxa" w:w="468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000000" w:sz="4"/>
          <w:insideV w:val="none" w:color="FFFFFF" w:sz="0"/>
        </w:tblBorders>
      </w:tblPr>
      <w:tblGrid>
        <w:gridCol w:w="880"/>
        <w:gridCol w:w="2560"/>
        <w:gridCol w:w="1240"/>
      </w:tblGrid>
      <w:tr>
        <w:trPr>
          <w:cantSplit/>
          <w:tblHeader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Item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Faixa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Drone mapeamento multiespectral (RTK)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R$ 36–41,5 mil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Drone pulverização (Agras T50, kit) — só mod. B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R$ 135–180 mil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Sensor de solo (umidade/EC/temp/NPK)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a partir de R$ 1,5 mil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Estação agrometeorológica profissional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sob orçamento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Kit Starlink (antena)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R$ 0,8–2,4 mil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CAPEX/OPEX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Camada IoT (sensores), por ha/ano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R$ 20–120/ha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OPEX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Conectividade Starlink/mês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R$ 164–329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OPEX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Conectividade M2M, por chip/mês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a partir de R$ 10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OPEX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Dev. de software (jr.–sr.)/mês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R$ 3–12 mil+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OPEX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Piloto de drone agrícola/mês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R$ 4–8 mil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Ref.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Serviço de mapeamento por drone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R$ 8–40/ha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Ref.</w:t>
            </w:r>
          </w:p>
        </w:tc>
        <w:tc>
          <w:tcPr>
            <w:tcW w:type="dxa" w:w="2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Serviço de pulverização por drone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R$ 80–250/ha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444444"/>
          <w:sz w:val="14"/>
          <w:szCs w:val="14"/>
        </w:rPr>
        <w:t xml:space="preserve">Fontes: drone mapeamento (DronesX/LiliVendas/CentralDrone) [24]; Agras T50 (Próspera/Lojão do Drone) [30]; sensor de solo (Hensistemas) [31]; estação (Sigma Sensors) [32]; Starlink (minhaconexao) [33]; camada IoT e serviços (Investidor Rural, 2026) [25]; M2M (IOT Conect) [26]; salários [27]; piloto (IstoÉ Dinheiro/O Tempo–Firjan) [28]. Faixas de calibração, não cotações.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Reconstrução bottom-up (verificação de coerência).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Para tornar as métricas o mais transparentes possível, a Tabela III reconstrói o investimento do Ano 0 a partir dos preços unitários acima. Distingue-se explicitamente o que tem fonte (preço unitário) do que é premissa (quantidade e duração). O resultado — R$ 254 mil a R$ 401 mil — contém a premissa de R$ 380 mil, o que sustenta sua ordem de grandeza. De modo análogo, um OPEX de Ano 1 reconstruído com uma equipe de cerca de cinco pessoas (com encargos de 1,8×) resulta em aproximadamente R$ 805 mil/ano, coerente com o custo fixo de R$ 900 mil adotado no Ano 1.</w:t>
      </w:r>
    </w:p>
    <w:p>
      <w:pPr>
        <w:spacing w:after="5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16"/>
          <w:szCs w:val="16"/>
        </w:rPr>
        <w:t xml:space="preserve">Tabela III — Reconstrução bottom-up do CAPEX Ano 0</w:t>
      </w:r>
    </w:p>
    <w:tbl>
      <w:tblPr>
        <w:tblW w:type="dxa" w:w="468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000000" w:sz="4"/>
          <w:insideV w:val="none" w:color="FFFFFF" w:sz="0"/>
        </w:tblBorders>
      </w:tblPr>
      <w:tblGrid>
        <w:gridCol w:w="1640"/>
        <w:gridCol w:w="1800"/>
        <w:gridCol w:w="1240"/>
      </w:tblGrid>
      <w:tr>
        <w:trPr>
          <w:cantSplit/>
          <w:tblHeader/>
        </w:trPr>
        <w:tc>
          <w:tcPr>
            <w:tcW w:type="dxa" w:w="16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Componente (Ano 0)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Base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Faixa</w:t>
            </w:r>
          </w:p>
        </w:tc>
      </w:tr>
      <w:tr>
        <w:trPr>
          <w:cantSplit/>
        </w:trPr>
        <w:tc>
          <w:tcPr>
            <w:tcW w:type="dxa" w:w="16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Drone multiespectral RTK (×1)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preço varejo [fonte]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R$ 36–41,5 mil</w:t>
            </w:r>
          </w:p>
        </w:tc>
      </w:tr>
      <w:tr>
        <w:trPr>
          <w:cantSplit/>
        </w:trPr>
        <w:tc>
          <w:tcPr>
            <w:tcW w:type="dxa" w:w="16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Sensores + estação IoT (piloto)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sensor ≥ R$ 1,5 mil [fonte]; estação sob orçam.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R$ 15–40 mil</w:t>
            </w:r>
          </w:p>
        </w:tc>
      </w:tr>
      <w:tr>
        <w:trPr>
          <w:cantSplit/>
        </w:trPr>
        <w:tc>
          <w:tcPr>
            <w:tcW w:type="dxa" w:w="16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Equipe MVP (~6 m, 2–3 devs)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unit. [fonte]; qtd [assumida]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R$ 173–259 mil</w:t>
            </w:r>
          </w:p>
        </w:tc>
      </w:tr>
      <w:tr>
        <w:trPr>
          <w:cantSplit/>
        </w:trPr>
        <w:tc>
          <w:tcPr>
            <w:tcW w:type="dxa" w:w="16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Infra inicial + jurídico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[estimado]</w:t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R$ 30–60 mil</w:t>
            </w:r>
          </w:p>
        </w:tc>
      </w:tr>
      <w:tr>
        <w:trPr>
          <w:cantSplit/>
        </w:trPr>
        <w:tc>
          <w:tcPr>
            <w:tcW w:type="dxa" w:w="16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Total reconstruído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R$ 254–401 mil</w:t>
            </w:r>
          </w:p>
        </w:tc>
      </w:tr>
      <w:tr>
        <w:trPr>
          <w:cantSplit/>
        </w:trPr>
        <w:tc>
          <w:tcPr>
            <w:tcW w:type="dxa" w:w="16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Premissa do modelo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4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R$ 380 mil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444444"/>
          <w:sz w:val="14"/>
          <w:szCs w:val="14"/>
        </w:rPr>
        <w:t xml:space="preserve">Preços unitários têm fonte (Tabela II); quantidades e durações são premissas, sinalizadas. Encargos sobre folha: 1,8× (regra prática 1,7–2×).</w:t>
      </w:r>
    </w:p>
    <w:p>
      <w:pPr>
        <w:sectPr>
          <w:type w:val="continuous"/>
          <w:pgSz w:w="12240" w:h="15840" w:orient="portrait"/>
          <w:pgMar w:top="1080" w:right="1080" w:bottom="1080" w:left="1080" w:header="708" w:footer="708" w:gutter="0"/>
          <w:pgNumType/>
          <w:cols w:space="360" w:num="2" w:equalWidth="true"/>
          <w:docGrid w:linePitch="360"/>
        </w:sectPr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Fluxo de caixa do modelo recomendado (C — Híbrido), em R$ (Tabela IV); comparação dos três modelos, validada por duas implementações independentes (Python e JavaScript), na Tabela V.</w:t>
      </w:r>
    </w:p>
    <w:p>
      <w:pPr>
        <w:spacing w:after="5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16"/>
          <w:szCs w:val="16"/>
        </w:rPr>
        <w:t xml:space="preserve">Tabela IV — Fluxo de caixa do modelo Híbrido (R$)</w:t>
      </w:r>
    </w:p>
    <w:tbl>
      <w:tblPr>
        <w:tblW w:type="dxa" w:w="1008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000000" w:sz="4"/>
          <w:insideV w:val="none" w:color="FFFFFF" w:sz="0"/>
        </w:tblBorders>
      </w:tblPr>
      <w:tblGrid>
        <w:gridCol w:w="1080"/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1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Ano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Receita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Custo total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Fluxo líquido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Acumulado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−380.000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−380.000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716.667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1.115.000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−398.333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−778.333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1.840.000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1.752.000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88.000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−690.333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4.120.000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3.136.000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984.000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293.667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8.106.667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5.632.000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2.474.667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2.768.333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13.633.333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9.090.000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4.543.333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7.311.667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444444"/>
          <w:sz w:val="14"/>
          <w:szCs w:val="14"/>
        </w:rPr>
        <w:t xml:space="preserve">Fonte: própria, 2026. Indicadores conferidos em Python e JavaScript.</w:t>
      </w:r>
    </w:p>
    <w:p>
      <w:pPr>
        <w:spacing w:after="5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16"/>
          <w:szCs w:val="16"/>
        </w:rPr>
        <w:t xml:space="preserve">Tabela V — Comparação dos três modelos de receita</w:t>
      </w:r>
    </w:p>
    <w:tbl>
      <w:tblPr>
        <w:tblW w:type="dxa" w:w="1008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000000" w:sz="4"/>
          <w:insideV w:val="none" w:color="FFFFFF" w:sz="0"/>
        </w:tblBorders>
      </w:tblPr>
      <w:tblGrid>
        <w:gridCol w:w="2280"/>
        <w:gridCol w:w="2600"/>
        <w:gridCol w:w="2600"/>
        <w:gridCol w:w="2600"/>
      </w:tblGrid>
      <w:tr>
        <w:trPr>
          <w:cantSplit/>
          <w:tblHeader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Indicador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A) SaaS asset-light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B) DaaS frota própria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C) Híbrido (setup+SaaS)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Investimento Ano 0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380.000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380.000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380.000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VPL (14,25% — Selic)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3.622.344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864.845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3.784.968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VPL (20% — recom.)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2.788.869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431.690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2.937.891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VPL (30% — estresse)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1.774.627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−67.162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1.903.646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TIR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79,9%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28,3%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85,6%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Payback simples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2,91 anos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4,21 anos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2,70 anos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Payback descont. (20%)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3,20 anos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4,70 anos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3,07 anos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IBC (20%)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8,34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2,14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8,73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ROIA (20%)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52,8% a.a.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16,4% a.a.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54,2% a.a.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444444"/>
          <w:sz w:val="14"/>
          <w:szCs w:val="14"/>
        </w:rPr>
        <w:t xml:space="preserve">Fonte: própria, 2026. VPL em R$. Valores em negrito: modelo recomendado.</w:t>
      </w:r>
    </w:p>
    <w:p>
      <w:pPr>
        <w:sectPr>
          <w:type w:val="continuous"/>
          <w:pgSz w:w="12240" w:h="15840" w:orient="portrait"/>
          <w:pgMar w:top="1080" w:right="1080" w:bottom="1080" w:left="1080" w:header="708" w:footer="708" w:gutter="0"/>
          <w:pgNumType/>
          <w:cols w:num="1"/>
          <w:docGrid w:linePitch="360"/>
        </w:sectPr>
      </w:pP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leitura, sob o método de decisão entre alternativas mutuamente excludentes, é direta. O modelo C (Híbrido) é o melhor: a taxa de implantação adianta caixa e produz o menor payback com o maior VPL. O modelo A (SaaS) é uma alternativa enxuta, quase tão boa quanto C. O modelo B (DaaS) parece atraente pelo ticket maior, mas é intensivo em capital (frota crescente até 46 unidades no Ano 5) e de margem fina; seu VPL é muito menor, com payback próximo de 4,7 anos e valor negativo sob TMA de 30%. Recomenda-se rejeitar B como núcleo, mantendo-o, no máximo, como serviço premium pago pelo cliente.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A partir de quando há lucro?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pergunta admite três respostas, da mais simples à mais rigorosa, para o modelo C: o break-even operacional (o fluxo anual deixa de ser negativo) ocorre no Ano 2 (+R$ 88 mil); o payback simples é de cerca de 2,7 anos; e o payback descontado — definição mais rigorosa de início de criação de riqueza — é de cerca de 3,1 anos. Como o horizonte é de 5 anos, o projeto é viável: VPL positivo, TIR muito acima da TMA e IBC maior que 1.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Análise de sensibilidade.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O motor do resultado é a adoção. Para a hipótese pessimista, apresentam-se dois limites de elasticidade de custo: “custo fixo” (a estrutura de custos não cai com a menor adoção — conservador) e “custo escalável” (os custos acompanham a queda — otimista). A faixa resultante (Tabela VI) é a informação honesta.</w:t>
      </w:r>
    </w:p>
    <w:p>
      <w:pPr>
        <w:spacing w:after="5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16"/>
          <w:szCs w:val="16"/>
        </w:rPr>
        <w:t xml:space="preserve">Tabela VI — Análise de sensibilidade (modelo C)</w:t>
      </w:r>
    </w:p>
    <w:tbl>
      <w:tblPr>
        <w:tblW w:type="dxa" w:w="4680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single" w:color="000000" w:sz="4"/>
          <w:insideV w:val="none" w:color="FFFFFF" w:sz="0"/>
        </w:tblBorders>
      </w:tblPr>
      <w:tblGrid>
        <w:gridCol w:w="2080"/>
        <w:gridCol w:w="1500"/>
        <w:gridCol w:w="1100"/>
      </w:tblGrid>
      <w:tr>
        <w:trPr>
          <w:cantSplit/>
          <w:tblHeader/>
        </w:trPr>
        <w:tc>
          <w:tcPr>
            <w:tcW w:type="dxa" w:w="2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Cenário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VPL (20%)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shd w:fill="E8E8E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Veredito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Otimista (ad. +25%, pr. +10%)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R$ 4,80–6,36 mi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Muito viável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Base (premissas centrais)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R$ 2,94 mi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Viável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Pessimista (ad. −40%, pr. −15%)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R$ −1,63 a +0,87 mi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16"/>
                <w:szCs w:val="16"/>
              </w:rPr>
              <w:t xml:space="preserve">Limítrofe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444444"/>
          <w:sz w:val="14"/>
          <w:szCs w:val="14"/>
        </w:rPr>
        <w:t xml:space="preserve">Fonte: própria, 2026.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conclusão de risco é que, se a contratação de hectares ficar cerca de 40% abaixo do esperado e os custos não se ajustarem na mesma velocidade, o projeto não se paga no horizonte. A tese é, no fundo, sobre velocidade de aquisição de hectares.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V. 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Case Real e Validação de Mercado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força do trabalho está em substituir as premissas por dados verificáveis. Esta seção separa o que já é verificável do que ainda precisa ser coletado.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Demanda validada por concorrentes (verificado).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Perfect Flight, AgTech brasileira de gestão e rastreabilidade de pulverização aérea, reportou da ordem de 25 a 27 milhões de hectares digitalizados (dados de 2022) [12], [13]. A SIMA, plataforma de monitoramento agrícola presente em oito países da América Latina, reportava mais de 8 milhões de hectares monitorados em 2025 [14], [15]. Esses números confirmam a existência de demanda e de disposição a pagar; o diferencial proposto está na integração ponta a ponta e na entrega de prescrição acionável.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Tamanho de mercado.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Para a ordem de grandeza atual, a página do relatório da Mordor Intelligence (dados de jan. 2026) avalia o segmento global de drones agrícolas em cerca de US$ 1,5 bilhão em 2025, com projeção de US$ 3,9 bilhões até 2031 (CAGR de ~16,7%) [29]. As estimativas, contudo, variam conforme a fonte e a edição — de ~US$ 1,5 bi a ~US$ 5 bi para 2025 —, o que reforça a cautela ao citar tamanho de mercado. Projeções mais antigas e repetidas — por exemplo, a estimativa de R$ 40 bilhões para agricultura de precisão até 2026 — datam de 2022 e não devem ser apresentadas como número corrente [16]; cite sempre a fonte e o ano.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Ordem de grandeza do valor por hectare (referência jornalística, 2022).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Como ponto de partida, reportagem setorial estimou que a conectividade associada à agricultura de precisão poderia gerar economia da ordem de R$ 178 por hectare [21]. É uma referência datada e jornalística, útil apenas como ordem de grandeza inicial: a economia efetiva de cada fazenda deve ser medida em piloto, sobretudo à luz da evidência contrária em pastagem [9].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Adoção real por produtores (verificado em reportagem, 2025).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Há evidências jornalísticas recentes de adoção por grandes produtores de grãos. Reportagem de 2025 descreve uma propriedade do Grupo SLC Agrícola que, com aplicação localizada de defensivos e monitoramento de máquinas, reduziu o uso de defensivos em até 90% [22]. Em Mato Grosso do Sul, o Grupo José Pessoa relata o uso de IA para identificar a variedade de soja ideal por talhão [23]. São casos jornalísticos de fazendas individuais — não estudos controlados —, mas, somados aos concorrentes, indicam que a adoção em grãos já está em curso.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0"/>
          <w:szCs w:val="20"/>
        </w:rPr>
        <w:t xml:space="preserve">A coletar.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Para quantificar a proposta de valor, deve-se levantar, em uma fazenda representativa do Centro-Oeste, área, cultura, perda média por safra, gasto com insumos e horas de inspeção, traduzindo-os em reais economizados por ano; e fechar cotações reais de CAPEX/OPEX (já há faixas de referência nas Tabelas II e III). Como a equipe está em Goiânia, o acesso a um caso real é uma vantagem.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VI. 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Riscos e Mitigações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O risco número um é a adoção mais lenta que a prevista; mitiga-se com pilotos que comprovem o retorno em reais, canal de vendas via cooperativas e revendas e contratos plurianuais. A conectividade intermitente é mitigada por projeto, pela operação offline-first no gateway de borda. O custo de nuvem é contido empurrando-se inferência leve para a borda. A qualidade do dado e a segurança das recomendações são tratadas por validação humana (agrônomo) antes da ação em campo. Há ainda risco cambial, pois parte do CAPEX (drones e sensores) é importada; recomenda-se modelo asset-light sempre que possível. Por fim, a concentração de receita em poucos clientes grandes é mitigada pela diversificação da base.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VII. 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Conclusões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O problema é real e validado pelo mercado: o risco não é de demanda, mas de execução comercial. A solução tem diferencial defensável — integração, operação offline-first e tradução em prescrição acionável — e é construível em fases. Financeiramente, no modelo recomendado (Híbrido), a análise indica viabilidade: VPL positivo e TIR muito acima da TMA em todos os níveis testados (14,25%, 20% e 30%), com payback descontado de aproximadamente três anos.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A honestidade analítica reside na sensibilidade: se a adoção decepcionar em cerca de 40% e os custos não se ajustarem, o projeto não se paga no horizonte. Logo, a decisão de investir é, fundamentalmente, uma decisão sobre a capacidade de acelerar a adoção de hectares. Os números são premissas conferidas matematicamente, não dados de mercado verificados; a defesa final depende de substituí-los pelos dados reais da Seção V.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Referências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[1] EMBRAPA. Agricultura digital e inteligência artificial. Infoteca-e, 2025. [verificado]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[2] SANTOS, T. T.; BARBEDO, J. G. A.; TERNES, S.; CAMARGO NETO, J.; KOENIGKAN, L. V.; SOUZA, K. X. S. de. Visão computacional aplicada na agricultura. In: Agricultura digital, cap. 6. Embrapa Agricultura Digital, 2020.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[3] MASSRUHÁ, S. M. F. S. IoT na Embrapa. BNDES — Estudo Nacional de IoT, jun. 2018.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[4] PRAKASH, C.; SINGH, L. P.; GUPTA, A.; LOHAN, S. K. Advancements in smart farming: a comprehensive review of IoT, wireless communication, sensors, and hardware for agricultural automation. Computers and Electronics in Agriculture, Elsevier, 2023. PII S0924424723004545.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[5] OLIVEIRA, F. S. de; SANTOS, D. E.; BRUHN, F. R. P.; BOHM, B. C.; SANTANA, B. S. Visão Computacional na Agricultura de Precisão: análise comparativa de arquiteturas CNN no diagnóstico de doenças foliares do milho. Anais da I ERAMIA-RS, Porto Alegre-RS, 2025.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[6] BORGES, F. R. D. C.; SILVA, J. M. da. Visão computacional para agricultura de precisão: detecção de pragas com deep learning. Revista DELOS, Curitiba, v. 19, n. 77, p. 01–14, 2026. DOI 10.55905/rdelosv19.n77-133.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[7] DURMUŞ, H.; GÜNEŞ, E. O. Integration of the Mobile Robot and IoT to Collect Data from the Agricultural Fields. 2019 8th Int. Conf. Agro-Geoinformatics, p. 1–5, 2019. DOI 10.1109/Agro-Geoinformatics.2019.8820578.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[8] SCHMIDT, D.; SELLITTO, M. A. Análise de Dados Massivos de Secadores de Grãos via IoT: Eficiência, Riscos e Oportunidades. Revista SODEBRAS, v. 47, n. Especial (XLVII Int. Sodebras Congress), Campinas-SP, set. 2025. ISSN 1809-3957.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[9] SILVA, D.; MACCARI, M. (orient.). Viabilidade Técnica e Econômica da Agricultura de Precisão em Áreas de Pastagens. IC, Agronomia, UNOESC, Xanxerê-SC, 2014.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[10] BANCO CENTRAL DO BRASIL. Taxa Selic. bcb.gov.br. Acesso em 24 jun. 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[11] BANCO CENTRAL DO BRASIL. Comunicado e Ata do Copom de 17/06/2026 — Selic 14,25% a.a. 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[12] PERFECT FLIGHT. perfectflight.com.br. Acesso em 24 jun. 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[13] Perfect Flight — ~25 milhões de hectares digitalizados, 2022. [verificar veículo/data]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[14] SIMA. sima.ag/pt. Acesso em 24 jun. 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[15] SIMA ultrapassa 8 milhões de hectares monitorados, 2025. [verificar veículo/data]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[16] Agricultura de Precisão deve crescer R$ 40 bi até 2026, 2022 (projeção antiga; substituída por [29]).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[17] WiMilk — AgTech de detecção precoce de mastite bovina (IA e visão computacional). Equipe: G. Vargas (UEG), L. Plaster (UFG), P. Viana (PUC-GO); vencedora do Desafio AgroStartup 2025 (Senar Goiás). Mais Goiás, dez. 2025.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[18] EMBRAPA — Ageitec. Agricultura de Precisão (cana-de-açúcar). embrapa.br. Acesso em 24 jun. 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[19] Radar em drone facilita monitoramento agrícola. Pesquisa FAPESP. Acesso em 24 jun. 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[20] FUNDAJ. Drones agrícolas: tudo sobre essa inovação. Observa Fundaj. Acesso em 24 jun. 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[21] FAVERIN, V. Conectividade no campo pode trazer economia de R$ 178 por hectare. Canal Rural, jan. 2022.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[22] BONFIM, Y. Fazenda reduz defensivos em 90% com agricultura de precisão (Grupo SLC Agrícola). Planeta Campo / Canal Rural, 2025.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[23] ALMEIDA, G. “Quem não se moderniza fica para trás”, diz sojicultor de MS que aposta em IA (Grupo José Pessoa). Canal Rural, nov. 2025.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[24] Levantamento de varejo do drone DJI Mavic 3 Multispectral (RTK): DronesX, LiliVendas, CentralDrone, 2025–2026. Faixa R$ 36.000–41.500.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[25] Tecnologia no campo: custos, economia e ROI da agricultura de precisão. Investidor Rural, 2026. IoT R$ 20–120/ha/ano; mapeamento R$ 8–40/ha; pulverização R$ 80–250/ha.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[26] Chip M2M: quanto custa e onde contratar. IOT Conect, 2024. A partir de R$ 10/chip/mês.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[27] Salários de desenvolvedores no Brasil (2025–2026): querobolsa, meutudo, Microlins, Glassdoor (compilação).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[28] Quanto ganha um piloto de drone agrícola (compilação). IstoÉ Dinheiro; O Tempo (Firjan ≈ R$ 8,3 mil), 2025.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[29] MORDOR INTELLIGENCE. Agriculture Drones Market. Página do relatório (dados de jan. 2026): US$ 1,5 bi (2025) → US$ 3,9 bi (2031), CAGR 16,72%. Estimativas variam por edição (release out. 2025: US$ 5 bi → US$ 13 bi até 2030).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[30] Drone DJI Agras T50 (kit pulverização): varejo Próspera Distribuição (R$ 135.000) e Lojão do Drone (R$ 179.780), 2025–2026.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[31] Medidor/sensor de solo (umidade, EC, temperatura, NPK): Hensistemas, a partir de R$ 1.499. 2024–2026.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[32] Estação agrometeorológica profissional: Sigma Sensors; Agrosystem — venda sob orçamento (sem preço público), 2025–2026.</w:t>
      </w:r>
    </w:p>
    <w:p>
      <w:pPr>
        <w:spacing w:after="40" w:line="215"/>
        <w:ind w:left="300" w:hanging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16"/>
          <w:szCs w:val="16"/>
        </w:rPr>
        <w:t xml:space="preserve">[33] Kit e planos Starlink Brasil: kit R$ 799 (Mini) a R$ 2.400 (Padrão), até R$ 12.830 (alto desempenho); plano residencial R$ 236/mês (promo R$ 164/mês 1º ano), comercial a partir de R$ 329/mês. minhaconexao/Compre Rural, 2025–2026.</w:t>
      </w:r>
    </w:p>
    <w:p>
      <w:pPr>
        <w:spacing w:after="9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color w:val="000000"/>
          <w:sz w:val="20"/>
          <w:szCs w:val="20"/>
        </w:rPr>
        <w:t xml:space="preserve">Agradecimentos</w:t>
      </w:r>
    </w:p>
    <w:p>
      <w:pPr>
        <w:spacing w:after="80" w:line="240"/>
        <w:ind w:first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À Escola de Engenharia Elétrica, Mecânica e de Computação (EMC) da Universidade Federal de Goiás (UFG), pelo suporte acadêmico ao desenvolvimento deste trabalho na disciplina de Engenharia Econômica.</w:t>
      </w:r>
    </w:p>
    <w:sectPr>
      <w:type w:val="continuous"/>
      <w:pgSz w:w="12240" w:h="15840" w:orient="portrait"/>
      <w:pgMar w:top="1080" w:right="1080" w:bottom="1080" w:left="1080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2026-06-24T18:55:38.939Z</dcterms:created>
  <dcterms:modified xsi:type="dcterms:W3CDTF">2026-06-24T18:55:38.940Z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