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Poppins" w:cs="Poppins" w:eastAsia="Poppins" w:hAnsi="Poppins"/>
          <w:b/>
          <w:bCs/>
          <w:color w:val="17C9B0"/>
          <w:spacing w:val="40"/>
          <w:sz w:val="18"/>
          <w:szCs w:val="18"/>
        </w:rPr>
        <w:t xml:space="preserve">PROJETO FINAL  ·  VISÃO COMPUTACIONAL</w:t>
      </w:r>
    </w:p>
    <w:p>
      <w:pPr>
        <w:spacing w:after="0" w:before="160"/>
      </w:pPr>
      <w:r>
        <w:rPr>
          <w:rFonts w:ascii="Poppins" w:cs="Poppins" w:eastAsia="Poppins" w:hAnsi="Poppins"/>
          <w:b/>
          <w:bCs/>
          <w:color w:val="091337"/>
          <w:sz w:val="48"/>
          <w:szCs w:val="48"/>
        </w:rPr>
        <w:t xml:space="preserve">Detecção e laudo automático de tumor cerebral</w:t>
      </w:r>
    </w:p>
    <w:p>
      <w:pPr>
        <w:spacing w:after="260" w:before="100"/>
      </w:pPr>
      <w:r>
        <w:rPr>
          <w:rFonts w:ascii="Poppins" w:cs="Poppins" w:eastAsia="Poppins" w:hAnsi="Poppins"/>
          <w:color w:val="008DEC"/>
          <w:sz w:val="24"/>
          <w:szCs w:val="24"/>
        </w:rPr>
        <w:t xml:space="preserve">Um pipeline com Ultralytics YOLO26-L, dados sintéticos e diagnóstico sob orçamento de tempo fechado</w:t>
      </w:r>
    </w:p>
    <w:p>
      <w:pPr>
        <w:pBdr>
          <w:bottom w:val="single" w:color="17C9B0" w:sz="6" w:space="1"/>
        </w:pBdr>
        <w:spacing w:after="180" w:before="60"/>
      </w:pPr>
    </w:p>
    <w:tbl>
      <w:tblPr>
        <w:tblW w:type="dxa" w:w="9026"/>
        <w:tblBorders>
          <w:top w:val="single" w:color="DCE3EB" w:sz="4"/>
          <w:left w:val="none"/>
          <w:bottom w:val="single" w:color="DCE3EB" w:sz="4"/>
          <w:right w:val="none"/>
          <w:insideH w:val="single" w:color="DCE3EB" w:sz="2"/>
          <w:insideV w:val="none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26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Autor</w:t>
            </w:r>
          </w:p>
        </w:tc>
        <w:tc>
          <w:tcPr>
            <w:tcW w:type="dxa" w:w="69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Higor — Engenharia de Computação, EMC/UFG</w:t>
            </w:r>
          </w:p>
        </w:tc>
      </w:tr>
      <w:tr>
        <w:tc>
          <w:tcPr>
            <w:tcW w:type="dxa" w:w="21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Modelo</w:t>
            </w:r>
          </w:p>
        </w:tc>
        <w:tc>
          <w:tcPr>
            <w:tcW w:type="dxa" w:w="69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Ultralytics YOLO26-L (26,3 M parâmetros, cabeça end-to-end sem NMS)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Conjuntos</w:t>
            </w:r>
          </w:p>
        </w:tc>
        <w:tc>
          <w:tcPr>
            <w:tcW w:type="dxa" w:w="69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brain-tumor (1.116 imagens) · medical-pills (115, controle OOD) · 300 sintéticas</w:t>
            </w:r>
          </w:p>
        </w:tc>
      </w:tr>
      <w:tr>
        <w:tc>
          <w:tcPr>
            <w:tcW w:type="dxa" w:w="21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Ambiente</w:t>
            </w:r>
          </w:p>
        </w:tc>
        <w:tc>
          <w:tcPr>
            <w:tcW w:type="dxa" w:w="69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Google Colab · GPU T4 · Python 3 · ultralytics 8.4.x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Identidade visual</w:t>
            </w:r>
          </w:p>
        </w:tc>
        <w:tc>
          <w:tcPr>
            <w:tcW w:type="dxa" w:w="69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template Dtox (Themefisher): Bootstrap 4, Poppins, #008DEC e gradientes #17FFD3→#D3FC71</w:t>
            </w:r>
          </w:p>
        </w:tc>
      </w:tr>
      <w:tr>
        <w:tc>
          <w:tcPr>
            <w:tcW w:type="dxa" w:w="21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69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execução completa em até 30 minutos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Entregáveis</w:t>
            </w:r>
          </w:p>
        </w:tc>
        <w:tc>
          <w:tcPr>
            <w:tcW w:type="dxa" w:w="69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notebook .ipynb · aplicação Flask · laudo JSON · painel HTML · este relatório</w:t>
            </w:r>
          </w:p>
        </w:tc>
      </w:tr>
    </w:tbl>
    <w:p>
      <w:pPr>
        <w:spacing w:before="340"/>
      </w:pPr>
    </w:p>
    <w:tbl>
      <w:tblPr>
        <w:tblW w:type="dxa" w:w="9026"/>
        <w:tblBorders>
          <w:top w:val="single" w:color="008DEC" w:sz="8"/>
          <w:left w:val="single" w:color="008DEC" w:sz="8"/>
          <w:bottom w:val="single" w:color="008DEC" w:sz="8"/>
          <w:right w:val="single" w:color="008DEC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9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Poppins" w:cs="Poppins" w:eastAsia="Poppins" w:hAnsi="Poppins"/>
                <w:b/>
                <w:bCs/>
                <w:color w:val="0B6FA8"/>
                <w:sz w:val="20"/>
                <w:szCs w:val="20"/>
              </w:rPr>
              <w:t xml:space="preserve">Aviso de escopo</w:t>
            </w:r>
          </w:p>
          <w:p>
            <w:pPr>
              <w:spacing w:after="0" w:line="264"/>
              <w:jc w:val="both"/>
            </w:pPr>
            <w:r>
              <w:rPr>
                <w:rFonts w:ascii="Poppins" w:cs="Poppins" w:eastAsia="Poppins" w:hAnsi="Poppins"/>
                <w:color w:val="3E5568"/>
                <w:sz w:val="19"/>
                <w:szCs w:val="19"/>
              </w:rPr>
              <w:t xml:space="preserve">Este documento descreve um exercício acadêmico de visão computacional. O sistema descrito </w:t>
            </w:r>
            <w:r>
              <w:rPr>
                <w:rFonts w:ascii="Poppins" w:cs="Poppins" w:eastAsia="Poppins" w:hAnsi="Poppins"/>
                <w:b/>
                <w:bCs/>
                <w:color w:val="3E5568"/>
                <w:sz w:val="19"/>
                <w:szCs w:val="19"/>
              </w:rPr>
              <w:t xml:space="preserve">não é dispositivo médico</w:t>
            </w:r>
            <w:r>
              <w:rPr>
                <w:rFonts w:ascii="Poppins" w:cs="Poppins" w:eastAsia="Poppins" w:hAnsi="Poppins"/>
                <w:color w:val="3E5568"/>
                <w:sz w:val="19"/>
                <w:szCs w:val="19"/>
              </w:rPr>
              <w:t xml:space="preserve">, não passou por validação clínica e </w:t>
            </w:r>
            <w:r>
              <w:rPr>
                <w:rFonts w:ascii="Poppins" w:cs="Poppins" w:eastAsia="Poppins" w:hAnsi="Poppins"/>
                <w:b/>
                <w:bCs/>
                <w:color w:val="3E5568"/>
                <w:sz w:val="19"/>
                <w:szCs w:val="19"/>
              </w:rPr>
              <w:t xml:space="preserve">não deve ser usado para qualquer decisão diagnóstica</w:t>
            </w:r>
            <w:r>
              <w:rPr>
                <w:rFonts w:ascii="Poppins" w:cs="Poppins" w:eastAsia="Poppins" w:hAnsi="Poppins"/>
                <w:color w:val="3E5568"/>
                <w:sz w:val="19"/>
                <w:szCs w:val="19"/>
              </w:rPr>
              <w:t xml:space="preserve">. Os rótulos </w:t>
            </w:r>
            <w:r>
              <w:rPr>
                <w:rFonts w:ascii="Courier New" w:cs="Courier New" w:eastAsia="Courier New" w:hAnsi="Courier New"/>
                <w:color w:val="008DEC"/>
                <w:sz w:val="17"/>
                <w:szCs w:val="17"/>
              </w:rPr>
              <w:t xml:space="preserve">negative</w:t>
            </w:r>
            <w:r>
              <w:rPr>
                <w:rFonts w:ascii="Poppins" w:cs="Poppins" w:eastAsia="Poppins" w:hAnsi="Poppins"/>
                <w:color w:val="3E5568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008DEC"/>
                <w:sz w:val="17"/>
                <w:szCs w:val="17"/>
              </w:rPr>
              <w:t xml:space="preserve">positive</w:t>
            </w:r>
            <w:r>
              <w:rPr>
                <w:rFonts w:ascii="Poppins" w:cs="Poppins" w:eastAsia="Poppins" w:hAnsi="Poppins"/>
                <w:color w:val="3E5568"/>
                <w:sz w:val="19"/>
                <w:szCs w:val="19"/>
              </w:rPr>
              <w:t xml:space="preserve"> são convenção de anotação de um conjunto de dados público, não diagnóstico verificado por laudo clínico.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1. Introdução e objetivo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 ponto de partida deste trabalho foi um notebook de aula que demonstra o uso do Ultralytics YOLO em imagem e vídeo com pesos pré-treinados. A pergunta que ele responde é «como se usa um detector pronto». A pergunta deste projeto é outra: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como se constrói um sistema inteiro em torno de um detector — e como se prova que ele funciona?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 domínio escolhido é a detecção de lesões em cortes de ressonância magnética do encéfalo. A escolha não é acidental: é um domínio em que o custo de um falso negativo não é comparável ao de um falso positivo, em que a origem do dado (aparelho, protocolo) muda a distribuição de forma relevante e em que entregar uma caixa delimitadora não é entregar informação. Cada uma dessas três propriedades vira uma seção deste relatório.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 objetivo é produzir, dentro de um teto de trinta minutos de execução em GPU gratuita do Google Colab, um pipeline que: (i) particione o conjunto de dados de forma que a validação meça generalização real; (ii) amplie o conjunto de treino com dados sintéticos cujo rótulo seja exato por construção; (iii) treine um YOLO26-L com orçamento de tempo imposto; (iv) diagnostique o modelo em seis eixos independentes; e (v) transforme a saída em um laudo estruturado consumível por uma pessoa e por outro sistema.</w:t>
      </w:r>
    </w:p>
    <w:p>
      <w:pPr>
        <w:spacing w:after="0" w:before="160"/>
        <w:jc w:val="center"/>
      </w:pPr>
      <w:r>
        <w:drawing>
          <wp:inline distT="0" distB="0" distL="0" distR="0">
            <wp:extent cx="571500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7A8399"/>
          <w:sz w:val="18"/>
          <w:szCs w:val="18"/>
        </w:rPr>
        <w:t xml:space="preserve">Figura 1 — Arquitetura do pipeline. As etapas em âmbar são as que distinguem este trabalho de uma demonstração de detecção.</w:t>
      </w:r>
    </w:p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2. Fundamentação: o que muda no YOLO26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Três decisões de arquitetura do YOLO26 alteram diretamente o código escrito em torno dele, e por isso precisam ser explicitadas antes do método.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Cabeça end-to-end, sem NMS.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As versões anteriores emitiam centenas de candidatas e um pós-processamento por supressão de não-máximos escolhia as sobreviventes. O YOLO26 treina uma cabeça um-para-um, idealmente com uma caixa por objeto já na saída da rede. Consequência prática: os parâmetros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iou=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agnostic_nms=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perdem o efeito de antes.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Remoção da Distribution Focal Loss.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O DFL modelava cada coordenada como distribuição discreta sobre intervalos. Removê-lo simplifica a cabeça e preserva regressão sem faixa limitada, o que favorece alvos pequenos.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STAL e Progressive Loss.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A atribuição de rótulos ciente de alvos pequenos mantém cobertura positiva para objetos diminutos, e a perda progressiva desloca o peso do treino, ao longo das épocas, em direção à arquitetura que efetivamente roda na inferência.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Os dois primeiros pontos importam porque a mediana das caixas anotadas neste conjunto ocupa cerca de 1,5 % da área da imagem — território clássico de detecção de objetos pequenos. O terceiro importa porque uma consequência não documentada, verificada experimentalmente durante a construção deste projeto, é que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a cabeça end-to-end não aceita `augment=True`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: o Ultralytics emite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Model does not support 'augment=True'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e retorna à inferência em escala única. Isso elimina a rota mais comum de estimativa de incerteza por aumento em tempo de teste e obrigou o desenho de uma alternativa, descrita na seção 4.4.</w:t>
      </w:r>
    </w:p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3. Materiais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3.1 Conjuntos de dados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Os dois conjuntos utilizados são distribuídos pela Ultralytics sob licença AGPL-3.0 e baixam sem credencial, o que preserva a reprodutibilidade em qualquer máquina.</w:t>
      </w:r>
    </w:p>
    <w:tbl>
      <w:tblPr>
        <w:tblW w:type="dxa" w:w="9026"/>
        <w:tblBorders>
          <w:top w:val="single" w:color="DCE3EB" w:sz="4"/>
          <w:left w:val="none"/>
          <w:bottom w:val="single" w:color="DCE3EB" w:sz="4"/>
          <w:right w:val="none"/>
          <w:insideH w:val="single" w:color="DCE3EB" w:sz="2"/>
          <w:insideV w:val="none"/>
        </w:tblBorders>
      </w:tblPr>
      <w:tblGrid>
        <w:gridCol w:w="2000"/>
        <w:gridCol w:w="3300"/>
        <w:gridCol w:w="1100"/>
        <w:gridCol w:w="2626"/>
      </w:tblGrid>
      <w:tr>
        <w:trPr>
          <w:tblHeader/>
        </w:trPr>
        <w:tc>
          <w:tcPr>
            <w:tcW w:type="dxa" w:w="20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Conjunto</w:t>
            </w:r>
          </w:p>
        </w:tc>
        <w:tc>
          <w:tcPr>
            <w:tcW w:type="dxa" w:w="33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Papel no projeto</w:t>
            </w:r>
          </w:p>
        </w:tc>
        <w:tc>
          <w:tcPr>
            <w:tcW w:type="dxa" w:w="11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Imagens</w:t>
            </w:r>
          </w:p>
        </w:tc>
        <w:tc>
          <w:tcPr>
            <w:tcW w:type="dxa" w:w="2626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brain-tumor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conjunto primário de detecção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1.116</w:t>
            </w:r>
          </w:p>
        </w:tc>
        <w:tc>
          <w:tcPr>
            <w:tcW w:type="dxa" w:w="2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escala de cinza, 2 classes, ~4,3 MB</w:t>
            </w:r>
          </w:p>
        </w:tc>
      </w:tr>
      <w:tr>
        <w:tc>
          <w:tcPr>
            <w:tcW w:type="dxa" w:w="20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medical-pills</w:t>
            </w:r>
          </w:p>
        </w:tc>
        <w:tc>
          <w:tcPr>
            <w:tcW w:type="dxa" w:w="33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controle negativo fora do domínio</w:t>
            </w:r>
          </w:p>
        </w:tc>
        <w:tc>
          <w:tcPr>
            <w:tcW w:type="dxa" w:w="11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115</w:t>
            </w:r>
          </w:p>
        </w:tc>
        <w:tc>
          <w:tcPr>
            <w:tcW w:type="dxa" w:w="26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nenhuma contém encéfalo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sintético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ampliação do treino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300</w:t>
            </w:r>
          </w:p>
        </w:tc>
        <w:tc>
          <w:tcPr>
            <w:tcW w:type="dxa" w:w="2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gerado no próprio notebook</w:t>
            </w:r>
          </w:p>
        </w:tc>
      </w:tr>
    </w:tbl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Uma honestidade necessária sobre os rótulos: neste conjunto público,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negative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positive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são classes de caixa, não diagnósticos verificados. Praticamente toda imagem anotada possui uma caixa. Portanto, o que o modelo aprende é «localizar a região de interesse e classificá-la na convenção do conjunto», e não «diagnosticar tumor». Essa distinção reaparece na seção 7.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3.2 Particionamento por protocolo de aquisição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 leitura crua do conjunto — abrindo cada imagem e cada arquivo de rótulo — revela que ele não é homogêneo: convivem ao menos três geometrias dominantes, 512×512, 192×256 e 256×256. Em imagem médica, geometria distinta costuma indicar equipamento ou protocolo distinto, com outra relação sinal-ruído e outra estatística de intensidade.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 detalhe que define o desenho experimental é este: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as 175 imagens de 192×256 estão todas no split de treino original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, e o split de validação original não contém nenhuma delas. Validar no split original mede o modelo apenas em protocolos que ele já viu. Em vez de importar um segundo conjunto externo — o que traria dependência de credencial e consumiria minutos do orçamento —, este projeto extrai o segundo conjunto do próprio dado, usando a geometria como *proxy* de fonte.</w:t>
      </w:r>
    </w:p>
    <w:tbl>
      <w:tblPr>
        <w:tblW w:type="dxa" w:w="9026"/>
        <w:tblBorders>
          <w:top w:val="single" w:color="DCE3EB" w:sz="4"/>
          <w:left w:val="none"/>
          <w:bottom w:val="single" w:color="DCE3EB" w:sz="4"/>
          <w:right w:val="none"/>
          <w:insideH w:val="single" w:color="DCE3EB" w:sz="2"/>
          <w:insideV w:val="none"/>
        </w:tblBorders>
      </w:tblPr>
      <w:tblGrid>
        <w:gridCol w:w="1150"/>
        <w:gridCol w:w="2150"/>
        <w:gridCol w:w="900"/>
        <w:gridCol w:w="850"/>
        <w:gridCol w:w="900"/>
        <w:gridCol w:w="900"/>
        <w:gridCol w:w="2176"/>
      </w:tblGrid>
      <w:tr>
        <w:trPr>
          <w:tblHeader/>
        </w:trPr>
        <w:tc>
          <w:tcPr>
            <w:tcW w:type="dxa" w:w="115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Partição</w:t>
            </w:r>
          </w:p>
        </w:tc>
        <w:tc>
          <w:tcPr>
            <w:tcW w:type="dxa" w:w="215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9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Imagens</w:t>
            </w:r>
          </w:p>
        </w:tc>
        <w:tc>
          <w:tcPr>
            <w:tcW w:type="dxa" w:w="85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Caixas</w:t>
            </w:r>
          </w:p>
        </w:tc>
        <w:tc>
          <w:tcPr>
            <w:tcW w:type="dxa" w:w="9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negative</w:t>
            </w:r>
          </w:p>
        </w:tc>
        <w:tc>
          <w:tcPr>
            <w:tcW w:type="dxa" w:w="9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positive</w:t>
            </w:r>
          </w:p>
        </w:tc>
        <w:tc>
          <w:tcPr>
            <w:tcW w:type="dxa" w:w="2176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Protocolo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treino</w:t>
            </w:r>
          </w:p>
        </w:tc>
        <w:tc>
          <w:tcPr>
            <w:tcW w:type="dxa" w:w="21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ajuste dos pesos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718</w:t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752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409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343</w:t>
            </w:r>
          </w:p>
        </w:tc>
        <w:tc>
          <w:tcPr>
            <w:tcW w:type="dxa" w:w="21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512² · 256² · raros</w:t>
            </w:r>
          </w:p>
        </w:tc>
      </w:tr>
      <w:tr>
        <w:tc>
          <w:tcPr>
            <w:tcW w:type="dxa" w:w="11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interno</w:t>
            </w:r>
          </w:p>
        </w:tc>
        <w:tc>
          <w:tcPr>
            <w:tcW w:type="dxa" w:w="21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validação in-distribution</w:t>
            </w:r>
          </w:p>
        </w:tc>
        <w:tc>
          <w:tcPr>
            <w:tcW w:type="dxa" w:w="9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223</w:t>
            </w:r>
          </w:p>
        </w:tc>
        <w:tc>
          <w:tcPr>
            <w:tcW w:type="dxa" w:w="8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241</w:t>
            </w:r>
          </w:p>
        </w:tc>
        <w:tc>
          <w:tcPr>
            <w:tcW w:type="dxa" w:w="9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154</w:t>
            </w:r>
          </w:p>
        </w:tc>
        <w:tc>
          <w:tcPr>
            <w:tcW w:type="dxa" w:w="9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87</w:t>
            </w:r>
          </w:p>
        </w:tc>
        <w:tc>
          <w:tcPr>
            <w:tcW w:type="dxa" w:w="217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512² · 256²</w:t>
            </w:r>
          </w:p>
        </w:tc>
      </w:tr>
      <w:tr>
        <w:tc>
          <w:tcPr>
            <w:tcW w:type="dxa" w:w="1150"/>
            <w:shd w:fill="E6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4D546F"/>
                <w:sz w:val="19"/>
                <w:szCs w:val="19"/>
              </w:rPr>
              <w:t xml:space="preserve">externo</w:t>
            </w:r>
          </w:p>
        </w:tc>
        <w:tc>
          <w:tcPr>
            <w:tcW w:type="dxa" w:w="2150"/>
            <w:shd w:fill="E6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4D546F"/>
                <w:sz w:val="19"/>
                <w:szCs w:val="19"/>
              </w:rPr>
              <w:t xml:space="preserve">validação sob deslocamento</w:t>
            </w:r>
          </w:p>
        </w:tc>
        <w:tc>
          <w:tcPr>
            <w:tcW w:type="dxa" w:w="900"/>
            <w:shd w:fill="E6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4D546F"/>
                <w:sz w:val="19"/>
                <w:szCs w:val="19"/>
              </w:rPr>
              <w:t xml:space="preserve">175</w:t>
            </w:r>
          </w:p>
        </w:tc>
        <w:tc>
          <w:tcPr>
            <w:tcW w:type="dxa" w:w="850"/>
            <w:shd w:fill="E6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4D546F"/>
                <w:sz w:val="19"/>
                <w:szCs w:val="19"/>
              </w:rPr>
              <w:t xml:space="preserve">173</w:t>
            </w:r>
          </w:p>
        </w:tc>
        <w:tc>
          <w:tcPr>
            <w:tcW w:type="dxa" w:w="900"/>
            <w:shd w:fill="E6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4D546F"/>
                <w:sz w:val="19"/>
                <w:szCs w:val="19"/>
              </w:rPr>
              <w:t xml:space="preserve">28</w:t>
            </w:r>
          </w:p>
        </w:tc>
        <w:tc>
          <w:tcPr>
            <w:tcW w:type="dxa" w:w="900"/>
            <w:shd w:fill="E6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4D546F"/>
                <w:sz w:val="19"/>
                <w:szCs w:val="19"/>
              </w:rPr>
              <w:t xml:space="preserve">145</w:t>
            </w:r>
          </w:p>
        </w:tc>
        <w:tc>
          <w:tcPr>
            <w:tcW w:type="dxa" w:w="2176"/>
            <w:shd w:fill="E6F5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4D546F"/>
                <w:sz w:val="19"/>
                <w:szCs w:val="19"/>
              </w:rPr>
              <w:t xml:space="preserve">192×256 exclusivo</w:t>
            </w:r>
          </w:p>
        </w:tc>
      </w:tr>
    </w:tbl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 regra é dura de propósito: nenhuma imagem 192×256 entra no treino. Não é um holdout aleatório, é um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holdout de protocolo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. A tabela também expõe o achado mais interessante do projeto: no treino as classes estão quase equilibradas (46 % positivas), enquanto no conjunto externo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84 % das caixas são positivas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. Há, portanto, deslocamento de covariável (a imagem mudou) *e* deslocamento de rótulo (a prevalência mudou) — dois problemas distintos, que cobram preços distintos.</w:t>
      </w:r>
    </w:p>
    <w:p>
      <w:pPr>
        <w:spacing w:after="0" w:before="160"/>
        <w:jc w:val="center"/>
      </w:pPr>
      <w:r>
        <w:drawing>
          <wp:inline distT="0" distB="0" distL="0" distR="0">
            <wp:extent cx="5715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7A8399"/>
          <w:sz w:val="18"/>
          <w:szCs w:val="18"/>
        </w:rPr>
        <w:t xml:space="preserve">Figura 2 — Composição das partições. À direita, a prevalência da classe positive; a linha tracejada marca o valor do treino.</w:t>
      </w:r>
    </w:p>
    <w:p>
      <w:pPr>
        <w:spacing w:after="0" w:before="160"/>
        <w:jc w:val="center"/>
      </w:pPr>
      <w:r>
        <w:drawing>
          <wp:inline distT="0" distB="0" distL="0" distR="0">
            <wp:extent cx="5715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7A8399"/>
          <w:sz w:val="18"/>
          <w:szCs w:val="18"/>
        </w:rPr>
        <w:t xml:space="preserve">Figura 3 — Protocolos de aquisição, escala dos alvos e densidade de anotação por partição.</w:t>
      </w:r>
    </w:p>
    <w:p>
      <w:pPr>
        <w:spacing w:after="0" w:before="16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7A8399"/>
          <w:sz w:val="18"/>
          <w:szCs w:val="18"/>
        </w:rPr>
        <w:t xml:space="preserve">Figura 4 — Distribuição espacial dos centros das lesões em cada partição.</w:t>
      </w:r>
    </w:p>
    <w:p>
      <w:r>
        <w:br w:type="page"/>
      </w:r>
    </w:p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4. Método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4.1 Síntese de lesões com rótulo exato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 aumento de dados que o Ultralytics já executa (mosaico, HSV, escala, espelhamento) não cria lesões novas em posições novas — e é justamente isso que falta com 718 imagens de treino. A síntese adotada recorta caixas anotadas do próprio treino e as recola em outras imagens, com quatro cuidados que evitam que o detector aprenda a costura em vez da lesão.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Onde colar.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Máscara intracraniana obtida por limiarização de Otsu, maior componente conexo, fechamento morfológico e preenchimento de contorno; em seguida, erosão para afastar a colagem da calota craniana.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Como misturar.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Máscara elíptica com borda difusa: para a distância normalizada d do centro, α = clip((1 − d)/s, 0, 1) e I = α·I_lesão + (1 − α)·I_fundo.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Harmonizar intensidade.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O recorte vem de outra imagem, com outro brilho; casam-se os dois primeiros momentos com a vizinhança do destino, I′ = (I − μ_lesão)/σ_lesão · σ_viz + μ_viz.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Alternativa por Poisson.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Em parte das amostras usa-se seamless cloning, que resolve ∇²f = ∇²g no interior da região com f = I_fundo no contorno; a costura desaparece porque a solução impõe continuidade na fronteira.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 ponto decisivo é que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o rótulo não é estimado, é conhecido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: a posição de colagem foi escolhida, logo a caixa é exata por construção. Dado sintético só é defensável quando o rótulo vem junto com o pixel.</w:t>
      </w:r>
    </w:p>
    <w:p>
      <w:pPr>
        <w:spacing w:after="0" w:before="16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7A8399"/>
          <w:sz w:val="18"/>
          <w:szCs w:val="18"/>
        </w:rPr>
        <w:t xml:space="preserve">Figura 5 — Quatro exemplos de síntese: imagem original acima, versão sintética abaixo com as caixas resultantes.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4.2 Artefatos de ressonância para o teste de robustez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Somar ruído gaussiano a uma imagem de ressonância é fisicamente incorreto. A imagem de magnitude é o módulo de um sinal complexo cujos dois canais carregam ruído gaussiano independente, de modo que a observação segue distribuição Riciana, I_obs = √((I + n₁)² + n₂²). Quatro degradações foram implementadas a partir do modelo físico, três delas diretamente no espaço-k.</w:t>
      </w:r>
    </w:p>
    <w:tbl>
      <w:tblPr>
        <w:tblW w:type="dxa" w:w="9026"/>
        <w:tblBorders>
          <w:top w:val="single" w:color="DCE3EB" w:sz="4"/>
          <w:left w:val="none"/>
          <w:bottom w:val="single" w:color="DCE3EB" w:sz="4"/>
          <w:right w:val="none"/>
          <w:insideH w:val="single" w:color="DCE3EB" w:sz="2"/>
          <w:insideV w:val="none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Artefato</w:t>
            </w:r>
          </w:p>
        </w:tc>
        <w:tc>
          <w:tcPr>
            <w:tcW w:type="dxa" w:w="32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Origem física</w:t>
            </w:r>
          </w:p>
        </w:tc>
        <w:tc>
          <w:tcPr>
            <w:tcW w:type="dxa" w:w="3926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Simulação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ruído Riciano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ruído térmico no sinal complexo</w:t>
            </w:r>
          </w:p>
        </w:tc>
        <w:tc>
          <w:tcPr>
            <w:tcW w:type="dxa" w:w="39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módulo do sinal com ruído nos dois canais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campo de bias</w:t>
            </w:r>
          </w:p>
        </w:tc>
        <w:tc>
          <w:tcPr>
            <w:tcW w:type="dxa" w:w="32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não-uniformidade de B₁</w:t>
            </w:r>
          </w:p>
        </w:tc>
        <w:tc>
          <w:tcPr>
            <w:tcW w:type="dxa" w:w="39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multiplicação por campo polinomial suave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ghosting N/2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instabilidade entre linhas de codificação de fase</w:t>
            </w:r>
          </w:p>
        </w:tc>
        <w:tc>
          <w:tcPr>
            <w:tcW w:type="dxa" w:w="39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fase e^{iπλ} em linhas alternadas do espaço-k</w:t>
            </w:r>
          </w:p>
        </w:tc>
      </w:tr>
      <w:tr>
        <w:tc>
          <w:tcPr>
            <w:tcW w:type="dxa" w:w="19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ringing de Gibbs</w:t>
            </w:r>
          </w:p>
        </w:tc>
        <w:tc>
          <w:tcPr>
            <w:tcW w:type="dxa" w:w="32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truncamento do espaço-k</w:t>
            </w:r>
          </w:p>
        </w:tc>
        <w:tc>
          <w:tcPr>
            <w:tcW w:type="dxa" w:w="39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zeragem das altas frequências e IFFT</w:t>
            </w:r>
          </w:p>
        </w:tc>
      </w:tr>
    </w:tbl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Nenhuma dessas imagens entra no treino. Elas existem exclusivamente para o teste de robustez da seção 5.5. Misturar as duas famílias de síntese seria treinar e avaliar na mesma distribuição artificial — o erro metodológico mais comum em trabalhos com dado sintético.</w:t>
      </w:r>
    </w:p>
    <w:p>
      <w:pPr>
        <w:spacing w:after="0" w:before="160"/>
        <w:jc w:val="center"/>
      </w:pPr>
      <w:r>
        <w:drawing>
          <wp:inline distT="0" distB="0" distL="0" distR="0">
            <wp:extent cx="45720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Poppins" w:cs="Poppins" w:eastAsia="Poppins" w:hAnsi="Poppins"/>
          <w:i/>
          <w:iCs/>
          <w:color w:val="7A8399"/>
          <w:sz w:val="18"/>
          <w:szCs w:val="18"/>
        </w:rPr>
        <w:t xml:space="preserve">Figura 6 — Os quatro artefatos em três severidades, aplicados ao mesmo corte.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4.3 Treino sob orçamento de tempo imposto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 Colab sorteia o hardware: a mesma célula pode receber uma T4, uma L4 ou uma CPU, e a mesma configuração de épocas produz tempos que variam por um fator de cinco. Um notebook que promete trinta minutos com um número fixo de épocas não promete nada.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 solução adotada inverte a variável de controle. O Ultralytics aceita o argumento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time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, documentado como «tempo máximo de treinamento em horas; se definido, sobrescreve o argumento epochs, permitindo que o treinamento pare automaticamente após a duração especificada». O treinador mede a duração real da primeira época, recalcula quantas cabem no tempo e encerra devolvendo o melhor checkpoint.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O número de épocas passa a ser saída do experimento, não entrada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, e o relógio — que é o que o usuário sente — fica fixo. O comportamento foi verificado: com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epochs=2, time=0.05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, o treinador reprogramou a execução para 55 épocas.</w:t>
      </w:r>
    </w:p>
    <w:tbl>
      <w:tblPr>
        <w:tblW w:type="dxa" w:w="9026"/>
        <w:tblBorders>
          <w:top w:val="single" w:color="DCE3EB" w:sz="4"/>
          <w:left w:val="none"/>
          <w:bottom w:val="single" w:color="DCE3EB" w:sz="4"/>
          <w:right w:val="none"/>
          <w:insideH w:val="single" w:color="DCE3EB" w:sz="2"/>
          <w:insideV w:val="none"/>
        </w:tblBorders>
      </w:tblPr>
      <w:tblGrid>
        <w:gridCol w:w="1800"/>
        <w:gridCol w:w="1700"/>
        <w:gridCol w:w="5526"/>
      </w:tblGrid>
      <w:tr>
        <w:trPr>
          <w:tblHeader/>
        </w:trPr>
        <w:tc>
          <w:tcPr>
            <w:tcW w:type="dxa" w:w="18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Argumento</w:t>
            </w:r>
          </w:p>
        </w:tc>
        <w:tc>
          <w:tcPr>
            <w:tcW w:type="dxa" w:w="17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5526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time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0,25 h (15 min)</w:t>
            </w:r>
          </w:p>
        </w:tc>
        <w:tc>
          <w:tcPr>
            <w:tcW w:type="dxa" w:w="55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impõe o teto; sobrescreve epochs</w:t>
            </w:r>
          </w:p>
        </w:tc>
      </w:tr>
      <w:tr>
        <w:tc>
          <w:tcPr>
            <w:tcW w:type="dxa" w:w="18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epochs</w:t>
            </w:r>
          </w:p>
        </w:tc>
        <w:tc>
          <w:tcPr>
            <w:tcW w:type="dxa" w:w="1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120</w:t>
            </w:r>
          </w:p>
        </w:tc>
        <w:tc>
          <w:tcPr>
            <w:tcW w:type="dxa" w:w="55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apenas um teto superior; quem decide é time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imgsz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640</w:t>
            </w:r>
          </w:p>
        </w:tc>
        <w:tc>
          <w:tcPr>
            <w:tcW w:type="dxa" w:w="55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compromisso entre alvo pequeno e velocidade</w:t>
            </w:r>
          </w:p>
        </w:tc>
      </w:tr>
      <w:tr>
        <w:tc>
          <w:tcPr>
            <w:tcW w:type="dxa" w:w="18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cache</w:t>
            </w:r>
          </w:p>
        </w:tc>
        <w:tc>
          <w:tcPr>
            <w:tcW w:type="dxa" w:w="1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ram</w:t>
            </w:r>
          </w:p>
        </w:tc>
        <w:tc>
          <w:tcPr>
            <w:tcW w:type="dxa" w:w="55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≈1.000 imagens pequenas; o gargalo é o disco do Colab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cos_lr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True</w:t>
            </w:r>
          </w:p>
        </w:tc>
        <w:tc>
          <w:tcPr>
            <w:tcW w:type="dxa" w:w="55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decaimento suave, robusto a número de épocas indeterminado</w:t>
            </w:r>
          </w:p>
        </w:tc>
      </w:tr>
      <w:tr>
        <w:tc>
          <w:tcPr>
            <w:tcW w:type="dxa" w:w="18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close_mosaic</w:t>
            </w:r>
          </w:p>
        </w:tc>
        <w:tc>
          <w:tcPr>
            <w:tcW w:type="dxa" w:w="1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5</w:t>
            </w:r>
          </w:p>
        </w:tc>
        <w:tc>
          <w:tcPr>
            <w:tcW w:type="dxa" w:w="55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o modelo vê imagens inteiras antes de encerrar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deterministic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False</w:t>
            </w:r>
          </w:p>
        </w:tc>
        <w:tc>
          <w:tcPr>
            <w:tcW w:type="dxa" w:w="55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reprodutibilidade total custaria velocidade — assunção declarada</w:t>
            </w:r>
          </w:p>
        </w:tc>
      </w:tr>
      <w:tr>
        <w:tc>
          <w:tcPr>
            <w:tcW w:type="dxa" w:w="18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patience</w:t>
            </w:r>
          </w:p>
        </w:tc>
        <w:tc>
          <w:tcPr>
            <w:tcW w:type="dxa" w:w="1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100</w:t>
            </w:r>
          </w:p>
        </w:tc>
        <w:tc>
          <w:tcPr>
            <w:tcW w:type="dxa" w:w="55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o critério de parada é o tempo, não a estagnação</w:t>
            </w:r>
          </w:p>
        </w:tc>
      </w:tr>
    </w:tbl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4.4 Motor de laudo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 última etapa converte tensores em informação interpretável. Para cada achado acima do limiar operacional, o motor calcula área, diâmetro equivalente (D = 2√(A/π)), área relativa à região intracraniana, razão de aspecto, lateralidade em relação à linha média estimada, contraste relativo ao parênquima e um indicador de estabilidade. O resultado é um objeto JSON versionado, com treze campos por achado, mais um bloco de resumo e um aviso de escopo.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Como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augment=True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não é suportado (seção 2), a estabilidade é obtida repetindo a inferência com a imagem espelhada horizontalmente — devolvendo as caixas ao referencial original — e em outra escala de entrada, e medindo o IoU médio entre as detecções originais e as das duas vistas.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Esse indicador não é uma probabilidade calibrada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: é concordância entre vistas, e um modelo consistentemente errado exibe estabilidade alta.</w:t>
      </w:r>
    </w:p>
    <w:tbl>
      <w:tblPr>
        <w:tblW w:type="dxa" w:w="9026"/>
        <w:tblBorders>
          <w:top w:val="single" w:color="008DEC" w:sz="8"/>
          <w:left w:val="single" w:color="008DEC" w:sz="8"/>
          <w:bottom w:val="single" w:color="008DEC" w:sz="8"/>
          <w:right w:val="single" w:color="008DEC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9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Poppins" w:cs="Poppins" w:eastAsia="Poppins" w:hAnsi="Poppins"/>
                <w:b/>
                <w:bCs/>
                <w:color w:val="0B6FA8"/>
                <w:sz w:val="20"/>
                <w:szCs w:val="20"/>
              </w:rPr>
              <w:t xml:space="preserve">Medidas físicas ausentes por decisão</w:t>
            </w:r>
          </w:p>
          <w:p>
            <w:pPr>
              <w:spacing w:after="0" w:line="264"/>
              <w:jc w:val="both"/>
            </w:pPr>
            <w:r>
              <w:rPr>
                <w:rFonts w:ascii="Poppins" w:cs="Poppins" w:eastAsia="Poppins" w:hAnsi="Poppins"/>
                <w:color w:val="3E5568"/>
                <w:sz w:val="19"/>
                <w:szCs w:val="19"/>
              </w:rPr>
              <w:t xml:space="preserve">Nenhuma medida é reportada em milímetros. Arquivos JPEG não carregam o campo </w:t>
            </w:r>
            <w:r>
              <w:rPr>
                <w:rFonts w:ascii="Courier New" w:cs="Courier New" w:eastAsia="Courier New" w:hAnsi="Courier New"/>
                <w:color w:val="008DEC"/>
                <w:sz w:val="17"/>
                <w:szCs w:val="17"/>
              </w:rPr>
              <w:t xml:space="preserve">PixelSpacing</w:t>
            </w:r>
            <w:r>
              <w:rPr>
                <w:rFonts w:ascii="Poppins" w:cs="Poppins" w:eastAsia="Poppins" w:hAnsi="Poppins"/>
                <w:color w:val="3E5568"/>
                <w:sz w:val="19"/>
                <w:szCs w:val="19"/>
              </w:rPr>
              <w:t xml:space="preserve"> do DICOM, e converter pixel em milímetro sem esse cabeçalho seria o erro mais fácil e mais perigoso do projeto. O campo existe no esquema do laudo e permanece vazio até que a escala seja informada explicitamente.</w:t>
            </w:r>
          </w:p>
        </w:tc>
      </w:tr>
    </w:tbl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5. Protocolo de avaliação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Relatar um valor de mAP e encerrar é o padrão dos trabalhos de disciplina, mas mAP é uma média de médias: informa quanto, nunca onde nem por quê. O protocolo adotado substitui um número por seis perguntas independentes.</w:t>
      </w:r>
    </w:p>
    <w:tbl>
      <w:tblPr>
        <w:tblW w:type="dxa" w:w="9026"/>
        <w:tblBorders>
          <w:top w:val="single" w:color="DCE3EB" w:sz="4"/>
          <w:left w:val="none"/>
          <w:bottom w:val="single" w:color="DCE3EB" w:sz="4"/>
          <w:right w:val="none"/>
          <w:insideH w:val="single" w:color="DCE3EB" w:sz="2"/>
          <w:insideV w:val="none"/>
        </w:tblBorders>
      </w:tblPr>
      <w:tblGrid>
        <w:gridCol w:w="700"/>
        <w:gridCol w:w="3300"/>
        <w:gridCol w:w="5026"/>
      </w:tblGrid>
      <w:tr>
        <w:trPr>
          <w:tblHeader/>
        </w:trPr>
        <w:tc>
          <w:tcPr>
            <w:tcW w:type="dxa" w:w="7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5026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Instrumento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5.1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Quão bem, no total?</w:t>
            </w:r>
          </w:p>
        </w:tc>
        <w:tc>
          <w:tcPr>
            <w:tcW w:type="dxa" w:w="50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mAP@50 e mAP@50-95 recalculados a partir das predições cruas</w:t>
            </w:r>
          </w:p>
        </w:tc>
      </w:tr>
      <w:tr>
        <w:tc>
          <w:tcPr>
            <w:tcW w:type="dxa" w:w="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5.2</w:t>
            </w:r>
          </w:p>
        </w:tc>
        <w:tc>
          <w:tcPr>
            <w:tcW w:type="dxa" w:w="33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Com qual limiar operar?</w:t>
            </w:r>
          </w:p>
        </w:tc>
        <w:tc>
          <w:tcPr>
            <w:tcW w:type="dxa" w:w="50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varredura de τ, curva precisão-recall, duas políticas de escolha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5.3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A confiança reportada significa algo?</w:t>
            </w:r>
          </w:p>
        </w:tc>
        <w:tc>
          <w:tcPr>
            <w:tcW w:type="dxa" w:w="50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ECE e diagrama de confiabilidade</w:t>
            </w:r>
          </w:p>
        </w:tc>
      </w:tr>
      <w:tr>
        <w:tc>
          <w:tcPr>
            <w:tcW w:type="dxa" w:w="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5.4</w:t>
            </w:r>
          </w:p>
        </w:tc>
        <w:tc>
          <w:tcPr>
            <w:tcW w:type="dxa" w:w="33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Que tipo de erro o modelo comete?</w:t>
            </w:r>
          </w:p>
        </w:tc>
        <w:tc>
          <w:tcPr>
            <w:tcW w:type="dxa" w:w="50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taxonomia inspirada no TIDE e matriz de confusão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5.5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Ele sobrevive a outro aparelho?</w:t>
            </w:r>
          </w:p>
        </w:tc>
        <w:tc>
          <w:tcPr>
            <w:tcW w:type="dxa" w:w="50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partição externa e artefatos simulados</w:t>
            </w:r>
          </w:p>
        </w:tc>
      </w:tr>
      <w:tr>
        <w:tc>
          <w:tcPr>
            <w:tcW w:type="dxa" w:w="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5.6</w:t>
            </w:r>
          </w:p>
        </w:tc>
        <w:tc>
          <w:tcPr>
            <w:tcW w:type="dxa" w:w="33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Ele inventa achado onde não há nada?</w:t>
            </w:r>
          </w:p>
        </w:tc>
        <w:tc>
          <w:tcPr>
            <w:tcW w:type="dxa" w:w="50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controle negativo medical-pills</w:t>
            </w:r>
          </w:p>
        </w:tc>
      </w:tr>
    </w:tbl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5.1 Métricas e casamento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As predições são coletadas com limiar baixo (0,05), porque as curvas precisão-recall precisam da cauda de baixa confiança, e passam por uma etapa explícita de consolidação por IoU — a cabeça end-to-end deveria tornar duplicatas raras, mas «deveria» não é garantia, e a consolidação torna o laudo determinístico. O casamento é guloso: as predições são ordenadas por confiança decrescente e cada uma disputa a caixa verdadeira de maior IoU ainda livre. A precisão interpolada em todos os pontos define AP = Σ (r_{i+1} − r_i) · p_interp(r_{i+1}), e o mAP@50-95 repete o cálculo para dez limiares de IoU.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5.2 Escolha do ponto de operação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Um detector devolve pontuações, não decisões; a decisão nasce quando alguém escolhe um corte τ, e essa escolha é um julgamento de valor. Duas políticas foram implementadas: **τ\* de F1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, que maximiza a média harmônica entre precisão e recall, e 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τ de triagem**, o maior τ que ainda garante recall ≥ 0,85. No contexto simulado, a segunda é a defensável, porque o custo de um falso negativo não é comparável ao de um falso positivo. Quando o recall alvo é inatingível, o notebook registra isso explicitamente e recai sobre τ\*.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5.3 Calibração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 Expected Calibration Error agrupa as detecções em M faixas de confiança e mede ECE = Σ (|B_m|/n) · |acc(B_m) − conf(B_m)|. Importa porque o laudo imprime a confiança para uma pessoa ler, e um valor superconfiante impresso em um laudo é pior do que nenhum valor.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5.4 Taxonomia de erros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Dois modelos com o mesmo mAP podem errar de formas opostas, e as correções também são opostas. As categorias registradas são: classe errada com IoU adequado; caixa mal posicionada (0,1 ≤ IoU &lt; 0,5); classe e caixa erradas; duplicata; invenção sobre o fundo (IoU &lt; 0,1); e lesão não detectada — o erro caro em triagem.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5.5 e 5.6 Robustez e alarme falso fora do domínio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 robustez é medida aplicando os quatro artefatos da seção 4.2 à partição interna, em três severidades, e observando a queda de mAP@50. O controle negativo utiliza as 115 imagens de medical-pills: nenhuma contém encéfalo, logo toda caixa emitida ali é invenção, e a fração de imagens com alarme é uma métrica de segurança direta — a frequência com que o sistema entregaria laudo positivo para uma entrada que jamais deveria ter sido processada.</w:t>
      </w:r>
    </w:p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6. Resultados</w:t>
      </w:r>
    </w:p>
    <w:tbl>
      <w:tblPr>
        <w:tblW w:type="dxa" w:w="9026"/>
        <w:tblBorders>
          <w:top w:val="single" w:color="008DEC" w:sz="8"/>
          <w:left w:val="single" w:color="008DEC" w:sz="8"/>
          <w:bottom w:val="single" w:color="008DEC" w:sz="8"/>
          <w:right w:val="single" w:color="008DEC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9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Poppins" w:cs="Poppins" w:eastAsia="Poppins" w:hAnsi="Poppins"/>
                <w:b/>
                <w:bCs/>
                <w:color w:val="0B6FA8"/>
                <w:sz w:val="20"/>
                <w:szCs w:val="20"/>
              </w:rPr>
              <w:t xml:space="preserve">Como esta seção é preenchida</w:t>
            </w:r>
          </w:p>
          <w:p>
            <w:pPr>
              <w:spacing w:after="0" w:line="264"/>
              <w:jc w:val="both"/>
            </w:pPr>
            <w:r>
              <w:rPr>
                <w:rFonts w:ascii="Poppins" w:cs="Poppins" w:eastAsia="Poppins" w:hAnsi="Poppins"/>
                <w:color w:val="3E5568"/>
                <w:sz w:val="19"/>
                <w:szCs w:val="19"/>
              </w:rPr>
              <w:t xml:space="preserve">Este relatório </w:t>
            </w:r>
            <w:r>
              <w:rPr>
                <w:rFonts w:ascii="Poppins" w:cs="Poppins" w:eastAsia="Poppins" w:hAnsi="Poppins"/>
                <w:b/>
                <w:bCs/>
                <w:color w:val="3E5568"/>
                <w:sz w:val="19"/>
                <w:szCs w:val="19"/>
              </w:rPr>
              <w:t xml:space="preserve">não afirma nenhum valor de desempenho</w:t>
            </w:r>
            <w:r>
              <w:rPr>
                <w:rFonts w:ascii="Poppins" w:cs="Poppins" w:eastAsia="Poppins" w:hAnsi="Poppins"/>
                <w:color w:val="3E5568"/>
                <w:sz w:val="19"/>
                <w:szCs w:val="19"/>
              </w:rPr>
              <w:t xml:space="preserve">. As métricas dependem da GPU sorteada pelo Colab e do número de épocas que couberam no orçamento, e variam entre execuções. Ao final da execução o notebook grava </w:t>
            </w:r>
            <w:r>
              <w:rPr>
                <w:rFonts w:ascii="Courier New" w:cs="Courier New" w:eastAsia="Courier New" w:hAnsi="Courier New"/>
                <w:color w:val="008DEC"/>
                <w:sz w:val="17"/>
                <w:szCs w:val="17"/>
              </w:rPr>
              <w:t xml:space="preserve">resultados.json</w:t>
            </w:r>
            <w:r>
              <w:rPr>
                <w:rFonts w:ascii="Poppins" w:cs="Poppins" w:eastAsia="Poppins" w:hAnsi="Poppins"/>
                <w:color w:val="3E5568"/>
                <w:sz w:val="19"/>
                <w:szCs w:val="19"/>
              </w:rPr>
              <w:t xml:space="preserve">, que é a fonte única dos números abaixo; a tabela deve ser preenchida a partir desse arquivo, e o painel HTML do projeto lê o mesmo arquivo e desenha os gráficos automaticamente. Preencher à mão qualquer célula sem consultá-lo anula a rastreabilidade que o projeto inteiro foi desenhado para ter.</w:t>
            </w:r>
          </w:p>
        </w:tc>
      </w:tr>
    </w:tbl>
    <w:p>
      <w:pPr>
        <w:spacing w:before="220"/>
      </w:pP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6.1 Quadro de resultados</w:t>
      </w:r>
    </w:p>
    <w:tbl>
      <w:tblPr>
        <w:tblW w:type="dxa" w:w="9026"/>
        <w:tblBorders>
          <w:top w:val="single" w:color="DCE3EB" w:sz="4"/>
          <w:left w:val="none"/>
          <w:bottom w:val="single" w:color="DCE3EB" w:sz="4"/>
          <w:right w:val="none"/>
          <w:insideH w:val="single" w:color="DCE3EB" w:sz="2"/>
          <w:insideV w:val="none"/>
        </w:tblBorders>
      </w:tblPr>
      <w:tblGrid>
        <w:gridCol w:w="3600"/>
        <w:gridCol w:w="3600"/>
        <w:gridCol w:w="1826"/>
      </w:tblGrid>
      <w:tr>
        <w:trPr>
          <w:tblHeader/>
        </w:trPr>
        <w:tc>
          <w:tcPr>
            <w:tcW w:type="dxa" w:w="36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6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Chave em resultados.json</w:t>
            </w:r>
          </w:p>
        </w:tc>
        <w:tc>
          <w:tcPr>
            <w:tcW w:type="dxa" w:w="1826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mAP@50 · partição interna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metricas.interno.map50</w:t>
            </w:r>
          </w:p>
        </w:tc>
        <w:tc>
          <w:tcPr>
            <w:tcW w:type="dxa" w:w="18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mAP@50-95 · partição interna</w:t>
            </w:r>
          </w:p>
        </w:tc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metricas.interno.map50_95</w:t>
            </w:r>
          </w:p>
        </w:tc>
        <w:tc>
          <w:tcPr>
            <w:tcW w:type="dxa" w:w="18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mAP@50 · partição externa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metricas.externo.map50</w:t>
            </w:r>
          </w:p>
        </w:tc>
        <w:tc>
          <w:tcPr>
            <w:tcW w:type="dxa" w:w="18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mAP@50-95 · partição externa</w:t>
            </w:r>
          </w:p>
        </w:tc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metricas.externo.map50_95</w:t>
            </w:r>
          </w:p>
        </w:tc>
        <w:tc>
          <w:tcPr>
            <w:tcW w:type="dxa" w:w="18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Queda de mAP@50 sob deslocamento (%)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metricas.queda_mAP50_dominio_pct</w:t>
            </w:r>
          </w:p>
        </w:tc>
        <w:tc>
          <w:tcPr>
            <w:tcW w:type="dxa" w:w="18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AP@50 por classe (negative / positive)</w:t>
            </w:r>
          </w:p>
        </w:tc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metricas.ap_por_classe</w:t>
            </w:r>
          </w:p>
        </w:tc>
        <w:tc>
          <w:tcPr>
            <w:tcW w:type="dxa" w:w="18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ECE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metricas.ece</w:t>
            </w:r>
          </w:p>
        </w:tc>
        <w:tc>
          <w:tcPr>
            <w:tcW w:type="dxa" w:w="18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Limiar operacional τ adotado</w:t>
            </w:r>
          </w:p>
        </w:tc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metricas.tau_operacional</w:t>
            </w:r>
          </w:p>
        </w:tc>
        <w:tc>
          <w:tcPr>
            <w:tcW w:type="dxa" w:w="18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Precisão e recall em τ (interno)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metricas.ponto_interno</w:t>
            </w:r>
          </w:p>
        </w:tc>
        <w:tc>
          <w:tcPr>
            <w:tcW w:type="dxa" w:w="18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Épocas efetivamente concluídas</w:t>
            </w:r>
          </w:p>
        </w:tc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treino.epocas_concluidas</w:t>
            </w:r>
          </w:p>
        </w:tc>
        <w:tc>
          <w:tcPr>
            <w:tcW w:type="dxa" w:w="18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Taxa de alarme falso fora do domínio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ood.taxa_alarme_falso</w:t>
            </w:r>
          </w:p>
        </w:tc>
        <w:tc>
          <w:tcPr>
            <w:tcW w:type="dxa" w:w="18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Tempo total medido (min)</w:t>
            </w:r>
          </w:p>
        </w:tc>
        <w:tc>
          <w:tcPr>
            <w:tcW w:type="dxa" w:w="36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tempo.total_min</w:t>
            </w:r>
          </w:p>
        </w:tc>
        <w:tc>
          <w:tcPr>
            <w:tcW w:type="dxa" w:w="18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6.2 Leitura esperada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Independentemente dos valores obtidos, três leituras devem constar da análise: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A diferença entre interno e externo é o número mais informativo do relatório.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Se houver queda relevante, a conclusão correta não é «o modelo é ruim», mas «o valor medido na partição interna superestimava a realidade» — que é exatamente o que a maioria dos trabalhos publica sem perceber.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A curva de métricas por época indica se o orçamento foi o gargalo.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Se ela ainda subia quando o relógio parou, o valor reportado é um piso, não o teto do modelo, e isso precisa ser dito.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A taxa de alarme falso fora do domínio é uma métrica de segurança, não de desempenho.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Um valor alto significa que o sistema entregaria laudo positivo para entradas que nunca deveriam ter chegado até ele, e aponta para a necessidade de uma verificação de domínio antes da detecção.</w:t>
      </w:r>
    </w:p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7. Limitações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 parte mais importante de um relatório técnico é a lista do que ele não sustenta.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Não é diagnóstico.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As classes são convenção de anotação de um conjunto público, sem laudo clínico verificado. O sistema aprende a convenção, não a doença.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A partição externa é um proxy.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Geometria de aquisição sugere fonte diferente, mas não prova. A afirmação defensável é «há deslocamento de distribuição mensurável entre esses subconjuntos», não «isto é validação multicêntrica».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Os dados sintéticos herdam o viés do original.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As lesões coladas vêm do mesmo banco de 745 recortes: ampliam variedade de posição e escala, não criam patologia que o conjunto não continha.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Os artefatos são simulados.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Reproduzem o modelo físico, não a distribuição empírica de um equipamento real.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A estabilidade não é probabilidade.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É concordância entre três vistas da mesma imagem.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O orçamento limita o resultado.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Com quinze minutos de treino, é plausível que as métricas ainda estivessem subindo quando o relógio parou.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Não há escala física.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Sem o campo PixelSpacing do DICOM, nenhuma medida é reportada em milímetros.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7.1 Trabalhos futuros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Ablação com e sem dados sintéticos, medida na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partição externa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— a única comparação que responde se a síntese ajudou de fato.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Substituir caixa por segmentação (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yolo26l-seg.pt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): área de lesão medida em pixels de máscara é substancialmente melhor que largura × altura.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Calibração post-hoc por temperatura sobre as confianças, com reavaliação do ECE.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Validação cruzada por protocolo (leave-one-protocol-out) em vez de um único holdout.</w:t>
      </w:r>
    </w:p>
    <w:p>
      <w:pPr>
        <w:pStyle w:val="ListParagraph"/>
        <w:numPr>
          <w:ilvl w:val="0"/>
          <w:numId w:val="1"/>
        </w:numPr>
        <w:spacing w:after="9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Verificação de domínio na entrada, rejeitando imagens fora da distribuição antes da detecção.</w:t>
      </w:r>
    </w:p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8. Rastreabilidade de requisitos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Um entregável só é auditável se cada requisito apontar para a evidência que o satisfaz. A mesma matriz é gerada pelo notebook e exportada como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rastreabilidade.csv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DCE3EB" w:sz="4"/>
          <w:left w:val="none"/>
          <w:bottom w:val="single" w:color="DCE3EB" w:sz="4"/>
          <w:right w:val="none"/>
          <w:insideH w:val="single" w:color="DCE3EB" w:sz="2"/>
          <w:insideV w:val="none"/>
        </w:tblBorders>
      </w:tblPr>
      <w:tblGrid>
        <w:gridCol w:w="550"/>
        <w:gridCol w:w="3050"/>
        <w:gridCol w:w="1700"/>
        <w:gridCol w:w="3726"/>
      </w:tblGrid>
      <w:tr>
        <w:trPr>
          <w:tblHeader/>
        </w:trPr>
        <w:tc>
          <w:tcPr>
            <w:tcW w:type="dxa" w:w="55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5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7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Seção do notebook</w:t>
            </w:r>
          </w:p>
        </w:tc>
        <w:tc>
          <w:tcPr>
            <w:tcW w:type="dxa" w:w="3726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R1</w:t>
            </w:r>
          </w:p>
        </w:tc>
        <w:tc>
          <w:tcPr>
            <w:tcW w:type="dxa" w:w="3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Partir do notebook-base e manter o estilo de aula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todas</w:t>
            </w:r>
          </w:p>
        </w:tc>
        <w:tc>
          <w:tcPr>
            <w:tcW w:type="dxa" w:w="37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estrutura markdown → código, seção a seção</w:t>
            </w:r>
          </w:p>
        </w:tc>
      </w:tr>
      <w:tr>
        <w:tc>
          <w:tcPr>
            <w:tcW w:type="dxa" w:w="5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R2</w:t>
            </w:r>
          </w:p>
        </w:tc>
        <w:tc>
          <w:tcPr>
            <w:tcW w:type="dxa" w:w="30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Usar YOLO26 na versão L no mínimo</w:t>
            </w:r>
          </w:p>
        </w:tc>
        <w:tc>
          <w:tcPr>
            <w:tcW w:type="dxa" w:w="1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§1 e §5</w:t>
            </w:r>
          </w:p>
        </w:tc>
        <w:tc>
          <w:tcPr>
            <w:tcW w:type="dxa" w:w="37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cfg.modelo = yolo26l.pt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R3</w:t>
            </w:r>
          </w:p>
        </w:tc>
        <w:tc>
          <w:tcPr>
            <w:tcW w:type="dxa" w:w="3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Incluir dados sintéticos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§4.1</w:t>
            </w:r>
          </w:p>
        </w:tc>
        <w:tc>
          <w:tcPr>
            <w:tcW w:type="dxa" w:w="37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300 imagens com rótulo exato por construção</w:t>
            </w:r>
          </w:p>
        </w:tc>
      </w:tr>
      <w:tr>
        <w:tc>
          <w:tcPr>
            <w:tcW w:type="dxa" w:w="5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R4</w:t>
            </w:r>
          </w:p>
        </w:tc>
        <w:tc>
          <w:tcPr>
            <w:tcW w:type="dxa" w:w="30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Incluir um segundo conjunto de dados</w:t>
            </w:r>
          </w:p>
        </w:tc>
        <w:tc>
          <w:tcPr>
            <w:tcW w:type="dxa" w:w="1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§3 e §3.1</w:t>
            </w:r>
          </w:p>
        </w:tc>
        <w:tc>
          <w:tcPr>
            <w:tcW w:type="dxa" w:w="37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partição externa (175 img) + medical-pills OOD (115 img)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R5</w:t>
            </w:r>
          </w:p>
        </w:tc>
        <w:tc>
          <w:tcPr>
            <w:tcW w:type="dxa" w:w="3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Pipeline com diagnóstico detalhado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§6</w:t>
            </w:r>
          </w:p>
        </w:tc>
        <w:tc>
          <w:tcPr>
            <w:tcW w:type="dxa" w:w="37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seis eixos independentes de avaliação</w:t>
            </w:r>
          </w:p>
        </w:tc>
      </w:tr>
      <w:tr>
        <w:tc>
          <w:tcPr>
            <w:tcW w:type="dxa" w:w="5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R6</w:t>
            </w:r>
          </w:p>
        </w:tc>
        <w:tc>
          <w:tcPr>
            <w:tcW w:type="dxa" w:w="30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Laudo estruturado por imagem</w:t>
            </w:r>
          </w:p>
        </w:tc>
        <w:tc>
          <w:tcPr>
            <w:tcW w:type="dxa" w:w="1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§7</w:t>
            </w:r>
          </w:p>
        </w:tc>
        <w:tc>
          <w:tcPr>
            <w:tcW w:type="dxa" w:w="37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JSON versionado, 13 campos por achado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R7</w:t>
            </w:r>
          </w:p>
        </w:tc>
        <w:tc>
          <w:tcPr>
            <w:tcW w:type="dxa" w:w="3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Interface web funcional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§8</w:t>
            </w:r>
          </w:p>
        </w:tc>
        <w:tc>
          <w:tcPr>
            <w:tcW w:type="dxa" w:w="37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Flask servindo o template Dtox: 4 páginas + API JSON</w:t>
            </w:r>
          </w:p>
        </w:tc>
      </w:tr>
      <w:tr>
        <w:tc>
          <w:tcPr>
            <w:tcW w:type="dxa" w:w="5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R8</w:t>
            </w:r>
          </w:p>
        </w:tc>
        <w:tc>
          <w:tcPr>
            <w:tcW w:type="dxa" w:w="305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Executável em até 30 minutos</w:t>
            </w:r>
          </w:p>
        </w:tc>
        <w:tc>
          <w:tcPr>
            <w:tcW w:type="dxa" w:w="17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§5 e §9.1</w:t>
            </w:r>
          </w:p>
        </w:tc>
        <w:tc>
          <w:tcPr>
            <w:tcW w:type="dxa" w:w="37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teto imposto via time=; tempo medido e reportado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R9</w:t>
            </w:r>
          </w:p>
        </w:tc>
        <w:tc>
          <w:tcPr>
            <w:tcW w:type="dxa" w:w="3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Projeto inteiro construído sobre o template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§0.3 e §8</w:t>
            </w:r>
          </w:p>
        </w:tc>
        <w:tc>
          <w:tcPr>
            <w:tcW w:type="dxa" w:w="37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paleta e tipografia do Dtox em todas as figuras e páginas</w:t>
            </w:r>
          </w:p>
        </w:tc>
      </w:tr>
    </w:tbl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9. Reprodutibilidade e interface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9.0 Aplicação web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 interface não foi desenhada do zero: ela é o template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Dtox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(Themefisher) — Bootstrap 4, tipografia Poppins, o azul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#008DEC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e os gradientes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#17FFD3 → #D3FC71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#17FFD3 → #23E3EE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— servido por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Flask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. A mesma paleta governa todas as figuras deste relatório, de modo que documento, notebook e aplicação formam um único sistema visual.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 back-end não reimplementa nada: as rotas chamam exatamente as funções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gerar_laudo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carregar_cinza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mascara_encefalo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já usadas no notebook. Uma interface que reimplementa a regra de negócio é uma segunda fonte de verdade esperando para divergir da primeira.</w:t>
      </w:r>
    </w:p>
    <w:tbl>
      <w:tblPr>
        <w:tblW w:type="dxa" w:w="9026"/>
        <w:tblBorders>
          <w:top w:val="single" w:color="DCE3EB" w:sz="4"/>
          <w:left w:val="none"/>
          <w:bottom w:val="single" w:color="DCE3EB" w:sz="4"/>
          <w:right w:val="none"/>
          <w:insideH w:val="single" w:color="DCE3EB" w:sz="2"/>
          <w:insideV w:val="none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6826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/</w:t>
            </w:r>
          </w:p>
        </w:tc>
        <w:tc>
          <w:tcPr>
            <w:tcW w:type="dxa" w:w="68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apresenta o pipeline, as partições e a síntese, com as figuras da execução</w:t>
            </w:r>
          </w:p>
        </w:tc>
      </w:tr>
      <w:tr>
        <w:tc>
          <w:tcPr>
            <w:tcW w:type="dxa" w:w="22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/laudo</w:t>
            </w:r>
          </w:p>
        </w:tc>
        <w:tc>
          <w:tcPr>
            <w:tcW w:type="dxa" w:w="68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envia uma imagem, ajusta o limiar e devolve o laudo completo e o JSON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/resultados</w:t>
            </w:r>
          </w:p>
        </w:tc>
        <w:tc>
          <w:tcPr>
            <w:tcW w:type="dxa" w:w="68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lê o resultados.json da execução e monta o painel de diagnóstico</w:t>
            </w:r>
          </w:p>
        </w:tc>
      </w:tr>
      <w:tr>
        <w:tc>
          <w:tcPr>
            <w:tcW w:type="dxa" w:w="22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/metodo</w:t>
            </w:r>
          </w:p>
        </w:tc>
        <w:tc>
          <w:tcPr>
            <w:tcW w:type="dxa" w:w="68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método, decisões de treino, eixos de avaliação e limitações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/api/laudo</w:t>
            </w:r>
          </w:p>
        </w:tc>
        <w:tc>
          <w:tcPr>
            <w:tcW w:type="dxa" w:w="68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o mesmo motor em JSON, para integração com outro sistema</w:t>
            </w:r>
          </w:p>
        </w:tc>
      </w:tr>
    </w:tbl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 aplicação roda em dois modos, detectados automaticamente: com o pacote completo do Dtox presente em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static/dtox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, usa o template inteiro (imagens de fundo, formas decorativas, AOS, slick); sem ele, usa um subconjunto do próprio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style.css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e do Bootstrap que acompanham o template, preservando o mesmo layout.</w:t>
      </w:r>
    </w:p>
    <w:p>
      <w:pPr>
        <w:pStyle w:val="Heading2"/>
        <w:spacing w:after="110" w:before="250"/>
      </w:pPr>
      <w:r>
        <w:rPr>
          <w:rFonts w:ascii="Poppins" w:cs="Poppins" w:eastAsia="Poppins" w:hAnsi="Poppins"/>
          <w:b/>
          <w:bCs/>
          <w:color w:val="008DEC"/>
          <w:sz w:val="24"/>
          <w:szCs w:val="24"/>
        </w:rPr>
        <w:t xml:space="preserve">9.1 Como executar</w:t>
      </w:r>
    </w:p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Abrir o notebook no Google Colab, definir o acelerador de hardware como GPU e executar todas as células. O comportamento inteiro é controlado por um único objeto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Config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e por três perfis: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rapido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(YOLO26-S, 6 min de treino),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padrao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(YOLO26-L, 15 min — o perfil desta entrega) e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completo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(YOLO26-X, 45 min). Um quarto perfil,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teste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, executa o notebook inteiro em CPU apenas para verificar que nenhuma célula quebra.</w:t>
      </w:r>
    </w:p>
    <w:tbl>
      <w:tblPr>
        <w:tblW w:type="dxa" w:w="9026"/>
        <w:tblBorders>
          <w:top w:val="single" w:color="DCE3EB" w:sz="4"/>
          <w:left w:val="none"/>
          <w:bottom w:val="single" w:color="DCE3EB" w:sz="4"/>
          <w:right w:val="none"/>
          <w:insideH w:val="single" w:color="DCE3EB" w:sz="2"/>
          <w:insideV w:val="none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Arquivo produzido</w:t>
            </w:r>
          </w:p>
        </w:tc>
        <w:tc>
          <w:tcPr>
            <w:tcW w:type="dxa" w:w="5726"/>
            <w:shd w:fill="09133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fig/01…16_*.png</w:t>
            </w:r>
          </w:p>
        </w:tc>
        <w:tc>
          <w:tcPr>
            <w:tcW w:type="dxa" w:w="57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dezesseis figuras na paleta do projeto</w:t>
            </w:r>
          </w:p>
        </w:tc>
      </w:tr>
      <w:tr>
        <w:tc>
          <w:tcPr>
            <w:tcW w:type="dxa" w:w="33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runs/yolo26_&lt;perfil&gt;/weights/best.pt</w:t>
            </w:r>
          </w:p>
        </w:tc>
        <w:tc>
          <w:tcPr>
            <w:tcW w:type="dxa" w:w="57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pesos treinados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laudo_exemplo.json</w:t>
            </w:r>
          </w:p>
        </w:tc>
        <w:tc>
          <w:tcPr>
            <w:tcW w:type="dxa" w:w="57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laudo estruturado de uma imagem</w:t>
            </w:r>
          </w:p>
        </w:tc>
      </w:tr>
      <w:tr>
        <w:tc>
          <w:tcPr>
            <w:tcW w:type="dxa" w:w="33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laudos_lote.csv</w:t>
            </w:r>
          </w:p>
        </w:tc>
        <w:tc>
          <w:tcPr>
            <w:tcW w:type="dxa" w:w="57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tabela de laudos, ordenável por carga lesional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rastreabilidade.csv</w:t>
            </w:r>
          </w:p>
        </w:tc>
        <w:tc>
          <w:tcPr>
            <w:tcW w:type="dxa" w:w="57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matriz requisito → seção → evidência</w:t>
            </w:r>
          </w:p>
        </w:tc>
      </w:tr>
      <w:tr>
        <w:tc>
          <w:tcPr>
            <w:tcW w:type="dxa" w:w="3300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resultados.json</w:t>
            </w:r>
          </w:p>
        </w:tc>
        <w:tc>
          <w:tcPr>
            <w:tcW w:type="dxa" w:w="5726"/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D546F"/>
                <w:sz w:val="19"/>
                <w:szCs w:val="19"/>
              </w:rPr>
              <w:t xml:space="preserve">todas as métricas da execução; fonte única deste relatório</w:t>
            </w:r>
          </w:p>
        </w:tc>
      </w:tr>
    </w:tbl>
    <w:p>
      <w:pPr>
        <w:spacing w:after="120" w:line="276"/>
        <w:jc w:val="both"/>
      </w:pPr>
      <w:r>
        <w:rPr>
          <w:rFonts w:ascii="Poppins" w:cs="Poppins" w:eastAsia="Poppins" w:hAnsi="Poppins"/>
          <w:color w:val="4D546F"/>
          <w:sz w:val="22"/>
          <w:szCs w:val="22"/>
        </w:rPr>
        <w:t xml:space="preserve">O pacote </w:t>
      </w:r>
      <w:r>
        <w:rPr>
          <w:rFonts w:ascii="Courier New" w:cs="Courier New" w:eastAsia="Courier New" w:hAnsi="Courier New"/>
          <w:color w:val="008DEC"/>
          <w:sz w:val="20"/>
          <w:szCs w:val="20"/>
        </w:rPr>
        <w:t xml:space="preserve">ultralytics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e os conjuntos brain-tumor e medical-pills são distribuídos sob AGPL-3.0; trabalhos derivados disponibilizados como serviço herdam essa obrigação. O template </w:t>
      </w:r>
      <w:r>
        <w:rPr>
          <w:rFonts w:ascii="Poppins" w:cs="Poppins" w:eastAsia="Poppins" w:hAnsi="Poppins"/>
          <w:b/>
          <w:bCs/>
          <w:color w:val="4D546F"/>
          <w:sz w:val="22"/>
          <w:szCs w:val="22"/>
        </w:rPr>
        <w:t xml:space="preserve">Dtox</w:t>
      </w:r>
      <w:r>
        <w:rPr>
          <w:rFonts w:ascii="Poppins" w:cs="Poppins" w:eastAsia="Poppins" w:hAnsi="Poppins"/>
          <w:color w:val="4D546F"/>
          <w:sz w:val="22"/>
          <w:szCs w:val="22"/>
        </w:rPr>
        <w:t xml:space="preserve"> é da Themefisher e acompanha a sua própria licença, incluída no pacote da aplicação. Convém verificar ambas antes de qualquer uso além do acadêmico.</w:t>
      </w:r>
    </w:p>
    <w:p>
      <w:pPr>
        <w:pStyle w:val="Heading1"/>
        <w:pageBreakBefore/>
        <w:spacing w:after="170" w:before="0"/>
      </w:pPr>
      <w:r>
        <w:rPr>
          <w:rFonts w:ascii="Poppins" w:cs="Poppins" w:eastAsia="Poppins" w:hAnsi="Poppins"/>
          <w:b/>
          <w:bCs/>
          <w:color w:val="091337"/>
          <w:sz w:val="28"/>
          <w:szCs w:val="28"/>
        </w:rPr>
        <w:t xml:space="preserve">Referências</w:t>
      </w:r>
    </w:p>
    <w:p>
      <w:pPr>
        <w:spacing w:after="130" w:line="264"/>
        <w:ind w:left="431" w:hanging="431"/>
        <w:jc w:val="both"/>
      </w:pPr>
      <w:r>
        <w:rPr>
          <w:rFonts w:ascii="Poppins" w:cs="Poppins" w:eastAsia="Poppins" w:hAnsi="Poppins"/>
          <w:color w:val="4D546F"/>
          <w:sz w:val="20"/>
          <w:szCs w:val="20"/>
        </w:rPr>
        <w:t xml:space="preserve">REDMON, J. et al. You Only Look Once: Unified, Real-Time Object Detection. arXiv:1506.02640, 2015.</w:t>
      </w:r>
    </w:p>
    <w:p>
      <w:pPr>
        <w:spacing w:after="130" w:line="264"/>
        <w:ind w:left="431" w:hanging="431"/>
        <w:jc w:val="both"/>
      </w:pPr>
      <w:r>
        <w:rPr>
          <w:rFonts w:ascii="Poppins" w:cs="Poppins" w:eastAsia="Poppins" w:hAnsi="Poppins"/>
          <w:color w:val="4D546F"/>
          <w:sz w:val="20"/>
          <w:szCs w:val="20"/>
        </w:rPr>
        <w:t xml:space="preserve">ULTRALYTICS. YOLO26 — Unified Real-Time End-to-End Vision Models. Documentação oficial. Disponível em: docs.ultralytics.com/models/yolo26.</w:t>
      </w:r>
    </w:p>
    <w:p>
      <w:pPr>
        <w:spacing w:after="130" w:line="264"/>
        <w:ind w:left="431" w:hanging="431"/>
        <w:jc w:val="both"/>
      </w:pPr>
      <w:r>
        <w:rPr>
          <w:rFonts w:ascii="Poppins" w:cs="Poppins" w:eastAsia="Poppins" w:hAnsi="Poppins"/>
          <w:color w:val="4D546F"/>
          <w:sz w:val="20"/>
          <w:szCs w:val="20"/>
        </w:rPr>
        <w:t xml:space="preserve">ULTRALYTICS. Brain Tumor Dataset e Train Mode. Documentação oficial. Disponível em: docs.ultralytics.com.</w:t>
      </w:r>
    </w:p>
    <w:p>
      <w:pPr>
        <w:spacing w:after="130" w:line="264"/>
        <w:ind w:left="431" w:hanging="431"/>
        <w:jc w:val="both"/>
      </w:pPr>
      <w:r>
        <w:rPr>
          <w:rFonts w:ascii="Poppins" w:cs="Poppins" w:eastAsia="Poppins" w:hAnsi="Poppins"/>
          <w:color w:val="4D546F"/>
          <w:sz w:val="20"/>
          <w:szCs w:val="20"/>
        </w:rPr>
        <w:t xml:space="preserve">BOLYA, D. et al. TIDE: A General Toolbox for Identifying Object Detection Errors. ECCV, 2020.</w:t>
      </w:r>
    </w:p>
    <w:p>
      <w:pPr>
        <w:spacing w:after="130" w:line="264"/>
        <w:ind w:left="431" w:hanging="431"/>
        <w:jc w:val="both"/>
      </w:pPr>
      <w:r>
        <w:rPr>
          <w:rFonts w:ascii="Poppins" w:cs="Poppins" w:eastAsia="Poppins" w:hAnsi="Poppins"/>
          <w:color w:val="4D546F"/>
          <w:sz w:val="20"/>
          <w:szCs w:val="20"/>
        </w:rPr>
        <w:t xml:space="preserve">GUO, C. et al. On Calibration of Modern Neural Networks. ICML, 2017.</w:t>
      </w:r>
    </w:p>
    <w:p>
      <w:pPr>
        <w:spacing w:after="130" w:line="264"/>
        <w:ind w:left="431" w:hanging="431"/>
        <w:jc w:val="both"/>
      </w:pPr>
      <w:r>
        <w:rPr>
          <w:rFonts w:ascii="Poppins" w:cs="Poppins" w:eastAsia="Poppins" w:hAnsi="Poppins"/>
          <w:color w:val="4D546F"/>
          <w:sz w:val="20"/>
          <w:szCs w:val="20"/>
        </w:rPr>
        <w:t xml:space="preserve">PÉREZ, P.; GANGNET, M.; BLAKE, A. Poisson Image Editing. ACM SIGGRAPH, 2003.</w:t>
      </w:r>
    </w:p>
    <w:p>
      <w:pPr>
        <w:spacing w:after="130" w:line="264"/>
        <w:ind w:left="431" w:hanging="431"/>
        <w:jc w:val="both"/>
      </w:pPr>
      <w:r>
        <w:rPr>
          <w:rFonts w:ascii="Poppins" w:cs="Poppins" w:eastAsia="Poppins" w:hAnsi="Poppins"/>
          <w:color w:val="4D546F"/>
          <w:sz w:val="20"/>
          <w:szCs w:val="20"/>
        </w:rPr>
        <w:t xml:space="preserve">GUDBJARTSSON, H.; PATZ, S. The Rician Distribution of Noisy MRI Data. Magnetic Resonance in Medicine, v. 34, n. 6, 1995.</w:t>
      </w:r>
    </w:p>
    <w:p>
      <w:pPr>
        <w:spacing w:after="130" w:line="264"/>
        <w:ind w:left="431" w:hanging="431"/>
        <w:jc w:val="both"/>
      </w:pPr>
      <w:r>
        <w:rPr>
          <w:rFonts w:ascii="Poppins" w:cs="Poppins" w:eastAsia="Poppins" w:hAnsi="Poppins"/>
          <w:color w:val="4D546F"/>
          <w:sz w:val="20"/>
          <w:szCs w:val="20"/>
        </w:rPr>
        <w:t xml:space="preserve">THEMEFISHER. Dtox — template HTML (Bootstrap 4) utilizado como base da identidade visual e da interface. themefisher.com.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7A8399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3EB" w:sz="4" w:space="4"/>
      </w:pBdr>
      <w:spacing w:after="0"/>
      <w:jc w:val="right"/>
    </w:pPr>
    <w:r>
      <w:rPr>
        <w:rFonts w:ascii="Poppins" w:cs="Poppins" w:eastAsia="Poppins" w:hAnsi="Poppins"/>
        <w:color w:val="7A8399"/>
        <w:sz w:val="16"/>
        <w:szCs w:val="16"/>
      </w:rPr>
      <w:t xml:space="preserve">Projeto final · Detecção e laudo de tumor cerebral · YOLO26-L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4D546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Poppins" w:cs="Poppins" w:eastAsia="Poppins" w:hAnsi="Poppins"/>
      <w:b/>
      <w:bCs/>
      <w:color w:val="091337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oppins" w:cs="Poppins" w:eastAsia="Poppins" w:hAnsi="Poppins"/>
      <w:b/>
      <w:bCs/>
      <w:color w:val="008DE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aea11d5c643e55606a3557cfe71eeae6ffe388.png"/><Relationship Id="rId10" Type="http://schemas.openxmlformats.org/officeDocument/2006/relationships/image" Target="media/8af91c208e8c87fa1fc78b071b85907f13ea8b24.png"/><Relationship Id="rId11" Type="http://schemas.openxmlformats.org/officeDocument/2006/relationships/image" Target="media/983a4f41c0f4e37129cc89f992ca94e149f2b554.png"/><Relationship Id="rId12" Type="http://schemas.openxmlformats.org/officeDocument/2006/relationships/image" Target="media/e2860e502fdd0c93e7615d1f928cbd708fb3de2c.png"/><Relationship Id="rId13" Type="http://schemas.openxmlformats.org/officeDocument/2006/relationships/image" Target="media/3f823ccecc30357a7354b57ca2f8a72dd7870ba2.png"/><Relationship Id="rId14" Type="http://schemas.openxmlformats.org/officeDocument/2006/relationships/image" Target="media/38ec622c7293af0f71d9e0aefa8f8632e51b81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Detecção e laudo automático de tumor cerebral com YOLO26-L</dc:title>
  <dc:creator>Higor</dc:creator>
  <dc:description>Relatório técnico do projeto final de visão computacional</dc:description>
  <cp:lastModifiedBy>Un-named</cp:lastModifiedBy>
  <cp:revision>1</cp:revision>
  <dcterms:created xsi:type="dcterms:W3CDTF">2026-09-01T23:15:31.128Z</dcterms:created>
  <dcterms:modified xsi:type="dcterms:W3CDTF">2026-09-01T23:15:31.139Z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