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12 - Central de Prospecção</w:t>
        <w:br/>
        <w:t>Integração com Bitrix e Mapeamento de Campos</w:t>
      </w:r>
    </w:p>
    <w:p>
      <w:pPr>
        <w:jc w:val="center"/>
      </w:pPr>
      <w:r>
        <w:rPr>
          <w:i/>
        </w:rPr>
        <w:t>Especificação funcional e técnica preliminar</w:t>
      </w:r>
    </w:p>
    <w:p>
      <w:pPr>
        <w:pStyle w:val="Heading1"/>
      </w:pPr>
      <w:r>
        <w:t>1. Objetivo da integração</w:t>
      </w:r>
    </w:p>
    <w:p>
      <w:r>
        <w:t>A integração com o Bitrix deverá permitir que a Central identifique negócios existentes, importe dados selecionados, preserve o ID original do negócio, reconheça pipeline e etapa, consulte informações comerciais relevantes, evite duplicidades e, futuramente, atualize campos específicos no CRM corporativo.</w:t>
      </w:r>
    </w:p>
    <w:p>
      <w:r>
        <w:t>Princípio de arquitetura: o Bitrix permanece como sistema corporativo oficial, enquanto a Central funciona como workspace operacional de prospecção.</w:t>
      </w:r>
    </w:p>
    <w:p>
      <w:pPr>
        <w:pStyle w:val="Heading1"/>
      </w:pPr>
      <w:r>
        <w:t>2. Formas de entrada dos dados</w:t>
      </w:r>
    </w:p>
    <w:p>
      <w:pPr>
        <w:pStyle w:val="ListBullet"/>
      </w:pPr>
      <w:r>
        <w:t>Importação por planilha: relatório exportado do Bitrix em Excel ou CSV, seguido de mapeamento e validação na Central. Esta é a opção recomendada para o MVP.</w:t>
      </w:r>
    </w:p>
    <w:p>
      <w:pPr>
        <w:pStyle w:val="ListBullet"/>
      </w:pPr>
      <w:r>
        <w:t>Integração por API/webhook: consulta e atualização direta de negócios pela API do Bitrix. Pode ser implementada em etapa posterior ou de forma complementar.</w:t>
      </w:r>
    </w:p>
    <w:p>
      <w:pPr>
        <w:pStyle w:val="Heading1"/>
      </w:pPr>
      <w:r>
        <w:t>3. Identificador principal</w:t>
      </w:r>
    </w:p>
    <w:p>
      <w:r>
        <w:t>O campo ID do negócio do Bitrix deverá ser armazenado na Central como identificador externo, preferencialmente com o nome interno bitrix_deal_id.</w:t>
      </w:r>
    </w:p>
    <w:p>
      <w:r>
        <w:t>Esse identificador será utilizado para localizar negócios, impedir duplicidades, atualizar o card correto, montar links de acesso ao Bitrix e cruzar relatórios.</w:t>
      </w:r>
    </w:p>
    <w:p>
      <w:pPr>
        <w:pStyle w:val="Heading1"/>
      </w:pPr>
      <w:r>
        <w:t>4. Campos padrão prioritários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Finalidade na Central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Campo Bitrix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Observação</w:t>
            </w:r>
          </w:p>
        </w:tc>
      </w:tr>
      <w:tr>
        <w:tc>
          <w:tcPr>
            <w:tcW w:type="dxa" w:w="3360"/>
          </w:tcPr>
          <w:p>
            <w:r>
              <w:t>ID externo do negócio</w:t>
            </w:r>
          </w:p>
        </w:tc>
        <w:tc>
          <w:tcPr>
            <w:tcW w:type="dxa" w:w="3360"/>
          </w:tcPr>
          <w:p>
            <w:r>
              <w:t>ID</w:t>
            </w:r>
          </w:p>
        </w:tc>
        <w:tc>
          <w:tcPr>
            <w:tcW w:type="dxa" w:w="3360"/>
          </w:tcPr>
          <w:p>
            <w:r>
              <w:t>Identificação e controle de duplicidade</w:t>
            </w:r>
          </w:p>
        </w:tc>
      </w:tr>
      <w:tr>
        <w:tc>
          <w:tcPr>
            <w:tcW w:type="dxa" w:w="3360"/>
          </w:tcPr>
          <w:p>
            <w:r>
              <w:t>Nome do negócio</w:t>
            </w:r>
          </w:p>
        </w:tc>
        <w:tc>
          <w:tcPr>
            <w:tcW w:type="dxa" w:w="3360"/>
          </w:tcPr>
          <w:p>
            <w:r>
              <w:t>TITLE</w:t>
            </w:r>
          </w:p>
        </w:tc>
        <w:tc>
          <w:tcPr>
            <w:tcW w:type="dxa" w:w="3360"/>
          </w:tcPr>
          <w:p>
            <w:r>
              <w:t>Título principal do lead ou oportunidade</w:t>
            </w:r>
          </w:p>
        </w:tc>
      </w:tr>
      <w:tr>
        <w:tc>
          <w:tcPr>
            <w:tcW w:type="dxa" w:w="3360"/>
          </w:tcPr>
          <w:p>
            <w:r>
              <w:t>Pipeline</w:t>
            </w:r>
          </w:p>
        </w:tc>
        <w:tc>
          <w:tcPr>
            <w:tcW w:type="dxa" w:w="3360"/>
          </w:tcPr>
          <w:p>
            <w:r>
              <w:t>CATEGORY_ID</w:t>
            </w:r>
          </w:p>
        </w:tc>
        <w:tc>
          <w:tcPr>
            <w:tcW w:type="dxa" w:w="3360"/>
          </w:tcPr>
          <w:p>
            <w:r>
              <w:t>Identificação do funil</w:t>
            </w:r>
          </w:p>
        </w:tc>
      </w:tr>
      <w:tr>
        <w:tc>
          <w:tcPr>
            <w:tcW w:type="dxa" w:w="3360"/>
          </w:tcPr>
          <w:p>
            <w:r>
              <w:t>Etapa atual</w:t>
            </w:r>
          </w:p>
        </w:tc>
        <w:tc>
          <w:tcPr>
            <w:tcW w:type="dxa" w:w="3360"/>
          </w:tcPr>
          <w:p>
            <w:r>
              <w:t>STAGE_ID</w:t>
            </w:r>
          </w:p>
        </w:tc>
        <w:tc>
          <w:tcPr>
            <w:tcW w:type="dxa" w:w="3360"/>
          </w:tcPr>
          <w:p>
            <w:r>
              <w:t>Situação no Bitrix</w:t>
            </w:r>
          </w:p>
        </w:tc>
      </w:tr>
      <w:tr>
        <w:tc>
          <w:tcPr>
            <w:tcW w:type="dxa" w:w="3360"/>
          </w:tcPr>
          <w:p>
            <w:r>
              <w:t>Etapa anterior</w:t>
            </w:r>
          </w:p>
        </w:tc>
        <w:tc>
          <w:tcPr>
            <w:tcW w:type="dxa" w:w="3360"/>
          </w:tcPr>
          <w:p>
            <w:r>
              <w:t>PREVIOUS_STAGE_ID</w:t>
            </w:r>
          </w:p>
        </w:tc>
        <w:tc>
          <w:tcPr>
            <w:tcW w:type="dxa" w:w="3360"/>
          </w:tcPr>
          <w:p>
            <w:r>
              <w:t>Histórico imediato de movimentação</w:t>
            </w:r>
          </w:p>
        </w:tc>
      </w:tr>
      <w:tr>
        <w:tc>
          <w:tcPr>
            <w:tcW w:type="dxa" w:w="3360"/>
          </w:tcPr>
          <w:p>
            <w:r>
              <w:t>Grupo da etapa</w:t>
            </w:r>
          </w:p>
        </w:tc>
        <w:tc>
          <w:tcPr>
            <w:tcW w:type="dxa" w:w="3360"/>
          </w:tcPr>
          <w:p>
            <w:r>
              <w:t>STAGE_SEMANTIC_ID</w:t>
            </w:r>
          </w:p>
        </w:tc>
        <w:tc>
          <w:tcPr>
            <w:tcW w:type="dxa" w:w="3360"/>
          </w:tcPr>
          <w:p>
            <w:r>
              <w:t>Classificação geral da fase</w:t>
            </w:r>
          </w:p>
        </w:tc>
      </w:tr>
      <w:tr>
        <w:tc>
          <w:tcPr>
            <w:tcW w:type="dxa" w:w="3360"/>
          </w:tcPr>
          <w:p>
            <w:r>
              <w:t>Valor da oportunidade</w:t>
            </w:r>
          </w:p>
        </w:tc>
        <w:tc>
          <w:tcPr>
            <w:tcW w:type="dxa" w:w="3360"/>
          </w:tcPr>
          <w:p>
            <w:r>
              <w:t>OPPORTUNITY</w:t>
            </w:r>
          </w:p>
        </w:tc>
        <w:tc>
          <w:tcPr>
            <w:tcW w:type="dxa" w:w="3360"/>
          </w:tcPr>
          <w:p>
            <w:r>
              <w:t>Valor comercial do negócio</w:t>
            </w:r>
          </w:p>
        </w:tc>
      </w:tr>
      <w:tr>
        <w:tc>
          <w:tcPr>
            <w:tcW w:type="dxa" w:w="3360"/>
          </w:tcPr>
          <w:p>
            <w:r>
              <w:t>Empresa vinculada</w:t>
            </w:r>
          </w:p>
        </w:tc>
        <w:tc>
          <w:tcPr>
            <w:tcW w:type="dxa" w:w="3360"/>
          </w:tcPr>
          <w:p>
            <w:r>
              <w:t>COMPANY_ID</w:t>
            </w:r>
          </w:p>
        </w:tc>
        <w:tc>
          <w:tcPr>
            <w:tcW w:type="dxa" w:w="3360"/>
          </w:tcPr>
          <w:p>
            <w:r>
              <w:t>Referência à empresa</w:t>
            </w:r>
          </w:p>
        </w:tc>
      </w:tr>
      <w:tr>
        <w:tc>
          <w:tcPr>
            <w:tcW w:type="dxa" w:w="3360"/>
          </w:tcPr>
          <w:p>
            <w:r>
              <w:t>Contatos vinculados</w:t>
            </w:r>
          </w:p>
        </w:tc>
        <w:tc>
          <w:tcPr>
            <w:tcW w:type="dxa" w:w="3360"/>
          </w:tcPr>
          <w:p>
            <w:r>
              <w:t>CONTACT_IDS</w:t>
            </w:r>
          </w:p>
        </w:tc>
        <w:tc>
          <w:tcPr>
            <w:tcW w:type="dxa" w:w="3360"/>
          </w:tcPr>
          <w:p>
            <w:r>
              <w:t>Referências aos contatos</w:t>
            </w:r>
          </w:p>
        </w:tc>
      </w:tr>
      <w:tr>
        <w:tc>
          <w:tcPr>
            <w:tcW w:type="dxa" w:w="3360"/>
          </w:tcPr>
          <w:p>
            <w:r>
              <w:t>Responsável</w:t>
            </w:r>
          </w:p>
        </w:tc>
        <w:tc>
          <w:tcPr>
            <w:tcW w:type="dxa" w:w="3360"/>
          </w:tcPr>
          <w:p>
            <w:r>
              <w:t>ASSIGNED_BY_ID</w:t>
            </w:r>
          </w:p>
        </w:tc>
        <w:tc>
          <w:tcPr>
            <w:tcW w:type="dxa" w:w="3360"/>
          </w:tcPr>
          <w:p>
            <w:r>
              <w:t>Responsável corporativo</w:t>
            </w:r>
          </w:p>
        </w:tc>
      </w:tr>
      <w:tr>
        <w:tc>
          <w:tcPr>
            <w:tcW w:type="dxa" w:w="3360"/>
          </w:tcPr>
          <w:p>
            <w:r>
              <w:t>Data de criação</w:t>
            </w:r>
          </w:p>
        </w:tc>
        <w:tc>
          <w:tcPr>
            <w:tcW w:type="dxa" w:w="3360"/>
          </w:tcPr>
          <w:p>
            <w:r>
              <w:t>DATE_CREATE</w:t>
            </w:r>
          </w:p>
        </w:tc>
        <w:tc>
          <w:tcPr>
            <w:tcW w:type="dxa" w:w="3360"/>
          </w:tcPr>
          <w:p>
            <w:r>
              <w:t>Data de origem do negócio</w:t>
            </w:r>
          </w:p>
        </w:tc>
      </w:tr>
      <w:tr>
        <w:tc>
          <w:tcPr>
            <w:tcW w:type="dxa" w:w="3360"/>
          </w:tcPr>
          <w:p>
            <w:r>
              <w:t>Data de modificação</w:t>
            </w:r>
          </w:p>
        </w:tc>
        <w:tc>
          <w:tcPr>
            <w:tcW w:type="dxa" w:w="3360"/>
          </w:tcPr>
          <w:p>
            <w:r>
              <w:t>DATE_MODIFY</w:t>
            </w:r>
          </w:p>
        </w:tc>
        <w:tc>
          <w:tcPr>
            <w:tcW w:type="dxa" w:w="3360"/>
          </w:tcPr>
          <w:p>
            <w:r>
              <w:t>Última alteração</w:t>
            </w:r>
          </w:p>
        </w:tc>
      </w:tr>
      <w:tr>
        <w:tc>
          <w:tcPr>
            <w:tcW w:type="dxa" w:w="3360"/>
          </w:tcPr>
          <w:p>
            <w:r>
              <w:t>Fonte</w:t>
            </w:r>
          </w:p>
        </w:tc>
        <w:tc>
          <w:tcPr>
            <w:tcW w:type="dxa" w:w="3360"/>
          </w:tcPr>
          <w:p>
            <w:r>
              <w:t>SOURCE_ID</w:t>
            </w:r>
          </w:p>
        </w:tc>
        <w:tc>
          <w:tcPr>
            <w:tcW w:type="dxa" w:w="3360"/>
          </w:tcPr>
          <w:p>
            <w:r>
              <w:t>Origem comercial</w:t>
            </w:r>
          </w:p>
        </w:tc>
      </w:tr>
      <w:tr>
        <w:tc>
          <w:tcPr>
            <w:tcW w:type="dxa" w:w="3360"/>
          </w:tcPr>
          <w:p>
            <w:r>
              <w:t>Informações da fonte</w:t>
            </w:r>
          </w:p>
        </w:tc>
        <w:tc>
          <w:tcPr>
            <w:tcW w:type="dxa" w:w="3360"/>
          </w:tcPr>
          <w:p>
            <w:r>
              <w:t>SOURCE_DESCRIPTION</w:t>
            </w:r>
          </w:p>
        </w:tc>
        <w:tc>
          <w:tcPr>
            <w:tcW w:type="dxa" w:w="3360"/>
          </w:tcPr>
          <w:p>
            <w:r>
              <w:t>Detalhamento da origem</w:t>
            </w:r>
          </w:p>
        </w:tc>
      </w:tr>
      <w:tr>
        <w:tc>
          <w:tcPr>
            <w:tcW w:type="dxa" w:w="3360"/>
          </w:tcPr>
          <w:p>
            <w:r>
              <w:t>Observação</w:t>
            </w:r>
          </w:p>
        </w:tc>
        <w:tc>
          <w:tcPr>
            <w:tcW w:type="dxa" w:w="3360"/>
          </w:tcPr>
          <w:p>
            <w:r>
              <w:t>COMMENTS</w:t>
            </w:r>
          </w:p>
        </w:tc>
        <w:tc>
          <w:tcPr>
            <w:tcW w:type="dxa" w:w="3360"/>
          </w:tcPr>
          <w:p>
            <w:r>
              <w:t>Notas gerais</w:t>
            </w:r>
          </w:p>
        </w:tc>
      </w:tr>
      <w:tr>
        <w:tc>
          <w:tcPr>
            <w:tcW w:type="dxa" w:w="3360"/>
          </w:tcPr>
          <w:p>
            <w:r>
              <w:t>Última atividade</w:t>
            </w:r>
          </w:p>
        </w:tc>
        <w:tc>
          <w:tcPr>
            <w:tcW w:type="dxa" w:w="3360"/>
          </w:tcPr>
          <w:p>
            <w:r>
              <w:t>LAST_ACTIVITY_TIME</w:t>
            </w:r>
          </w:p>
        </w:tc>
        <w:tc>
          <w:tcPr>
            <w:tcW w:type="dxa" w:w="3360"/>
          </w:tcPr>
          <w:p>
            <w:r>
              <w:t>Referência operacional</w:t>
            </w:r>
          </w:p>
        </w:tc>
      </w:tr>
    </w:tbl>
    <w:p>
      <w:pPr>
        <w:pStyle w:val="Heading1"/>
      </w:pPr>
      <w:r>
        <w:t>5. Campos personalizados prioritários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Informação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Código Bitrix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Uso proposto</w:t>
            </w:r>
          </w:p>
        </w:tc>
      </w:tr>
      <w:tr>
        <w:tc>
          <w:tcPr>
            <w:tcW w:type="dxa" w:w="3360"/>
          </w:tcPr>
          <w:p>
            <w:r>
              <w:t>Produto</w:t>
            </w:r>
          </w:p>
        </w:tc>
        <w:tc>
          <w:tcPr>
            <w:tcW w:type="dxa" w:w="3360"/>
          </w:tcPr>
          <w:p>
            <w:r>
              <w:t>UF_CRM_1637148415691</w:t>
            </w:r>
          </w:p>
        </w:tc>
        <w:tc>
          <w:tcPr>
            <w:tcW w:type="dxa" w:w="3360"/>
          </w:tcPr>
          <w:p>
            <w:r>
              <w:t>Campo de enumeração com valores como Clinic, Amigo Flow, Amigo Pay, Contabilidade, Marketing e Amigo Bot.</w:t>
            </w:r>
          </w:p>
        </w:tc>
      </w:tr>
      <w:tr>
        <w:tc>
          <w:tcPr>
            <w:tcW w:type="dxa" w:w="3360"/>
          </w:tcPr>
          <w:p>
            <w:r>
              <w:t>Nome fantasia</w:t>
            </w:r>
          </w:p>
        </w:tc>
        <w:tc>
          <w:tcPr>
            <w:tcW w:type="dxa" w:w="3360"/>
          </w:tcPr>
          <w:p>
            <w:r>
              <w:t>UF_CRM_6194F266BC755</w:t>
            </w:r>
          </w:p>
        </w:tc>
        <w:tc>
          <w:tcPr>
            <w:tcW w:type="dxa" w:w="3360"/>
          </w:tcPr>
          <w:p>
            <w:r>
              <w:t>Nome comercial da clínica ou organização.</w:t>
            </w:r>
          </w:p>
        </w:tc>
      </w:tr>
      <w:tr>
        <w:tc>
          <w:tcPr>
            <w:tcW w:type="dxa" w:w="3360"/>
          </w:tcPr>
          <w:p>
            <w:r>
              <w:t>Razão social ou nome completo</w:t>
            </w:r>
          </w:p>
        </w:tc>
        <w:tc>
          <w:tcPr>
            <w:tcW w:type="dxa" w:w="3360"/>
          </w:tcPr>
          <w:p>
            <w:r>
              <w:t>UF_CRM_1648513852732</w:t>
            </w:r>
          </w:p>
        </w:tc>
        <w:tc>
          <w:tcPr>
            <w:tcW w:type="dxa" w:w="3360"/>
          </w:tcPr>
          <w:p>
            <w:r>
              <w:t>Nome jurídico ou formal do cliente.</w:t>
            </w:r>
          </w:p>
        </w:tc>
      </w:tr>
      <w:tr>
        <w:tc>
          <w:tcPr>
            <w:tcW w:type="dxa" w:w="3360"/>
          </w:tcPr>
          <w:p>
            <w:r>
              <w:t>Contato da clínica</w:t>
            </w:r>
          </w:p>
        </w:tc>
        <w:tc>
          <w:tcPr>
            <w:tcW w:type="dxa" w:w="3360"/>
          </w:tcPr>
          <w:p>
            <w:r>
              <w:t>UF_CRM_1650570461980 / UF_CRM_1650570519352 / UF_CRM_1650570558386</w:t>
            </w:r>
          </w:p>
        </w:tc>
        <w:tc>
          <w:tcPr>
            <w:tcW w:type="dxa" w:w="3360"/>
          </w:tcPr>
          <w:p>
            <w:r>
              <w:t>Nome, cargo e telefone do contato.</w:t>
            </w:r>
          </w:p>
        </w:tc>
      </w:tr>
      <w:tr>
        <w:tc>
          <w:tcPr>
            <w:tcW w:type="dxa" w:w="3360"/>
          </w:tcPr>
          <w:p>
            <w:r>
              <w:t>Saudação</w:t>
            </w:r>
          </w:p>
        </w:tc>
        <w:tc>
          <w:tcPr>
            <w:tcW w:type="dxa" w:w="3360"/>
          </w:tcPr>
          <w:p>
            <w:r>
              <w:t>UF_CRM_6194F266705B6</w:t>
            </w:r>
          </w:p>
        </w:tc>
        <w:tc>
          <w:tcPr>
            <w:tcW w:type="dxa" w:w="3360"/>
          </w:tcPr>
          <w:p>
            <w:r>
              <w:t>Valores como Sr., Sra., Srta., Dr. e Dra.</w:t>
            </w:r>
          </w:p>
        </w:tc>
      </w:tr>
      <w:tr>
        <w:tc>
          <w:tcPr>
            <w:tcW w:type="dxa" w:w="3360"/>
          </w:tcPr>
          <w:p>
            <w:r>
              <w:t>Mensalidade com desconto</w:t>
            </w:r>
          </w:p>
        </w:tc>
        <w:tc>
          <w:tcPr>
            <w:tcW w:type="dxa" w:w="3360"/>
          </w:tcPr>
          <w:p>
            <w:r>
              <w:t>UF_CRM_1644259395234</w:t>
            </w:r>
          </w:p>
        </w:tc>
        <w:tc>
          <w:tcPr>
            <w:tcW w:type="dxa" w:w="3360"/>
          </w:tcPr>
          <w:p>
            <w:r>
              <w:t>Valor negociado da mensalidade.</w:t>
            </w:r>
          </w:p>
        </w:tc>
      </w:tr>
      <w:tr>
        <w:tc>
          <w:tcPr>
            <w:tcW w:type="dxa" w:w="3360"/>
          </w:tcPr>
          <w:p>
            <w:r>
              <w:t>Valor da implantação</w:t>
            </w:r>
          </w:p>
        </w:tc>
        <w:tc>
          <w:tcPr>
            <w:tcW w:type="dxa" w:w="3360"/>
          </w:tcPr>
          <w:p>
            <w:r>
              <w:t>UF_CRM_1644428104784</w:t>
            </w:r>
          </w:p>
        </w:tc>
        <w:tc>
          <w:tcPr>
            <w:tcW w:type="dxa" w:w="3360"/>
          </w:tcPr>
          <w:p>
            <w:r>
              <w:t>Valor final de implantação.</w:t>
            </w:r>
          </w:p>
        </w:tc>
      </w:tr>
      <w:tr>
        <w:tc>
          <w:tcPr>
            <w:tcW w:type="dxa" w:w="3360"/>
          </w:tcPr>
          <w:p>
            <w:r>
              <w:t>Desconto da implantação</w:t>
            </w:r>
          </w:p>
        </w:tc>
        <w:tc>
          <w:tcPr>
            <w:tcW w:type="dxa" w:w="3360"/>
          </w:tcPr>
          <w:p>
            <w:r>
              <w:t>UF_CRM_1648611311216</w:t>
            </w:r>
          </w:p>
        </w:tc>
        <w:tc>
          <w:tcPr>
            <w:tcW w:type="dxa" w:w="3360"/>
          </w:tcPr>
          <w:p>
            <w:r>
              <w:t>Valor de desconto aplicado à implantação.</w:t>
            </w:r>
          </w:p>
        </w:tc>
      </w:tr>
      <w:tr>
        <w:tc>
          <w:tcPr>
            <w:tcW w:type="dxa" w:w="3360"/>
          </w:tcPr>
          <w:p>
            <w:r>
              <w:t>Acompanhamento da célula</w:t>
            </w:r>
          </w:p>
        </w:tc>
        <w:tc>
          <w:tcPr>
            <w:tcW w:type="dxa" w:w="3360"/>
          </w:tcPr>
          <w:p>
            <w:r>
              <w:t>UF_CRM_1651264223448</w:t>
            </w:r>
          </w:p>
        </w:tc>
        <w:tc>
          <w:tcPr>
            <w:tcW w:type="dxa" w:w="3360"/>
          </w:tcPr>
          <w:p>
            <w:r>
              <w:t>Campo com responsáveis, incluindo Higor Marques e Giulia Pedrosa.</w:t>
            </w:r>
          </w:p>
        </w:tc>
      </w:tr>
    </w:tbl>
    <w:p>
      <w:r>
        <w:t>Observação: o inventário contém campos antigos, duplicados e alguns explicitamente marcados como “não utilizar”. Esses campos não deverão ser copiados automaticamente para a Central. A seleção será feita por relevância e confiabilidade operacional.</w:t>
      </w:r>
    </w:p>
    <w:p>
      <w:pPr>
        <w:pStyle w:val="Heading1"/>
      </w:pPr>
      <w:r>
        <w:t>6. Etapas do Bitrix</w:t>
      </w:r>
    </w:p>
    <w:p>
      <w:r>
        <w:t>As etapas identificadas no material incluem:</w:t>
      </w:r>
    </w:p>
    <w:p>
      <w:pPr>
        <w:pStyle w:val="ListBullet"/>
      </w:pPr>
      <w:r>
        <w:t>Entrada de leads</w:t>
      </w:r>
    </w:p>
    <w:p>
      <w:pPr>
        <w:pStyle w:val="ListBullet"/>
      </w:pPr>
      <w:r>
        <w:t>Pré-qualificação</w:t>
      </w:r>
    </w:p>
    <w:p>
      <w:pPr>
        <w:pStyle w:val="ListBullet"/>
      </w:pPr>
      <w:r>
        <w:t>Qualificação humana</w:t>
      </w:r>
    </w:p>
    <w:p>
      <w:pPr>
        <w:pStyle w:val="ListBullet"/>
      </w:pPr>
      <w:r>
        <w:t>MQLs</w:t>
      </w:r>
    </w:p>
    <w:p>
      <w:pPr>
        <w:pStyle w:val="ListBullet"/>
      </w:pPr>
      <w:r>
        <w:t>MQLs frios</w:t>
      </w:r>
    </w:p>
    <w:p>
      <w:pPr>
        <w:pStyle w:val="ListBullet"/>
      </w:pPr>
      <w:r>
        <w:t>MQLs mornos</w:t>
      </w:r>
    </w:p>
    <w:p>
      <w:pPr>
        <w:pStyle w:val="ListBullet"/>
      </w:pPr>
      <w:r>
        <w:t>MQLs quentes</w:t>
      </w:r>
    </w:p>
    <w:p>
      <w:pPr>
        <w:pStyle w:val="ListBullet"/>
      </w:pPr>
      <w:r>
        <w:t>Inativos</w:t>
      </w:r>
    </w:p>
    <w:p>
      <w:pPr>
        <w:pStyle w:val="ListBullet"/>
      </w:pPr>
      <w:r>
        <w:t>Qualificação BDR</w:t>
      </w:r>
    </w:p>
    <w:p>
      <w:pPr>
        <w:pStyle w:val="ListBullet"/>
      </w:pPr>
      <w:r>
        <w:t>SQLs</w:t>
      </w:r>
    </w:p>
    <w:p>
      <w:pPr>
        <w:pStyle w:val="ListBullet"/>
      </w:pPr>
      <w:r>
        <w:t>Para agendar</w:t>
      </w:r>
    </w:p>
    <w:p>
      <w:pPr>
        <w:pStyle w:val="ListBullet"/>
      </w:pPr>
      <w:r>
        <w:t>Adormecidos</w:t>
      </w:r>
    </w:p>
    <w:p>
      <w:pPr>
        <w:pStyle w:val="ListBullet"/>
      </w:pPr>
      <w:r>
        <w:t>Reuniões agendadas</w:t>
      </w:r>
    </w:p>
    <w:p>
      <w:pPr>
        <w:pStyle w:val="ListBullet"/>
      </w:pPr>
      <w:r>
        <w:t>Enviar proposta</w:t>
      </w:r>
    </w:p>
    <w:p>
      <w:pPr>
        <w:pStyle w:val="ListBullet"/>
      </w:pPr>
      <w:r>
        <w:t>Enviar contrato</w:t>
      </w:r>
    </w:p>
    <w:p>
      <w:pPr>
        <w:pStyle w:val="ListBullet"/>
      </w:pPr>
      <w:r>
        <w:t>Análise Flow</w:t>
      </w:r>
    </w:p>
    <w:p>
      <w:pPr>
        <w:pStyle w:val="ListBullet"/>
      </w:pPr>
      <w:r>
        <w:t>Preencher briefing</w:t>
      </w:r>
    </w:p>
    <w:p>
      <w:pPr>
        <w:pStyle w:val="ListBullet"/>
      </w:pPr>
      <w:r>
        <w:t>Serviço em Espera</w:t>
      </w:r>
    </w:p>
    <w:p>
      <w:pPr>
        <w:pStyle w:val="ListBullet"/>
      </w:pPr>
      <w:r>
        <w:t>Solicitar diagnóstico estratégico</w:t>
      </w:r>
    </w:p>
    <w:p>
      <w:pPr>
        <w:pStyle w:val="ListBullet"/>
      </w:pPr>
      <w:r>
        <w:t>Negócios fechados</w:t>
      </w:r>
    </w:p>
    <w:p>
      <w:pPr>
        <w:pStyle w:val="ListBullet"/>
      </w:pPr>
      <w:r>
        <w:t>Downsell</w:t>
      </w:r>
    </w:p>
    <w:p>
      <w:pPr>
        <w:pStyle w:val="ListBullet"/>
      </w:pPr>
      <w:r>
        <w:t>Em implantação</w:t>
      </w:r>
    </w:p>
    <w:p>
      <w:pPr>
        <w:pStyle w:val="ListBullet"/>
      </w:pPr>
      <w:r>
        <w:t>Teste</w:t>
      </w:r>
    </w:p>
    <w:p>
      <w:pPr>
        <w:pStyle w:val="ListBullet"/>
      </w:pPr>
      <w:r>
        <w:t>Perda provável</w:t>
      </w:r>
    </w:p>
    <w:p>
      <w:pPr>
        <w:pStyle w:val="ListBullet"/>
      </w:pPr>
      <w:r>
        <w:t>Desqualificados</w:t>
      </w:r>
    </w:p>
    <w:p>
      <w:pPr>
        <w:pStyle w:val="ListBullet"/>
      </w:pPr>
      <w:r>
        <w:t>Unsubscribes</w:t>
      </w:r>
    </w:p>
    <w:p>
      <w:pPr>
        <w:pStyle w:val="ListBullet"/>
      </w:pPr>
      <w:r>
        <w:t>Oportunidades perdidas</w:t>
      </w:r>
    </w:p>
    <w:p>
      <w:pPr>
        <w:pStyle w:val="ListBullet"/>
      </w:pPr>
      <w:r>
        <w:t>Perda efetivada</w:t>
      </w:r>
    </w:p>
    <w:p>
      <w:pPr>
        <w:pStyle w:val="ListBullet"/>
      </w:pPr>
      <w:r>
        <w:t>Churn</w:t>
      </w:r>
    </w:p>
    <w:p>
      <w:pPr>
        <w:pStyle w:val="ListBullet"/>
      </w:pPr>
      <w:r>
        <w:t>Base ativa</w:t>
      </w:r>
    </w:p>
    <w:p>
      <w:r>
        <w:t>O arquivo recebido apresenta os nomes visíveis das etapas, mas não confirma os respectivos códigos técnicos STAGE_ID. Será necessário obter posteriormente o mapeamento código técnico x nome da etapa antes de qualquer sincronização automática.</w:t>
      </w:r>
    </w:p>
    <w:p>
      <w:pPr>
        <w:pStyle w:val="Heading1"/>
      </w:pPr>
      <w:r>
        <w:t>7. Camada de mapeamento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Campo interno da Central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Origem Bitrix</w:t>
            </w:r>
          </w:p>
        </w:tc>
      </w:tr>
      <w:tr>
        <w:tc>
          <w:tcPr>
            <w:tcW w:type="dxa" w:w="5040"/>
          </w:tcPr>
          <w:p>
            <w:r>
              <w:t>external_id</w:t>
            </w:r>
          </w:p>
        </w:tc>
        <w:tc>
          <w:tcPr>
            <w:tcW w:type="dxa" w:w="5040"/>
          </w:tcPr>
          <w:p>
            <w:r>
              <w:t>ID</w:t>
            </w:r>
          </w:p>
        </w:tc>
      </w:tr>
      <w:tr>
        <w:tc>
          <w:tcPr>
            <w:tcW w:type="dxa" w:w="5040"/>
          </w:tcPr>
          <w:p>
            <w:r>
              <w:t>lead_name</w:t>
            </w:r>
          </w:p>
        </w:tc>
        <w:tc>
          <w:tcPr>
            <w:tcW w:type="dxa" w:w="5040"/>
          </w:tcPr>
          <w:p>
            <w:r>
              <w:t>TITLE</w:t>
            </w:r>
          </w:p>
        </w:tc>
      </w:tr>
      <w:tr>
        <w:tc>
          <w:tcPr>
            <w:tcW w:type="dxa" w:w="5040"/>
          </w:tcPr>
          <w:p>
            <w:r>
              <w:t>pipeline_external_id</w:t>
            </w:r>
          </w:p>
        </w:tc>
        <w:tc>
          <w:tcPr>
            <w:tcW w:type="dxa" w:w="5040"/>
          </w:tcPr>
          <w:p>
            <w:r>
              <w:t>CATEGORY_ID</w:t>
            </w:r>
          </w:p>
        </w:tc>
      </w:tr>
      <w:tr>
        <w:tc>
          <w:tcPr>
            <w:tcW w:type="dxa" w:w="5040"/>
          </w:tcPr>
          <w:p>
            <w:r>
              <w:t>stage_external_id</w:t>
            </w:r>
          </w:p>
        </w:tc>
        <w:tc>
          <w:tcPr>
            <w:tcW w:type="dxa" w:w="5040"/>
          </w:tcPr>
          <w:p>
            <w:r>
              <w:t>STAGE_ID</w:t>
            </w:r>
          </w:p>
        </w:tc>
      </w:tr>
      <w:tr>
        <w:tc>
          <w:tcPr>
            <w:tcW w:type="dxa" w:w="5040"/>
          </w:tcPr>
          <w:p>
            <w:r>
              <w:t>opportunity_value</w:t>
            </w:r>
          </w:p>
        </w:tc>
        <w:tc>
          <w:tcPr>
            <w:tcW w:type="dxa" w:w="5040"/>
          </w:tcPr>
          <w:p>
            <w:r>
              <w:t>OPPORTUNITY</w:t>
            </w:r>
          </w:p>
        </w:tc>
      </w:tr>
      <w:tr>
        <w:tc>
          <w:tcPr>
            <w:tcW w:type="dxa" w:w="5040"/>
          </w:tcPr>
          <w:p>
            <w:r>
              <w:t>assigned_user_external_id</w:t>
            </w:r>
          </w:p>
        </w:tc>
        <w:tc>
          <w:tcPr>
            <w:tcW w:type="dxa" w:w="5040"/>
          </w:tcPr>
          <w:p>
            <w:r>
              <w:t>ASSIGNED_BY_ID</w:t>
            </w:r>
          </w:p>
        </w:tc>
      </w:tr>
      <w:tr>
        <w:tc>
          <w:tcPr>
            <w:tcW w:type="dxa" w:w="5040"/>
          </w:tcPr>
          <w:p>
            <w:r>
              <w:t>product_external_value</w:t>
            </w:r>
          </w:p>
        </w:tc>
        <w:tc>
          <w:tcPr>
            <w:tcW w:type="dxa" w:w="5040"/>
          </w:tcPr>
          <w:p>
            <w:r>
              <w:t>UF_CRM_1637148415691</w:t>
            </w:r>
          </w:p>
        </w:tc>
      </w:tr>
      <w:tr>
        <w:tc>
          <w:tcPr>
            <w:tcW w:type="dxa" w:w="5040"/>
          </w:tcPr>
          <w:p>
            <w:r>
              <w:t>trade_name</w:t>
            </w:r>
          </w:p>
        </w:tc>
        <w:tc>
          <w:tcPr>
            <w:tcW w:type="dxa" w:w="5040"/>
          </w:tcPr>
          <w:p>
            <w:r>
              <w:t>UF_CRM_6194F266BC755</w:t>
            </w:r>
          </w:p>
        </w:tc>
      </w:tr>
      <w:tr>
        <w:tc>
          <w:tcPr>
            <w:tcW w:type="dxa" w:w="5040"/>
          </w:tcPr>
          <w:p>
            <w:r>
              <w:t>legal_name</w:t>
            </w:r>
          </w:p>
        </w:tc>
        <w:tc>
          <w:tcPr>
            <w:tcW w:type="dxa" w:w="5040"/>
          </w:tcPr>
          <w:p>
            <w:r>
              <w:t>UF_CRM_1648513852732</w:t>
            </w:r>
          </w:p>
        </w:tc>
      </w:tr>
      <w:tr>
        <w:tc>
          <w:tcPr>
            <w:tcW w:type="dxa" w:w="5040"/>
          </w:tcPr>
          <w:p>
            <w:r>
              <w:t>contact_name</w:t>
            </w:r>
          </w:p>
        </w:tc>
        <w:tc>
          <w:tcPr>
            <w:tcW w:type="dxa" w:w="5040"/>
          </w:tcPr>
          <w:p>
            <w:r>
              <w:t>UF_CRM_1650570461980</w:t>
            </w:r>
          </w:p>
        </w:tc>
      </w:tr>
      <w:tr>
        <w:tc>
          <w:tcPr>
            <w:tcW w:type="dxa" w:w="5040"/>
          </w:tcPr>
          <w:p>
            <w:r>
              <w:t>contact_role</w:t>
            </w:r>
          </w:p>
        </w:tc>
        <w:tc>
          <w:tcPr>
            <w:tcW w:type="dxa" w:w="5040"/>
          </w:tcPr>
          <w:p>
            <w:r>
              <w:t>UF_CRM_1650570519352</w:t>
            </w:r>
          </w:p>
        </w:tc>
      </w:tr>
      <w:tr>
        <w:tc>
          <w:tcPr>
            <w:tcW w:type="dxa" w:w="5040"/>
          </w:tcPr>
          <w:p>
            <w:r>
              <w:t>contact_phone</w:t>
            </w:r>
          </w:p>
        </w:tc>
        <w:tc>
          <w:tcPr>
            <w:tcW w:type="dxa" w:w="5040"/>
          </w:tcPr>
          <w:p>
            <w:r>
              <w:t>UF_CRM_1650570558386</w:t>
            </w:r>
          </w:p>
        </w:tc>
      </w:tr>
    </w:tbl>
    <w:p>
      <w:r>
        <w:t>A Central não deverá usar os códigos do Bitrix diretamente em toda a aplicação. Uma camada de mapeamento desacoplará o modelo interno do CRM externo e facilitará futuras migrações.</w:t>
      </w:r>
    </w:p>
    <w:p>
      <w:pPr>
        <w:pStyle w:val="Heading1"/>
      </w:pPr>
      <w:r>
        <w:t>8. Direção da sincronização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Classificação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Exemplos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Regra</w:t>
            </w:r>
          </w:p>
        </w:tc>
      </w:tr>
      <w:tr>
        <w:tc>
          <w:tcPr>
            <w:tcW w:type="dxa" w:w="3360"/>
          </w:tcPr>
          <w:p>
            <w:r>
              <w:t>Somente leitura</w:t>
            </w:r>
          </w:p>
        </w:tc>
        <w:tc>
          <w:tcPr>
            <w:tcW w:type="dxa" w:w="3360"/>
          </w:tcPr>
          <w:p>
            <w:r>
              <w:t>ID do negócio, pipeline, responsável corporativo, valor original, etapa do Bitrix</w:t>
            </w:r>
          </w:p>
        </w:tc>
        <w:tc>
          <w:tcPr>
            <w:tcW w:type="dxa" w:w="3360"/>
          </w:tcPr>
          <w:p>
            <w:r>
              <w:t>A Central consulta, mas não altera.</w:t>
            </w:r>
          </w:p>
        </w:tc>
      </w:tr>
      <w:tr>
        <w:tc>
          <w:tcPr>
            <w:tcW w:type="dxa" w:w="3360"/>
          </w:tcPr>
          <w:p>
            <w:r>
              <w:t>Leitura e atualização</w:t>
            </w:r>
          </w:p>
        </w:tc>
        <w:tc>
          <w:tcPr>
            <w:tcW w:type="dxa" w:w="3360"/>
          </w:tcPr>
          <w:p>
            <w:r>
              <w:t>Campo de acompanhamento, observação de prospecção, responsável BDR, data do último contato</w:t>
            </w:r>
          </w:p>
        </w:tc>
        <w:tc>
          <w:tcPr>
            <w:tcW w:type="dxa" w:w="3360"/>
          </w:tcPr>
          <w:p>
            <w:r>
              <w:t>A Central poderá ler e atualizar mediante permissão e regra definida.</w:t>
            </w:r>
          </w:p>
        </w:tc>
      </w:tr>
      <w:tr>
        <w:tc>
          <w:tcPr>
            <w:tcW w:type="dxa" w:w="3360"/>
          </w:tcPr>
          <w:p>
            <w:r>
              <w:t>Somente interno</w:t>
            </w:r>
          </w:p>
        </w:tc>
        <w:tc>
          <w:tcPr>
            <w:tcW w:type="dxa" w:w="3360"/>
          </w:tcPr>
          <w:p>
            <w:r>
              <w:t>Etapa da cadência, tarefa do dia, script utilizado, prioridade, lembrete de follow-up</w:t>
            </w:r>
          </w:p>
        </w:tc>
        <w:tc>
          <w:tcPr>
            <w:tcW w:type="dxa" w:w="3360"/>
          </w:tcPr>
          <w:p>
            <w:r>
              <w:t>Informações exclusivas da Central.</w:t>
            </w:r>
          </w:p>
        </w:tc>
      </w:tr>
    </w:tbl>
    <w:p>
      <w:pPr>
        <w:pStyle w:val="Heading1"/>
      </w:pPr>
      <w:r>
        <w:t>9. Campos conhecidos para atualização</w:t>
      </w:r>
    </w:p>
    <w:p>
      <w:r>
        <w:t>O campo Acompanhamento | Célula de Suporte a Vendas (Comercial Célula Online), código UF_CRM_1651264223448, é candidato a atualização pela Central.</w:t>
      </w:r>
    </w:p>
    <w:p>
      <w:r>
        <w:t>Antes da implementação deverão ser registrados: ID do valor correspondente a cada pessoa, regra de atualização, momento em que a atualização ocorre e usuários autorizados.</w:t>
      </w:r>
    </w:p>
    <w:p>
      <w:pPr>
        <w:pStyle w:val="Heading1"/>
      </w:pPr>
      <w:r>
        <w:t>10. Segurança e credenciais</w:t>
      </w:r>
    </w:p>
    <w:p>
      <w:pPr>
        <w:pStyle w:val="ListBullet"/>
      </w:pPr>
      <w:r>
        <w:t>A URL completa do webhook não deverá constar em DOCX, código-fonte, planilhas abertas, repositórios públicos, prints ou prompts.</w:t>
      </w:r>
    </w:p>
    <w:p>
      <w:pPr>
        <w:pStyle w:val="ListBullet"/>
      </w:pPr>
      <w:r>
        <w:t>As credenciais deverão ser armazenadas em propriedades protegidas do Apps Script, variáveis de ambiente ou mecanismo equivalente.</w:t>
      </w:r>
    </w:p>
    <w:p>
      <w:pPr>
        <w:pStyle w:val="ListBullet"/>
      </w:pPr>
      <w:r>
        <w:t>Nos documentos será utilizado apenas o identificador BITRIX_WEBHOOK_URL.</w:t>
      </w:r>
    </w:p>
    <w:p>
      <w:pPr>
        <w:pStyle w:val="ListBullet"/>
      </w:pPr>
      <w:r>
        <w:t>Logs não deverão registrar tokens, chaves ou segredos.</w:t>
      </w:r>
    </w:p>
    <w:p>
      <w:pPr>
        <w:pStyle w:val="Heading1"/>
      </w:pPr>
      <w:r>
        <w:t>11. Métodos esperados da API</w:t>
      </w:r>
    </w:p>
    <w:p>
      <w:pPr>
        <w:pStyle w:val="ListBullet"/>
      </w:pPr>
      <w:r>
        <w:t>Consultar um negócio.</w:t>
      </w:r>
    </w:p>
    <w:p>
      <w:pPr>
        <w:pStyle w:val="ListBullet"/>
      </w:pPr>
      <w:r>
        <w:t>Listar negócios.</w:t>
      </w:r>
    </w:p>
    <w:p>
      <w:pPr>
        <w:pStyle w:val="ListBullet"/>
      </w:pPr>
      <w:r>
        <w:t>Consultar campos.</w:t>
      </w:r>
    </w:p>
    <w:p>
      <w:pPr>
        <w:pStyle w:val="ListBullet"/>
      </w:pPr>
      <w:r>
        <w:t>Atualizar um negócio.</w:t>
      </w:r>
    </w:p>
    <w:p>
      <w:pPr>
        <w:pStyle w:val="ListBullet"/>
      </w:pPr>
      <w:r>
        <w:t>Consultar etapas.</w:t>
      </w:r>
    </w:p>
    <w:p>
      <w:pPr>
        <w:pStyle w:val="ListBullet"/>
      </w:pPr>
      <w:r>
        <w:t>Consultar usuários.</w:t>
      </w:r>
    </w:p>
    <w:p>
      <w:pPr>
        <w:pStyle w:val="ListBullet"/>
      </w:pPr>
      <w:r>
        <w:t>Consultar empresas.</w:t>
      </w:r>
    </w:p>
    <w:p>
      <w:pPr>
        <w:pStyle w:val="ListBullet"/>
      </w:pPr>
      <w:r>
        <w:t>Consultar contatos.</w:t>
      </w:r>
    </w:p>
    <w:p>
      <w:r>
        <w:t>O arquivo JSON recebido corresponde a um inventário de campos de negócios, equivalente ao retorno do método crm.deal.fields.</w:t>
      </w:r>
    </w:p>
    <w:p>
      <w:pPr>
        <w:pStyle w:val="Heading1"/>
      </w:pPr>
      <w:r>
        <w:t>12. Tratamento de erros</w:t>
      </w:r>
    </w:p>
    <w:p>
      <w:pPr>
        <w:pStyle w:val="ListBullet"/>
      </w:pPr>
      <w:r>
        <w:t>Webhook inválido ou revogado.</w:t>
      </w:r>
    </w:p>
    <w:p>
      <w:pPr>
        <w:pStyle w:val="ListBullet"/>
      </w:pPr>
      <w:r>
        <w:t>Negócio inexistente.</w:t>
      </w:r>
    </w:p>
    <w:p>
      <w:pPr>
        <w:pStyle w:val="ListBullet"/>
      </w:pPr>
      <w:r>
        <w:t>Campo não encontrado.</w:t>
      </w:r>
    </w:p>
    <w:p>
      <w:pPr>
        <w:pStyle w:val="ListBullet"/>
      </w:pPr>
      <w:r>
        <w:t>Valor de enumeração inválido.</w:t>
      </w:r>
    </w:p>
    <w:p>
      <w:pPr>
        <w:pStyle w:val="ListBullet"/>
      </w:pPr>
      <w:r>
        <w:t>Permissão insuficiente.</w:t>
      </w:r>
    </w:p>
    <w:p>
      <w:pPr>
        <w:pStyle w:val="ListBullet"/>
      </w:pPr>
      <w:r>
        <w:t>Timeout ou indisponibilidade.</w:t>
      </w:r>
    </w:p>
    <w:p>
      <w:pPr>
        <w:pStyle w:val="ListBullet"/>
      </w:pPr>
      <w:r>
        <w:t>Resposta incompleta.</w:t>
      </w:r>
    </w:p>
    <w:p>
      <w:pPr>
        <w:pStyle w:val="ListBullet"/>
      </w:pPr>
      <w:r>
        <w:t>Campo desativado.</w:t>
      </w:r>
    </w:p>
    <w:p>
      <w:pPr>
        <w:pStyle w:val="ListBullet"/>
      </w:pPr>
      <w:r>
        <w:t>Código alterado no Bitrix.</w:t>
      </w:r>
    </w:p>
    <w:p>
      <w:r>
        <w:t>Nenhuma falha de integração deverá apagar ou corromper dados internos da Central.</w:t>
      </w:r>
    </w:p>
    <w:p>
      <w:pPr>
        <w:pStyle w:val="Heading1"/>
      </w:pPr>
      <w:r>
        <w:t>13. Log de integração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Campo do log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5040"/>
          </w:tcPr>
          <w:p>
            <w:r>
              <w:t>Data e hora</w:t>
            </w:r>
          </w:p>
        </w:tc>
        <w:tc>
          <w:tcPr>
            <w:tcW w:type="dxa" w:w="5040"/>
          </w:tcPr>
          <w:p>
            <w:r>
              <w:t>Momento da operação</w:t>
            </w:r>
          </w:p>
        </w:tc>
      </w:tr>
      <w:tr>
        <w:tc>
          <w:tcPr>
            <w:tcW w:type="dxa" w:w="5040"/>
          </w:tcPr>
          <w:p>
            <w:r>
              <w:t>Usuário</w:t>
            </w:r>
          </w:p>
        </w:tc>
        <w:tc>
          <w:tcPr>
            <w:tcW w:type="dxa" w:w="5040"/>
          </w:tcPr>
          <w:p>
            <w:r>
              <w:t>Quem iniciou ou autorizou</w:t>
            </w:r>
          </w:p>
        </w:tc>
      </w:tr>
      <w:tr>
        <w:tc>
          <w:tcPr>
            <w:tcW w:type="dxa" w:w="5040"/>
          </w:tcPr>
          <w:p>
            <w:r>
              <w:t>Tipo de operação</w:t>
            </w:r>
          </w:p>
        </w:tc>
        <w:tc>
          <w:tcPr>
            <w:tcW w:type="dxa" w:w="5040"/>
          </w:tcPr>
          <w:p>
            <w:r>
              <w:t>Consulta, atualização, importação ou sincronização</w:t>
            </w:r>
          </w:p>
        </w:tc>
      </w:tr>
      <w:tr>
        <w:tc>
          <w:tcPr>
            <w:tcW w:type="dxa" w:w="5040"/>
          </w:tcPr>
          <w:p>
            <w:r>
              <w:t>Negócio envolvido</w:t>
            </w:r>
          </w:p>
        </w:tc>
        <w:tc>
          <w:tcPr>
            <w:tcW w:type="dxa" w:w="5040"/>
          </w:tcPr>
          <w:p>
            <w:r>
              <w:t>ID externo</w:t>
            </w:r>
          </w:p>
        </w:tc>
      </w:tr>
      <w:tr>
        <w:tc>
          <w:tcPr>
            <w:tcW w:type="dxa" w:w="5040"/>
          </w:tcPr>
          <w:p>
            <w:r>
              <w:t>Resultado</w:t>
            </w:r>
          </w:p>
        </w:tc>
        <w:tc>
          <w:tcPr>
            <w:tcW w:type="dxa" w:w="5040"/>
          </w:tcPr>
          <w:p>
            <w:r>
              <w:t>Sucesso ou erro</w:t>
            </w:r>
          </w:p>
        </w:tc>
      </w:tr>
      <w:tr>
        <w:tc>
          <w:tcPr>
            <w:tcW w:type="dxa" w:w="5040"/>
          </w:tcPr>
          <w:p>
            <w:r>
              <w:t>Mensagem retornada</w:t>
            </w:r>
          </w:p>
        </w:tc>
        <w:tc>
          <w:tcPr>
            <w:tcW w:type="dxa" w:w="5040"/>
          </w:tcPr>
          <w:p>
            <w:r>
              <w:t>Resumo técnico sem segredos</w:t>
            </w:r>
          </w:p>
        </w:tc>
      </w:tr>
      <w:tr>
        <w:tc>
          <w:tcPr>
            <w:tcW w:type="dxa" w:w="5040"/>
          </w:tcPr>
          <w:p>
            <w:r>
              <w:t>Campos enviados</w:t>
            </w:r>
          </w:p>
        </w:tc>
        <w:tc>
          <w:tcPr>
            <w:tcW w:type="dxa" w:w="5040"/>
          </w:tcPr>
          <w:p>
            <w:r>
              <w:t>Lista dos campos alterados</w:t>
            </w:r>
          </w:p>
        </w:tc>
      </w:tr>
      <w:tr>
        <w:tc>
          <w:tcPr>
            <w:tcW w:type="dxa" w:w="5040"/>
          </w:tcPr>
          <w:p>
            <w:r>
              <w:t>Campos recebidos</w:t>
            </w:r>
          </w:p>
        </w:tc>
        <w:tc>
          <w:tcPr>
            <w:tcW w:type="dxa" w:w="5040"/>
          </w:tcPr>
          <w:p>
            <w:r>
              <w:t>Lista dos campos consultados</w:t>
            </w:r>
          </w:p>
        </w:tc>
      </w:tr>
    </w:tbl>
    <w:p>
      <w:pPr>
        <w:pStyle w:val="Heading1"/>
      </w:pPr>
      <w:r>
        <w:t>14. Regra de independência</w:t>
      </w:r>
    </w:p>
    <w:p>
      <w:r>
        <w:t>A Central deverá continuar funcionando mesmo que o Bitrix esteja indisponível, o webhook seja revogado, a integração seja removida ou a empresa migre para outro CRM.</w:t>
      </w:r>
    </w:p>
    <w:p>
      <w:r>
        <w:t>Nessas situações, as operações permanecem registradas internamente e podem ser sincronizadas posteriormente, conforme a arquitetura permitir.</w:t>
      </w:r>
    </w:p>
    <w:p>
      <w:pPr>
        <w:pStyle w:val="Heading1"/>
      </w:pPr>
      <w:r>
        <w:t>15. Escopo recomendado para o MVP</w:t>
      </w:r>
    </w:p>
    <w:p>
      <w:pPr>
        <w:pStyle w:val="ListBullet"/>
      </w:pPr>
      <w:r>
        <w:t>Guardar o ID do negócio.</w:t>
      </w:r>
    </w:p>
    <w:p>
      <w:pPr>
        <w:pStyle w:val="ListBullet"/>
      </w:pPr>
      <w:r>
        <w:t>Importar relatórios do Bitrix por planilha.</w:t>
      </w:r>
    </w:p>
    <w:p>
      <w:pPr>
        <w:pStyle w:val="ListBullet"/>
      </w:pPr>
      <w:r>
        <w:t>Mapear campos básicos.</w:t>
      </w:r>
    </w:p>
    <w:p>
      <w:pPr>
        <w:pStyle w:val="ListBullet"/>
      </w:pPr>
      <w:r>
        <w:t>Abrir o negócio no Bitrix por link.</w:t>
      </w:r>
    </w:p>
    <w:p>
      <w:pPr>
        <w:pStyle w:val="ListBullet"/>
      </w:pPr>
      <w:r>
        <w:t>Evitar duplicidade pelo ID.</w:t>
      </w:r>
    </w:p>
    <w:p>
      <w:pPr>
        <w:pStyle w:val="ListBullet"/>
      </w:pPr>
      <w:r>
        <w:t>Registrar a origem como Bitrix.</w:t>
      </w:r>
    </w:p>
    <w:p>
      <w:r>
        <w:t>A integração direta por webhook deverá ficar preparada, mas não será requisito obrigatório para colocar a primeira versão em uso.</w:t>
      </w:r>
    </w:p>
    <w:p>
      <w:pPr>
        <w:pStyle w:val="Heading1"/>
      </w:pPr>
      <w:r>
        <w:t>16. Decisões provisórias</w:t>
      </w:r>
    </w:p>
    <w:p>
      <w:pPr>
        <w:pStyle w:val="ListBullet"/>
      </w:pPr>
      <w:r>
        <w:t>A Central terá estrutura própria e independente do Bitrix.</w:t>
      </w:r>
    </w:p>
    <w:p>
      <w:pPr>
        <w:pStyle w:val="ListBullet"/>
      </w:pPr>
      <w:r>
        <w:t>O Bitrix será tratado como sistema externo.</w:t>
      </w:r>
    </w:p>
    <w:p>
      <w:pPr>
        <w:pStyle w:val="ListBullet"/>
      </w:pPr>
      <w:r>
        <w:t>O ID do negócio será preservado.</w:t>
      </w:r>
    </w:p>
    <w:p>
      <w:pPr>
        <w:pStyle w:val="ListBullet"/>
      </w:pPr>
      <w:r>
        <w:t>Nem todos os campos do inventário serão importados.</w:t>
      </w:r>
    </w:p>
    <w:p>
      <w:pPr>
        <w:pStyle w:val="ListBullet"/>
      </w:pPr>
      <w:r>
        <w:t>Campos antigos, duplicados ou marcados como “não utilizar” serão descartados.</w:t>
      </w:r>
    </w:p>
    <w:p>
      <w:pPr>
        <w:pStyle w:val="ListBullet"/>
      </w:pPr>
      <w:r>
        <w:t>O mapeamento será configurável.</w:t>
      </w:r>
    </w:p>
    <w:p>
      <w:pPr>
        <w:pStyle w:val="ListBullet"/>
      </w:pPr>
      <w:r>
        <w:t>Credenciais ficarão fora dos documentos e do código público.</w:t>
      </w:r>
    </w:p>
    <w:p>
      <w:pPr>
        <w:pStyle w:val="ListBullet"/>
      </w:pPr>
      <w:r>
        <w:t>A integração direta poderá entrar após o MVP.</w:t>
      </w:r>
    </w:p>
    <w:p>
      <w:pPr>
        <w:pStyle w:val="Heading1"/>
      </w:pPr>
      <w:r>
        <w:t>17. Fontes de referência</w:t>
      </w:r>
    </w:p>
    <w:p>
      <w:pPr>
        <w:pStyle w:val="ListBullet"/>
      </w:pPr>
      <w:r>
        <w:t>ETAPAS BITRIX.pdf - relação das etapas visíveis do funil comercial.</w:t>
      </w:r>
    </w:p>
    <w:p>
      <w:pPr>
        <w:pStyle w:val="ListBullet"/>
      </w:pPr>
      <w:r>
        <w:t>CÓDIGOS Campos Bitrix - crm.deal.fields.json - inventário técnico de campos padrão e personalizados do negócio.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