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17 – Central de Prospecção</w:t>
      </w:r>
    </w:p>
    <w:p>
      <w:pPr>
        <w:jc w:val="center"/>
      </w:pPr>
      <w:r>
        <w:rPr>
          <w:i/>
          <w:sz w:val="20"/>
        </w:rPr>
        <w:t>UX, Navegação e Design System</w:t>
      </w:r>
    </w:p>
    <w:p/>
    <w:p>
      <w:pPr>
        <w:pStyle w:val="Heading1"/>
      </w:pPr>
      <w:r>
        <w:t>1. Objetivo</w:t>
      </w:r>
    </w:p>
    <w:p>
      <w:r>
        <w:t>Definir a experiência de uso, os padrões de navegação e as diretrizes visuais da Central de Prospecção, garantindo clareza, consistência e baixa carga cognitiva durante a operação diária.</w:t>
      </w:r>
    </w:p>
    <w:p>
      <w:pPr>
        <w:pStyle w:val="Heading1"/>
      </w:pPr>
      <w:r>
        <w:t>2. Princípios de experiência</w:t>
      </w:r>
    </w:p>
    <w:p>
      <w:pPr>
        <w:pStyle w:val="ListBullet"/>
      </w:pPr>
      <w:r>
        <w:t>A tela deve permitir que o usuário entenda, em poucos segundos, onde está e o que precisa fazer.</w:t>
      </w:r>
    </w:p>
    <w:p>
      <w:pPr>
        <w:pStyle w:val="ListBullet"/>
      </w:pPr>
      <w:r>
        <w:t>A próxima ação deve ser mais evidente do que informações meramente descritivas.</w:t>
      </w:r>
    </w:p>
    <w:p>
      <w:pPr>
        <w:pStyle w:val="ListBullet"/>
      </w:pPr>
      <w:r>
        <w:t>A operação deve exigir o menor número possível de cliques e trocas de contexto.</w:t>
      </w:r>
    </w:p>
    <w:p>
      <w:pPr>
        <w:pStyle w:val="ListBullet"/>
      </w:pPr>
      <w:r>
        <w:t>A interface deve priorizar leitura rápida, hierarquia visual e consistência.</w:t>
      </w:r>
    </w:p>
    <w:p>
      <w:pPr>
        <w:pStyle w:val="ListBullet"/>
      </w:pPr>
      <w:r>
        <w:t>Toda ação deve fornecer feedback claro de sucesso, erro, carregamento ou ausência de dados.</w:t>
      </w:r>
    </w:p>
    <w:p>
      <w:pPr>
        <w:pStyle w:val="Heading1"/>
      </w:pPr>
      <w:r>
        <w:t>3. Estrutura global da aplicação</w:t>
      </w:r>
    </w:p>
    <w:p>
      <w:pPr>
        <w:pStyle w:val="Heading2"/>
      </w:pPr>
      <w:r>
        <w:t>3.1 Cabeçalho</w:t>
      </w:r>
    </w:p>
    <w:p>
      <w:pPr>
        <w:pStyle w:val="ListBullet"/>
      </w:pPr>
      <w:r>
        <w:t>Logo/símbolo da Amigo e nome “Central de Prospecção”.</w:t>
      </w:r>
    </w:p>
    <w:p>
      <w:pPr>
        <w:pStyle w:val="ListBullet"/>
      </w:pPr>
      <w:r>
        <w:t>Pesquisa global.</w:t>
      </w:r>
    </w:p>
    <w:p>
      <w:pPr>
        <w:pStyle w:val="ListBullet"/>
      </w:pPr>
      <w:r>
        <w:t>Sino de notificações.</w:t>
      </w:r>
    </w:p>
    <w:p>
      <w:pPr>
        <w:pStyle w:val="ListBullet"/>
      </w:pPr>
      <w:r>
        <w:t>Avatar do usuário.</w:t>
      </w:r>
    </w:p>
    <w:p>
      <w:pPr>
        <w:pStyle w:val="ListBullet"/>
      </w:pPr>
      <w:r>
        <w:t>Ação de sair.</w:t>
      </w:r>
    </w:p>
    <w:p>
      <w:pPr>
        <w:pStyle w:val="Heading2"/>
      </w:pPr>
      <w:r>
        <w:t>3.2 Menu lateral</w:t>
      </w:r>
    </w:p>
    <w:p>
      <w:pPr>
        <w:pStyle w:val="ListBullet"/>
      </w:pPr>
      <w:r>
        <w:t>Início</w:t>
      </w:r>
    </w:p>
    <w:p>
      <w:pPr>
        <w:pStyle w:val="ListBullet"/>
      </w:pPr>
      <w:r>
        <w:t>Operação / Hoje</w:t>
      </w:r>
    </w:p>
    <w:p>
      <w:pPr>
        <w:pStyle w:val="ListBullet"/>
      </w:pPr>
      <w:r>
        <w:t>Base de Leads</w:t>
      </w:r>
    </w:p>
    <w:p>
      <w:pPr>
        <w:pStyle w:val="ListBullet"/>
      </w:pPr>
      <w:r>
        <w:t>Campanhas</w:t>
      </w:r>
    </w:p>
    <w:p>
      <w:pPr>
        <w:pStyle w:val="ListBullet"/>
      </w:pPr>
      <w:r>
        <w:t>Contatos</w:t>
      </w:r>
    </w:p>
    <w:p>
      <w:pPr>
        <w:pStyle w:val="ListBullet"/>
      </w:pPr>
      <w:r>
        <w:t>Central de Conteúdo</w:t>
      </w:r>
    </w:p>
    <w:p>
      <w:pPr>
        <w:pStyle w:val="ListBullet"/>
      </w:pPr>
      <w:r>
        <w:t>Relatórios</w:t>
      </w:r>
    </w:p>
    <w:p>
      <w:pPr>
        <w:pStyle w:val="ListBullet"/>
      </w:pPr>
      <w:r>
        <w:t>Configurações</w:t>
      </w:r>
    </w:p>
    <w:p>
      <w:r>
        <w:t>O menu será recolhível: ao passar o mouse, os nomes aparecem; fora do foco, permanecem apenas os ícones em outline.</w:t>
      </w:r>
    </w:p>
    <w:p>
      <w:pPr>
        <w:pStyle w:val="Heading1"/>
      </w:pPr>
      <w:r>
        <w:t>4. Padrões de navegação</w:t>
      </w:r>
    </w:p>
    <w:p>
      <w:pPr>
        <w:pStyle w:val="ListBullet"/>
      </w:pPr>
      <w:r>
        <w:t>Uso de breadcrumbs em fluxos hierárquicos.</w:t>
      </w:r>
    </w:p>
    <w:p>
      <w:pPr>
        <w:pStyle w:val="ListBullet"/>
      </w:pPr>
      <w:r>
        <w:t>Preferência por drawers laterais para visualização e edição sem perder a lista de origem.</w:t>
      </w:r>
    </w:p>
    <w:p>
      <w:pPr>
        <w:pStyle w:val="ListBullet"/>
      </w:pPr>
      <w:r>
        <w:t>Uso de modais apenas para confirmações, importações e ações pontuais.</w:t>
      </w:r>
    </w:p>
    <w:p>
      <w:pPr>
        <w:pStyle w:val="ListBullet"/>
      </w:pPr>
      <w:r>
        <w:t>Pesquisa global acessível por Ctrl + K e atalho “/”.</w:t>
      </w:r>
    </w:p>
    <w:p>
      <w:pPr>
        <w:pStyle w:val="ListBullet"/>
      </w:pPr>
      <w:r>
        <w:t>Tecla Esc para fechar drawers e modais.</w:t>
      </w:r>
    </w:p>
    <w:p>
      <w:pPr>
        <w:pStyle w:val="ListBullet"/>
      </w:pPr>
      <w:r>
        <w:t>Paginação e filtros persistentes sempre que possível.</w:t>
      </w:r>
    </w:p>
    <w:p>
      <w:pPr>
        <w:pStyle w:val="Heading1"/>
      </w:pPr>
      <w:r>
        <w:t>5. Diretrizes visuais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Diretriz</w:t>
            </w:r>
          </w:p>
        </w:tc>
      </w:tr>
      <w:tr>
        <w:tc>
          <w:tcPr>
            <w:tcW w:type="dxa" w:w="5040"/>
          </w:tcPr>
          <w:p>
            <w:r>
              <w:t>Cores</w:t>
            </w:r>
          </w:p>
        </w:tc>
        <w:tc>
          <w:tcPr>
            <w:tcW w:type="dxa" w:w="5040"/>
          </w:tcPr>
          <w:p>
            <w:r>
              <w:t>Paleta restrita: cor primária, sucesso, aviso, erro, informação e neutros.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Novo/azul; em andamento/amarelo; concluído/verde; atrasado/vermelho; arquivado/cinza.</w:t>
            </w:r>
          </w:p>
        </w:tc>
      </w:tr>
      <w:tr>
        <w:tc>
          <w:tcPr>
            <w:tcW w:type="dxa" w:w="5040"/>
          </w:tcPr>
          <w:p>
            <w:r>
              <w:t>Tipografia</w:t>
            </w:r>
          </w:p>
        </w:tc>
        <w:tc>
          <w:tcPr>
            <w:tcW w:type="dxa" w:w="5040"/>
          </w:tcPr>
          <w:p>
            <w:r>
              <w:t>Uma família tipográfica, com hierarquia clara entre títulos, subtítulos, texto e legendas.</w:t>
            </w:r>
          </w:p>
        </w:tc>
      </w:tr>
      <w:tr>
        <w:tc>
          <w:tcPr>
            <w:tcW w:type="dxa" w:w="5040"/>
          </w:tcPr>
          <w:p>
            <w:r>
              <w:t>Espaçamento</w:t>
            </w:r>
          </w:p>
        </w:tc>
        <w:tc>
          <w:tcPr>
            <w:tcW w:type="dxa" w:w="5040"/>
          </w:tcPr>
          <w:p>
            <w:r>
              <w:t>Escala consistente baseada em 8 px: 8, 16, 24 e 32 px.</w:t>
            </w:r>
          </w:p>
        </w:tc>
      </w:tr>
      <w:tr>
        <w:tc>
          <w:tcPr>
            <w:tcW w:type="dxa" w:w="5040"/>
          </w:tcPr>
          <w:p>
            <w:r>
              <w:t>Ícones</w:t>
            </w:r>
          </w:p>
        </w:tc>
        <w:tc>
          <w:tcPr>
            <w:tcW w:type="dxa" w:w="5040"/>
          </w:tcPr>
          <w:p>
            <w:r>
              <w:t>Lucide, estilo outline, tamanhos padronizados.</w:t>
            </w:r>
          </w:p>
        </w:tc>
      </w:tr>
      <w:tr>
        <w:tc>
          <w:tcPr>
            <w:tcW w:type="dxa" w:w="5040"/>
          </w:tcPr>
          <w:p>
            <w:r>
              <w:t>Animações</w:t>
            </w:r>
          </w:p>
        </w:tc>
        <w:tc>
          <w:tcPr>
            <w:tcW w:type="dxa" w:w="5040"/>
          </w:tcPr>
          <w:p>
            <w:r>
              <w:t>Microinterações leves, entre 150 e 200 ms.</w:t>
            </w:r>
          </w:p>
        </w:tc>
      </w:tr>
      <w:tr>
        <w:tc>
          <w:tcPr>
            <w:tcW w:type="dxa" w:w="5040"/>
          </w:tcPr>
          <w:p>
            <w:r>
              <w:t>Sombras e bordas</w:t>
            </w:r>
          </w:p>
        </w:tc>
        <w:tc>
          <w:tcPr>
            <w:tcW w:type="dxa" w:w="5040"/>
          </w:tcPr>
          <w:p>
            <w:r>
              <w:t>Uso discreto e consistente, sem excesso de efeitos.</w:t>
            </w:r>
          </w:p>
        </w:tc>
      </w:tr>
    </w:tbl>
    <w:p>
      <w:pPr>
        <w:pStyle w:val="Heading1"/>
      </w:pPr>
      <w:r>
        <w:t>6. Padrões das principais telas</w:t>
      </w:r>
    </w:p>
    <w:p>
      <w:pPr>
        <w:pStyle w:val="Heading2"/>
      </w:pPr>
      <w:r>
        <w:t>6.1 Home</w:t>
      </w:r>
    </w:p>
    <w:p>
      <w:r>
        <w:t>Deve funcionar como painel operacional do dia, destacando abordagens, follow-ups, encerramentos, progresso diário e ações rápidas.</w:t>
      </w:r>
    </w:p>
    <w:p>
      <w:pPr>
        <w:pStyle w:val="Heading2"/>
      </w:pPr>
      <w:r>
        <w:t>6.2 Operação</w:t>
      </w:r>
    </w:p>
    <w:p>
      <w:r>
        <w:t>Deve se comportar como uma caixa de entrada de tarefas, mostrando a próxima ação, prioridade, prazo, contato e atalhos operacionais.</w:t>
      </w:r>
    </w:p>
    <w:p>
      <w:pPr>
        <w:pStyle w:val="Heading2"/>
      </w:pPr>
      <w:r>
        <w:t>6.3 Listas e tabelas</w:t>
      </w:r>
    </w:p>
    <w:p>
      <w:pPr>
        <w:pStyle w:val="ListBullet"/>
      </w:pPr>
      <w:r>
        <w:t>Colunas essenciais e configuráveis.</w:t>
      </w:r>
    </w:p>
    <w:p>
      <w:pPr>
        <w:pStyle w:val="ListBullet"/>
      </w:pPr>
      <w:r>
        <w:t>Filtros claros e acessíveis.</w:t>
      </w:r>
    </w:p>
    <w:p>
      <w:pPr>
        <w:pStyle w:val="ListBullet"/>
      </w:pPr>
      <w:r>
        <w:t>Ações rápidas concentradas.</w:t>
      </w:r>
    </w:p>
    <w:p>
      <w:pPr>
        <w:pStyle w:val="ListBullet"/>
      </w:pPr>
      <w:r>
        <w:t>Linhas legíveis e sem poluição visual.</w:t>
      </w:r>
    </w:p>
    <w:p>
      <w:pPr>
        <w:pStyle w:val="Heading2"/>
      </w:pPr>
      <w:r>
        <w:t>6.4 Ficha do Lead</w:t>
      </w:r>
    </w:p>
    <w:p>
      <w:r>
        <w:t>Preferencialmente aberta em drawer lateral, preservando o contexto da lista e destacando a próxima ação, contatos, histórico e conteúdos sugeridos.</w:t>
      </w:r>
    </w:p>
    <w:p>
      <w:pPr>
        <w:pStyle w:val="Heading1"/>
      </w:pPr>
      <w:r>
        <w:t>7. Estados da interface</w:t>
      </w:r>
    </w:p>
    <w:p>
      <w:pPr>
        <w:pStyle w:val="ListBullet"/>
      </w:pPr>
      <w:r>
        <w:t>Loading: skeletons em vez de telas congeladas.</w:t>
      </w:r>
    </w:p>
    <w:p>
      <w:pPr>
        <w:pStyle w:val="ListBullet"/>
      </w:pPr>
      <w:r>
        <w:t>Empty state: mensagem explicativa e ação recomendada.</w:t>
      </w:r>
    </w:p>
    <w:p>
      <w:pPr>
        <w:pStyle w:val="ListBullet"/>
      </w:pPr>
      <w:r>
        <w:t>Erro: linguagem clara e orientação para correção.</w:t>
      </w:r>
    </w:p>
    <w:p>
      <w:pPr>
        <w:pStyle w:val="ListBullet"/>
      </w:pPr>
      <w:r>
        <w:t>Sucesso: toast ou mensagem de confirmação.</w:t>
      </w:r>
    </w:p>
    <w:p>
      <w:pPr>
        <w:pStyle w:val="ListBullet"/>
      </w:pPr>
      <w:r>
        <w:t>Desabilitado: motivo visualmente compreensível.</w:t>
      </w:r>
    </w:p>
    <w:p>
      <w:pPr>
        <w:pStyle w:val="Heading1"/>
      </w:pPr>
      <w:r>
        <w:t>8. Responsividade</w:t>
      </w:r>
    </w:p>
    <w:p>
      <w:pPr>
        <w:pStyle w:val="ListBullet"/>
      </w:pPr>
      <w:r>
        <w:t>Desktop como experiência principal de operação.</w:t>
      </w:r>
    </w:p>
    <w:p>
      <w:pPr>
        <w:pStyle w:val="ListBullet"/>
      </w:pPr>
      <w:r>
        <w:t>Tablet com preservação das funções essenciais.</w:t>
      </w:r>
    </w:p>
    <w:p>
      <w:pPr>
        <w:pStyle w:val="ListBullet"/>
      </w:pPr>
      <w:r>
        <w:t>Mobile prioritariamente para consulta, registro rápido e acompanhamento.</w:t>
      </w:r>
    </w:p>
    <w:p>
      <w:pPr>
        <w:pStyle w:val="ListBullet"/>
      </w:pPr>
      <w:r>
        <w:t>Operações complexas, como importação e gestão avançada, poderão permanecer orientadas ao desktop no MVP.</w:t>
      </w:r>
    </w:p>
    <w:p>
      <w:pPr>
        <w:pStyle w:val="Heading1"/>
      </w:pPr>
      <w:r>
        <w:t>9. Acessibilidade</w:t>
      </w:r>
    </w:p>
    <w:p>
      <w:pPr>
        <w:pStyle w:val="ListBullet"/>
      </w:pPr>
      <w:r>
        <w:t>Contraste adequado.</w:t>
      </w:r>
    </w:p>
    <w:p>
      <w:pPr>
        <w:pStyle w:val="ListBullet"/>
      </w:pPr>
      <w:r>
        <w:t>Navegação por teclado.</w:t>
      </w:r>
    </w:p>
    <w:p>
      <w:pPr>
        <w:pStyle w:val="ListBullet"/>
      </w:pPr>
      <w:r>
        <w:t>Rótulos claros em inputs e botões.</w:t>
      </w:r>
    </w:p>
    <w:p>
      <w:pPr>
        <w:pStyle w:val="ListBullet"/>
      </w:pPr>
      <w:r>
        <w:t>Textos legíveis e escaláveis.</w:t>
      </w:r>
    </w:p>
    <w:p>
      <w:pPr>
        <w:pStyle w:val="ListBullet"/>
      </w:pPr>
      <w:r>
        <w:t>Não depender apenas de cor para comunicar estados.</w:t>
      </w:r>
    </w:p>
    <w:p>
      <w:pPr>
        <w:pStyle w:val="Heading1"/>
      </w:pPr>
      <w:r>
        <w:t>10. Decisões consolidadas</w:t>
      </w:r>
    </w:p>
    <w:p>
      <w:pPr>
        <w:pStyle w:val="ListNumber"/>
      </w:pPr>
      <w:r>
        <w:t>A experiência será orientada à próxima ação.</w:t>
      </w:r>
    </w:p>
    <w:p>
      <w:pPr>
        <w:pStyle w:val="ListNumber"/>
      </w:pPr>
      <w:r>
        <w:t>A interface será consistente entre todos os módulos.</w:t>
      </w:r>
    </w:p>
    <w:p>
      <w:pPr>
        <w:pStyle w:val="ListNumber"/>
      </w:pPr>
      <w:r>
        <w:t>Drawers serão usados amplamente para manter contexto.</w:t>
      </w:r>
    </w:p>
    <w:p>
      <w:pPr>
        <w:pStyle w:val="ListNumber"/>
      </w:pPr>
      <w:r>
        <w:t>A Central evitará excesso de cores, efeitos e componentes distintos.</w:t>
      </w:r>
    </w:p>
    <w:p>
      <w:pPr>
        <w:pStyle w:val="ListNumber"/>
      </w:pPr>
      <w:r>
        <w:t>A operação diária terá prioridade sobre dashboards meramente decorativos.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